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113665</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0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135255</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96"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2009</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0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90"/>
        </w:trPr>
        <w:tc>
          <w:tcPr>
            <w:tcW w:w="2320" w:type="dxa"/>
            <w:vAlign w:val="bottom"/>
          </w:tcPr>
          <w:p>
            <w:pPr>
              <w:spacing w:after="0"/>
              <w:rPr>
                <w:sz w:val="24"/>
                <w:szCs w:val="24"/>
                <w:color w:val="auto"/>
              </w:rPr>
            </w:pPr>
          </w:p>
        </w:tc>
        <w:tc>
          <w:tcPr>
            <w:tcW w:w="38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333-126751</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113030</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0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LAZARD GROUP LLC</w:t>
      </w:r>
    </w:p>
    <w:p>
      <w:pPr>
        <w:spacing w:after="0" w:line="4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360" w:type="dxa"/>
        <w:tblCellMar>
          <w:top w:w="0" w:type="dxa"/>
          <w:left w:w="0" w:type="dxa"/>
          <w:bottom w:w="0" w:type="dxa"/>
          <w:right w:w="0" w:type="dxa"/>
        </w:tblCellMar>
      </w:tblPr>
      <w:tr>
        <w:trPr>
          <w:trHeight w:val="218"/>
        </w:trPr>
        <w:tc>
          <w:tcPr>
            <w:tcW w:w="7220" w:type="dxa"/>
            <w:vAlign w:val="bottom"/>
            <w:gridSpan w:val="3"/>
          </w:tcPr>
          <w:p>
            <w:pPr>
              <w:jc w:val="center"/>
              <w:ind w:right="2100"/>
              <w:spacing w:after="0"/>
              <w:rPr>
                <w:sz w:val="20"/>
                <w:szCs w:val="20"/>
                <w:color w:val="auto"/>
              </w:rPr>
            </w:pPr>
            <w:r>
              <w:rPr>
                <w:rFonts w:ascii="Arial" w:cs="Arial" w:eastAsia="Arial" w:hAnsi="Arial"/>
                <w:sz w:val="18"/>
                <w:szCs w:val="18"/>
                <w:b w:val="1"/>
                <w:bCs w:val="1"/>
                <w:color w:val="auto"/>
                <w:w w:val="91"/>
              </w:rPr>
              <w:t>Delaware</w:t>
            </w:r>
          </w:p>
        </w:tc>
        <w:tc>
          <w:tcPr>
            <w:tcW w:w="700" w:type="dxa"/>
            <w:vAlign w:val="bottom"/>
          </w:tcPr>
          <w:p>
            <w:pPr>
              <w:spacing w:after="0"/>
              <w:rPr>
                <w:sz w:val="18"/>
                <w:szCs w:val="18"/>
                <w:color w:val="auto"/>
              </w:rPr>
            </w:pPr>
          </w:p>
        </w:tc>
        <w:tc>
          <w:tcPr>
            <w:tcW w:w="1080" w:type="dxa"/>
            <w:vAlign w:val="bottom"/>
            <w:gridSpan w:val="3"/>
          </w:tcPr>
          <w:p>
            <w:pPr>
              <w:jc w:val="right"/>
              <w:ind w:right="112"/>
              <w:spacing w:after="0"/>
              <w:rPr>
                <w:sz w:val="20"/>
                <w:szCs w:val="20"/>
                <w:color w:val="auto"/>
              </w:rPr>
            </w:pPr>
            <w:r>
              <w:rPr>
                <w:rFonts w:ascii="Arial" w:cs="Arial" w:eastAsia="Arial" w:hAnsi="Arial"/>
                <w:sz w:val="18"/>
                <w:szCs w:val="18"/>
                <w:b w:val="1"/>
                <w:bCs w:val="1"/>
                <w:color w:val="auto"/>
                <w:w w:val="89"/>
              </w:rPr>
              <w:t>51-0278097</w:t>
            </w:r>
          </w:p>
        </w:tc>
        <w:tc>
          <w:tcPr>
            <w:tcW w:w="600" w:type="dxa"/>
            <w:vAlign w:val="bottom"/>
          </w:tcPr>
          <w:p>
            <w:pPr>
              <w:spacing w:after="0"/>
              <w:rPr>
                <w:sz w:val="18"/>
                <w:szCs w:val="18"/>
                <w:color w:val="auto"/>
              </w:rPr>
            </w:pPr>
          </w:p>
        </w:tc>
      </w:tr>
      <w:tr>
        <w:trPr>
          <w:trHeight w:val="149"/>
        </w:trPr>
        <w:tc>
          <w:tcPr>
            <w:tcW w:w="7220" w:type="dxa"/>
            <w:vAlign w:val="bottom"/>
            <w:gridSpan w:val="3"/>
          </w:tcPr>
          <w:p>
            <w:pPr>
              <w:jc w:val="center"/>
              <w:ind w:right="210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3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7220" w:type="dxa"/>
            <w:vAlign w:val="bottom"/>
            <w:gridSpan w:val="3"/>
          </w:tcPr>
          <w:p>
            <w:pPr>
              <w:jc w:val="center"/>
              <w:ind w:right="2100"/>
              <w:spacing w:after="0"/>
              <w:rPr>
                <w:sz w:val="20"/>
                <w:szCs w:val="20"/>
                <w:color w:val="auto"/>
              </w:rPr>
            </w:pPr>
            <w:r>
              <w:rPr>
                <w:rFonts w:ascii="Arial" w:cs="Arial" w:eastAsia="Arial" w:hAnsi="Arial"/>
                <w:sz w:val="14"/>
                <w:szCs w:val="14"/>
                <w:b w:val="1"/>
                <w:bCs w:val="1"/>
                <w:color w:val="auto"/>
                <w:w w:val="88"/>
              </w:rPr>
              <w:t>or Organization)</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63"/>
        </w:trPr>
        <w:tc>
          <w:tcPr>
            <w:tcW w:w="4300" w:type="dxa"/>
            <w:vAlign w:val="bottom"/>
          </w:tcPr>
          <w:p>
            <w:pPr>
              <w:spacing w:after="0"/>
              <w:rPr>
                <w:sz w:val="14"/>
                <w:szCs w:val="14"/>
                <w:color w:val="auto"/>
              </w:rPr>
            </w:pPr>
          </w:p>
        </w:tc>
        <w:tc>
          <w:tcPr>
            <w:tcW w:w="2100" w:type="dxa"/>
            <w:vAlign w:val="bottom"/>
            <w:tcBorders>
              <w:bottom w:val="single" w:sz="8" w:color="808080"/>
            </w:tcBorders>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03"/>
        </w:trPr>
        <w:tc>
          <w:tcPr>
            <w:tcW w:w="4300" w:type="dxa"/>
            <w:vAlign w:val="bottom"/>
          </w:tcPr>
          <w:p>
            <w:pPr>
              <w:spacing w:after="0"/>
              <w:rPr>
                <w:sz w:val="24"/>
                <w:szCs w:val="24"/>
                <w:color w:val="auto"/>
              </w:rPr>
            </w:pPr>
          </w:p>
        </w:tc>
        <w:tc>
          <w:tcPr>
            <w:tcW w:w="292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88"/>
              </w:rPr>
              <w:t>30 Rockefeller Plaza</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6"/>
        </w:trPr>
        <w:tc>
          <w:tcPr>
            <w:tcW w:w="4300" w:type="dxa"/>
            <w:vAlign w:val="bottom"/>
          </w:tcPr>
          <w:p>
            <w:pPr>
              <w:spacing w:after="0"/>
              <w:rPr>
                <w:sz w:val="18"/>
                <w:szCs w:val="18"/>
                <w:color w:val="auto"/>
              </w:rPr>
            </w:pPr>
          </w:p>
        </w:tc>
        <w:tc>
          <w:tcPr>
            <w:tcW w:w="292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91"/>
              </w:rPr>
              <w:t>New York, NY 10020</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28"/>
        </w:trPr>
        <w:tc>
          <w:tcPr>
            <w:tcW w:w="7220" w:type="dxa"/>
            <w:vAlign w:val="bottom"/>
            <w:gridSpan w:val="3"/>
          </w:tcPr>
          <w:p>
            <w:pPr>
              <w:jc w:val="center"/>
              <w:ind w:left="3397"/>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84"/>
        </w:trPr>
        <w:tc>
          <w:tcPr>
            <w:tcW w:w="7220" w:type="dxa"/>
            <w:vAlign w:val="bottom"/>
            <w:gridSpan w:val="3"/>
          </w:tcPr>
          <w:p>
            <w:pPr>
              <w:jc w:val="center"/>
              <w:ind w:left="3417"/>
              <w:spacing w:after="0"/>
              <w:rPr>
                <w:sz w:val="20"/>
                <w:szCs w:val="20"/>
                <w:color w:val="auto"/>
              </w:rPr>
            </w:pPr>
            <w:r>
              <w:rPr>
                <w:rFonts w:ascii="Arial" w:cs="Arial" w:eastAsia="Arial" w:hAnsi="Arial"/>
                <w:sz w:val="18"/>
                <w:szCs w:val="18"/>
                <w:b w:val="1"/>
                <w:bCs w:val="1"/>
                <w:color w:val="auto"/>
                <w:w w:val="88"/>
              </w:rPr>
              <w:t>Registrant’s telephone number: (212) 632-6000</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8"/>
        </w:trPr>
        <w:tc>
          <w:tcPr>
            <w:tcW w:w="4300" w:type="dxa"/>
            <w:vAlign w:val="bottom"/>
          </w:tcPr>
          <w:p>
            <w:pPr>
              <w:spacing w:after="0"/>
              <w:rPr>
                <w:sz w:val="15"/>
                <w:szCs w:val="15"/>
                <w:color w:val="auto"/>
              </w:rPr>
            </w:pPr>
          </w:p>
        </w:tc>
        <w:tc>
          <w:tcPr>
            <w:tcW w:w="2100" w:type="dxa"/>
            <w:vAlign w:val="bottom"/>
            <w:tcBorders>
              <w:bottom w:val="single" w:sz="8" w:color="808080"/>
            </w:tcBorders>
          </w:tcPr>
          <w:p>
            <w:pPr>
              <w:spacing w:after="0"/>
              <w:rPr>
                <w:sz w:val="15"/>
                <w:szCs w:val="15"/>
                <w:color w:val="auto"/>
              </w:rPr>
            </w:pPr>
          </w:p>
        </w:tc>
        <w:tc>
          <w:tcPr>
            <w:tcW w:w="1520" w:type="dxa"/>
            <w:vAlign w:val="bottom"/>
            <w:gridSpan w:val="2"/>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383"/>
        </w:trPr>
        <w:tc>
          <w:tcPr>
            <w:tcW w:w="7920" w:type="dxa"/>
            <w:vAlign w:val="bottom"/>
            <w:gridSpan w:val="4"/>
          </w:tcPr>
          <w:p>
            <w:pPr>
              <w:jc w:val="center"/>
              <w:ind w:left="2697"/>
              <w:spacing w:after="0"/>
              <w:rPr>
                <w:sz w:val="20"/>
                <w:szCs w:val="20"/>
                <w:color w:val="auto"/>
              </w:rPr>
            </w:pPr>
            <w:r>
              <w:rPr>
                <w:rFonts w:ascii="Arial" w:cs="Arial" w:eastAsia="Arial" w:hAnsi="Arial"/>
                <w:sz w:val="18"/>
                <w:szCs w:val="18"/>
                <w:color w:val="auto"/>
                <w:w w:val="88"/>
              </w:rPr>
              <w:t>Securities Registered Pursuant to Section 12(b) of the Act: None</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7920" w:type="dxa"/>
            <w:vAlign w:val="bottom"/>
            <w:gridSpan w:val="4"/>
          </w:tcPr>
          <w:p>
            <w:pPr>
              <w:jc w:val="center"/>
              <w:ind w:left="2697"/>
              <w:spacing w:after="0"/>
              <w:rPr>
                <w:sz w:val="20"/>
                <w:szCs w:val="20"/>
                <w:color w:val="auto"/>
              </w:rPr>
            </w:pPr>
            <w:r>
              <w:rPr>
                <w:rFonts w:ascii="Arial" w:cs="Arial" w:eastAsia="Arial" w:hAnsi="Arial"/>
                <w:sz w:val="18"/>
                <w:szCs w:val="18"/>
                <w:color w:val="auto"/>
                <w:w w:val="88"/>
              </w:rPr>
              <w:t>Securities Registered Pursuant to Section 12(g) of the Act: None</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04"/>
        </w:trPr>
        <w:tc>
          <w:tcPr>
            <w:tcW w:w="8340" w:type="dxa"/>
            <w:vAlign w:val="bottom"/>
            <w:gridSpan w:val="5"/>
          </w:tcPr>
          <w:p>
            <w:pPr>
              <w:spacing w:after="0"/>
              <w:rPr>
                <w:sz w:val="20"/>
                <w:szCs w:val="20"/>
                <w:color w:val="auto"/>
              </w:rPr>
            </w:pPr>
            <w:r>
              <w:rPr>
                <w:rFonts w:ascii="Arial" w:cs="Arial" w:eastAsia="Arial" w:hAnsi="Arial"/>
                <w:sz w:val="18"/>
                <w:szCs w:val="18"/>
                <w:color w:val="auto"/>
                <w:w w:val="88"/>
              </w:rPr>
              <w:t>Indicate by check mark if the Registrant is a well-known seasoned issuer, as defined in Rule 405 of the Securities Act.</w:t>
            </w:r>
          </w:p>
        </w:tc>
        <w:tc>
          <w:tcPr>
            <w:tcW w:w="380" w:type="dxa"/>
            <w:vAlign w:val="bottom"/>
          </w:tcPr>
          <w:p>
            <w:pPr>
              <w:ind w:left="120"/>
              <w:spacing w:after="0"/>
              <w:rPr>
                <w:sz w:val="20"/>
                <w:szCs w:val="20"/>
                <w:color w:val="auto"/>
              </w:rPr>
            </w:pPr>
            <w:r>
              <w:rPr>
                <w:rFonts w:ascii="Arial" w:cs="Arial" w:eastAsia="Arial" w:hAnsi="Arial"/>
                <w:sz w:val="18"/>
                <w:szCs w:val="18"/>
                <w:color w:val="auto"/>
                <w:w w:val="77"/>
              </w:rPr>
              <w:t>Yes</w:t>
            </w:r>
          </w:p>
        </w:tc>
        <w:tc>
          <w:tcPr>
            <w:tcW w:w="28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99"/>
              </w:rPr>
              <w:t>☒</w:t>
            </w:r>
          </w:p>
        </w:tc>
        <w:tc>
          <w:tcPr>
            <w:tcW w:w="600" w:type="dxa"/>
            <w:vAlign w:val="bottom"/>
          </w:tcPr>
          <w:p>
            <w:pPr>
              <w:ind w:left="14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r>
      <w:tr>
        <w:trPr>
          <w:trHeight w:val="284"/>
        </w:trPr>
        <w:tc>
          <w:tcPr>
            <w:tcW w:w="7920" w:type="dxa"/>
            <w:vAlign w:val="bottom"/>
            <w:gridSpan w:val="4"/>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15(d) of the Act.</w:t>
            </w:r>
          </w:p>
        </w:tc>
        <w:tc>
          <w:tcPr>
            <w:tcW w:w="420" w:type="dxa"/>
            <w:vAlign w:val="bottom"/>
          </w:tcPr>
          <w:p>
            <w:pPr>
              <w:ind w:left="120"/>
              <w:spacing w:after="0"/>
              <w:rPr>
                <w:sz w:val="20"/>
                <w:szCs w:val="20"/>
                <w:color w:val="auto"/>
              </w:rPr>
            </w:pPr>
            <w:r>
              <w:rPr>
                <w:rFonts w:ascii="Arial" w:cs="Arial" w:eastAsia="Arial" w:hAnsi="Arial"/>
                <w:sz w:val="18"/>
                <w:szCs w:val="18"/>
                <w:color w:val="auto"/>
                <w:w w:val="90"/>
              </w:rPr>
              <w:t>Yes</w:t>
            </w:r>
          </w:p>
        </w:tc>
        <w:tc>
          <w:tcPr>
            <w:tcW w:w="3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No</w:t>
            </w:r>
          </w:p>
        </w:tc>
        <w:tc>
          <w:tcPr>
            <w:tcW w:w="6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41" w:lineRule="exact"/>
        <w:rPr>
          <w:sz w:val="24"/>
          <w:szCs w:val="24"/>
          <w:color w:val="auto"/>
        </w:rPr>
      </w:pPr>
    </w:p>
    <w:p>
      <w:pPr>
        <w:ind w:right="30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jc w:val="both"/>
        <w:ind w:right="24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ectPr>
          <w:pgSz w:w="11900" w:h="16838" w:orient="portrait"/>
          <w:cols w:equalWidth="0" w:num="1">
            <w:col w:w="11380"/>
          </w:cols>
          <w:pgMar w:left="240" w:top="230" w:right="279" w:bottom="1440" w:gutter="0" w:footer="0" w:header="0"/>
        </w:sectPr>
      </w:pPr>
    </w:p>
    <w:p>
      <w:pPr>
        <w:spacing w:after="0" w:line="1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5420" w:space="720"/>
            <w:col w:w="1920" w:space="80"/>
            <w:col w:w="3240"/>
          </w:cols>
          <w:pgMar w:left="240" w:top="230" w:right="279" w:bottom="1440" w:gutter="0" w:footer="0" w:header="0"/>
          <w:type w:val="continuous"/>
        </w:sectPr>
      </w:pPr>
    </w:p>
    <w:p>
      <w:pPr>
        <w:ind w:left="360" w:right="1700"/>
        <w:spacing w:after="0" w:line="27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June 30, 2009, none of the Registrant’s common membership interests were held by non-affiliates.</w:t>
      </w:r>
    </w:p>
    <w:p>
      <w:pPr>
        <w:spacing w:after="0" w:line="62" w:lineRule="exact"/>
        <w:rPr>
          <w:sz w:val="24"/>
          <w:szCs w:val="24"/>
          <w:color w:val="auto"/>
        </w:rPr>
      </w:pPr>
    </w:p>
    <w:p>
      <w:pPr>
        <w:ind w:right="480" w:firstLine="342"/>
        <w:spacing w:after="0" w:line="268" w:lineRule="auto"/>
        <w:rPr>
          <w:sz w:val="20"/>
          <w:szCs w:val="20"/>
          <w:color w:val="auto"/>
        </w:rPr>
      </w:pPr>
      <w:r>
        <w:rPr>
          <w:rFonts w:ascii="Arial" w:cs="Arial" w:eastAsia="Arial" w:hAnsi="Arial"/>
          <w:sz w:val="18"/>
          <w:szCs w:val="18"/>
          <w:color w:val="auto"/>
        </w:rPr>
        <w:t>As of January 29, 2010, in addition to profit participation interests, there were 123,686,338 common membership interests and two managing member interests outstanding.</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83" w:lineRule="exact"/>
        <w:rPr>
          <w:sz w:val="24"/>
          <w:szCs w:val="24"/>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0" w:right="2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ANNUAL REPORT ON FORM 10-K FOR THE FISCAL YEAR ENDED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174"/>
        </w:trPr>
        <w:tc>
          <w:tcPr>
            <w:tcW w:w="1580" w:type="dxa"/>
            <w:vAlign w:val="bottom"/>
            <w:gridSpan w:val="6"/>
          </w:tcPr>
          <w:p>
            <w:pPr>
              <w:spacing w:after="0"/>
              <w:rPr>
                <w:sz w:val="20"/>
                <w:szCs w:val="20"/>
                <w:color w:val="auto"/>
              </w:rPr>
            </w:pPr>
            <w:r>
              <w:rPr>
                <w:rFonts w:ascii="Arial" w:cs="Arial" w:eastAsia="Arial" w:hAnsi="Arial"/>
                <w:sz w:val="14"/>
                <w:szCs w:val="14"/>
                <w:b w:val="1"/>
                <w:bCs w:val="1"/>
                <w:color w:val="auto"/>
                <w:w w:val="98"/>
              </w:rPr>
              <w:t>Form 10-K Item Number</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No.</w:t>
            </w:r>
          </w:p>
        </w:tc>
      </w:tr>
      <w:tr>
        <w:trPr>
          <w:trHeight w:val="95"/>
        </w:trPr>
        <w:tc>
          <w:tcPr>
            <w:tcW w:w="5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r>
      <w:tr>
        <w:trPr>
          <w:trHeight w:val="385"/>
        </w:trPr>
        <w:tc>
          <w:tcPr>
            <w:tcW w:w="540" w:type="dxa"/>
            <w:vAlign w:val="bottom"/>
            <w:tcBorders>
              <w:bottom w:val="single" w:sz="8" w:color="0000EE"/>
            </w:tcBorders>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PART I</w:t>
              </w:r>
            </w:hyperlink>
          </w:p>
        </w:tc>
        <w:tc>
          <w:tcPr>
            <w:tcW w:w="1040" w:type="dxa"/>
            <w:vAlign w:val="bottom"/>
            <w:gridSpan w:val="5"/>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820" w:type="dxa"/>
            <w:vAlign w:val="bottom"/>
            <w:gridSpan w:val="2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60" w:type="dxa"/>
            <w:vAlign w:val="bottom"/>
            <w:gridSpan w:val="2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Executive Officers of the Registrant</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Risk Factors</w:t>
              </w:r>
            </w:hyperlink>
          </w:p>
        </w:tc>
        <w:tc>
          <w:tcPr>
            <w:tcW w:w="1640" w:type="dxa"/>
            <w:vAlign w:val="bottom"/>
            <w:tcBorders>
              <w:top w:val="single" w:sz="8" w:color="0000EE"/>
            </w:tcBorders>
            <w:gridSpan w:val="6"/>
          </w:tcPr>
          <w:p>
            <w:pPr>
              <w:spacing w:after="0"/>
              <w:rPr>
                <w:sz w:val="24"/>
                <w:szCs w:val="24"/>
                <w:color w:val="auto"/>
              </w:rPr>
            </w:pPr>
          </w:p>
        </w:tc>
        <w:tc>
          <w:tcPr>
            <w:tcW w:w="6920" w:type="dxa"/>
            <w:vAlign w:val="bottom"/>
            <w:gridSpan w:val="1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1B.</w:t>
            </w:r>
          </w:p>
        </w:tc>
        <w:tc>
          <w:tcPr>
            <w:tcW w:w="9460" w:type="dxa"/>
            <w:vAlign w:val="bottom"/>
            <w:gridSpan w:val="2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Unresolved Staff Comments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5"/>
              </w:rPr>
            </w:pPr>
            <w:hyperlink w:anchor="page33">
              <w:r>
                <w:rPr>
                  <w:rFonts w:ascii="Arial" w:cs="Arial" w:eastAsia="Arial" w:hAnsi="Arial"/>
                  <w:sz w:val="18"/>
                  <w:szCs w:val="18"/>
                  <w:color w:val="0000EE"/>
                  <w:w w:val="85"/>
                </w:rPr>
                <w:t>Properties</w:t>
              </w:r>
            </w:hyperlink>
          </w:p>
        </w:tc>
        <w:tc>
          <w:tcPr>
            <w:tcW w:w="1280" w:type="dxa"/>
            <w:vAlign w:val="bottom"/>
            <w:tcBorders>
              <w:top w:val="single" w:sz="8" w:color="0000EE"/>
            </w:tcBorders>
            <w:gridSpan w:val="7"/>
          </w:tcPr>
          <w:p>
            <w:pPr>
              <w:spacing w:after="0"/>
              <w:rPr>
                <w:sz w:val="24"/>
                <w:szCs w:val="24"/>
                <w:color w:val="auto"/>
              </w:rPr>
            </w:pPr>
          </w:p>
        </w:tc>
        <w:tc>
          <w:tcPr>
            <w:tcW w:w="746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3.</w:t>
            </w:r>
          </w:p>
        </w:tc>
        <w:tc>
          <w:tcPr>
            <w:tcW w:w="9460" w:type="dxa"/>
            <w:vAlign w:val="bottom"/>
            <w:gridSpan w:val="2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4.</w:t>
            </w:r>
          </w:p>
        </w:tc>
        <w:tc>
          <w:tcPr>
            <w:tcW w:w="1300" w:type="dxa"/>
            <w:vAlign w:val="bottom"/>
            <w:tcBorders>
              <w:top w:val="single" w:sz="8" w:color="0000EE"/>
            </w:tcBorders>
            <w:gridSpan w:val="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[Reserved]</w:t>
              </w:r>
            </w:hyperlink>
          </w:p>
        </w:tc>
        <w:tc>
          <w:tcPr>
            <w:tcW w:w="8160" w:type="dxa"/>
            <w:vAlign w:val="bottom"/>
            <w:gridSpan w:val="1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PART II</w:t>
              </w:r>
            </w:hyperlink>
          </w:p>
        </w:tc>
        <w:tc>
          <w:tcPr>
            <w:tcW w:w="980" w:type="dxa"/>
            <w:vAlign w:val="bottom"/>
            <w:gridSpan w:val="4"/>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5.</w:t>
            </w:r>
          </w:p>
        </w:tc>
        <w:tc>
          <w:tcPr>
            <w:tcW w:w="9460" w:type="dxa"/>
            <w:vAlign w:val="bottom"/>
            <w:gridSpan w:val="2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Market for Registrant’s Common Equity, Related Stockholder Matters and Issuer Purchases of Equity Securities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5"/>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7.</w:t>
            </w:r>
          </w:p>
        </w:tc>
        <w:tc>
          <w:tcPr>
            <w:tcW w:w="9460" w:type="dxa"/>
            <w:vAlign w:val="bottom"/>
            <w:gridSpan w:val="2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7A.</w:t>
            </w:r>
          </w:p>
        </w:tc>
        <w:tc>
          <w:tcPr>
            <w:tcW w:w="6300" w:type="dxa"/>
            <w:vAlign w:val="bottom"/>
            <w:tcBorders>
              <w:top w:val="single" w:sz="8" w:color="0000EE"/>
            </w:tcBorders>
            <w:gridSpan w:val="18"/>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Quantitative and Qualitative Disclosures About Market Risk</w:t>
              </w:r>
            </w:hyperlink>
          </w:p>
        </w:tc>
        <w:tc>
          <w:tcPr>
            <w:tcW w:w="316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8.</w:t>
            </w:r>
          </w:p>
        </w:tc>
        <w:tc>
          <w:tcPr>
            <w:tcW w:w="326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7"/>
              </w:rPr>
            </w:pPr>
            <w:hyperlink w:anchor="page74">
              <w:r>
                <w:rPr>
                  <w:rFonts w:ascii="Arial" w:cs="Arial" w:eastAsia="Arial" w:hAnsi="Arial"/>
                  <w:sz w:val="18"/>
                  <w:szCs w:val="18"/>
                  <w:color w:val="0000EE"/>
                  <w:w w:val="87"/>
                </w:rPr>
                <w:t>Financial Statements and Supplementary Data</w:t>
              </w:r>
            </w:hyperlink>
          </w:p>
        </w:tc>
        <w:tc>
          <w:tcPr>
            <w:tcW w:w="1000" w:type="dxa"/>
            <w:vAlign w:val="bottom"/>
            <w:tcBorders>
              <w:top w:val="single" w:sz="8" w:color="0000EE"/>
            </w:tcBorders>
            <w:gridSpan w:val="2"/>
          </w:tcPr>
          <w:p>
            <w:pPr>
              <w:spacing w:after="0"/>
              <w:rPr>
                <w:sz w:val="24"/>
                <w:szCs w:val="24"/>
                <w:color w:val="auto"/>
              </w:rPr>
            </w:pPr>
          </w:p>
        </w:tc>
        <w:tc>
          <w:tcPr>
            <w:tcW w:w="520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9.</w:t>
            </w:r>
          </w:p>
        </w:tc>
        <w:tc>
          <w:tcPr>
            <w:tcW w:w="9460" w:type="dxa"/>
            <w:vAlign w:val="bottom"/>
            <w:gridSpan w:val="23"/>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Changes in and Disagreements with Accountants on Accounting and Financial Disclosure</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6"/>
              </w:rPr>
            </w:pPr>
            <w:hyperlink w:anchor="page136">
              <w:r>
                <w:rPr>
                  <w:rFonts w:ascii="Arial" w:cs="Arial" w:eastAsia="Arial" w:hAnsi="Arial"/>
                  <w:sz w:val="18"/>
                  <w:szCs w:val="18"/>
                  <w:color w:val="0000EE"/>
                  <w:w w:val="86"/>
                </w:rPr>
                <w:t>Controls and Procedures</w:t>
              </w:r>
            </w:hyperlink>
          </w:p>
        </w:tc>
        <w:tc>
          <w:tcPr>
            <w:tcW w:w="4580" w:type="dxa"/>
            <w:vAlign w:val="bottom"/>
            <w:tcBorders>
              <w:top w:val="single" w:sz="8" w:color="0000EE"/>
            </w:tcBorders>
            <w:gridSpan w:val="11"/>
          </w:tcPr>
          <w:p>
            <w:pPr>
              <w:spacing w:after="0"/>
              <w:rPr>
                <w:sz w:val="24"/>
                <w:szCs w:val="24"/>
                <w:color w:val="auto"/>
              </w:rPr>
            </w:pPr>
          </w:p>
        </w:tc>
        <w:tc>
          <w:tcPr>
            <w:tcW w:w="314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9B.</w:t>
            </w:r>
          </w:p>
        </w:tc>
        <w:tc>
          <w:tcPr>
            <w:tcW w:w="9460" w:type="dxa"/>
            <w:vAlign w:val="bottom"/>
            <w:gridSpan w:val="23"/>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304"/>
        </w:trPr>
        <w:tc>
          <w:tcPr>
            <w:tcW w:w="1580" w:type="dxa"/>
            <w:vAlign w:val="bottom"/>
            <w:gridSpan w:val="6"/>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PART III</w:t>
              </w:r>
            </w:hyperlink>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60" w:type="dxa"/>
            <w:vAlign w:val="bottom"/>
            <w:gridSpan w:val="9"/>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10.</w:t>
            </w:r>
          </w:p>
        </w:tc>
        <w:tc>
          <w:tcPr>
            <w:tcW w:w="9460" w:type="dxa"/>
            <w:vAlign w:val="bottom"/>
            <w:gridSpan w:val="23"/>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Directors, Executive Officers and Corporate Governance</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15"/>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Executive Compensation</w:t>
              </w:r>
            </w:hyperlink>
          </w:p>
        </w:tc>
        <w:tc>
          <w:tcPr>
            <w:tcW w:w="546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0"/>
        </w:trPr>
        <w:tc>
          <w:tcPr>
            <w:tcW w:w="6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60" w:type="dxa"/>
            <w:vAlign w:val="bottom"/>
            <w:gridSpan w:val="9"/>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12.</w:t>
            </w:r>
          </w:p>
        </w:tc>
        <w:tc>
          <w:tcPr>
            <w:tcW w:w="9460" w:type="dxa"/>
            <w:vAlign w:val="bottom"/>
            <w:gridSpan w:val="23"/>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Security Ownership of Certain Beneficial Owners and Management and Related Stockholder Matters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13.</w:t>
            </w:r>
          </w:p>
        </w:tc>
        <w:tc>
          <w:tcPr>
            <w:tcW w:w="7120" w:type="dxa"/>
            <w:vAlign w:val="bottom"/>
            <w:tcBorders>
              <w:top w:val="single" w:sz="8" w:color="0000EE"/>
            </w:tcBorders>
            <w:gridSpan w:val="21"/>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Certain Relationships and Related Transactions, and Director Independence</w:t>
              </w:r>
            </w:hyperlink>
          </w:p>
        </w:tc>
        <w:tc>
          <w:tcPr>
            <w:tcW w:w="234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7"/>
          </w:tcPr>
          <w:p>
            <w:pPr>
              <w:spacing w:after="0"/>
              <w:rPr>
                <w:rFonts w:ascii="Arial" w:cs="Arial" w:eastAsia="Arial" w:hAnsi="Arial"/>
                <w:sz w:val="18"/>
                <w:szCs w:val="18"/>
                <w:color w:val="0000EE"/>
              </w:rPr>
            </w:pPr>
            <w:hyperlink w:anchor="page170">
              <w:r>
                <w:rPr>
                  <w:rFonts w:ascii="Arial" w:cs="Arial" w:eastAsia="Arial" w:hAnsi="Arial"/>
                  <w:sz w:val="18"/>
                  <w:szCs w:val="18"/>
                  <w:color w:val="0000EE"/>
                </w:rPr>
                <w:t>Principal Accountant Fees and Services</w:t>
              </w:r>
            </w:hyperlink>
          </w:p>
        </w:tc>
        <w:tc>
          <w:tcPr>
            <w:tcW w:w="414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304"/>
        </w:trPr>
        <w:tc>
          <w:tcPr>
            <w:tcW w:w="6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72">
              <w:r>
                <w:rPr>
                  <w:rFonts w:ascii="Arial" w:cs="Arial" w:eastAsia="Arial" w:hAnsi="Arial"/>
                  <w:sz w:val="18"/>
                  <w:szCs w:val="18"/>
                  <w:color w:val="0000EE"/>
                  <w:w w:val="91"/>
                </w:rPr>
                <w:t>PART IV</w:t>
              </w:r>
            </w:hyperlink>
          </w:p>
        </w:tc>
        <w:tc>
          <w:tcPr>
            <w:tcW w:w="920" w:type="dxa"/>
            <w:vAlign w:val="bottom"/>
            <w:gridSpan w:val="2"/>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15.</w:t>
            </w:r>
          </w:p>
        </w:tc>
        <w:tc>
          <w:tcPr>
            <w:tcW w:w="310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172">
              <w:r>
                <w:rPr>
                  <w:rFonts w:ascii="Arial" w:cs="Arial" w:eastAsia="Arial" w:hAnsi="Arial"/>
                  <w:sz w:val="18"/>
                  <w:szCs w:val="18"/>
                  <w:color w:val="0000EE"/>
                  <w:w w:val="87"/>
                </w:rPr>
                <w:t>Exhibits and Financial Statement Schedules</w:t>
              </w:r>
            </w:hyperlink>
          </w:p>
        </w:tc>
        <w:tc>
          <w:tcPr>
            <w:tcW w:w="636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30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60" w:type="dxa"/>
            <w:vAlign w:val="bottom"/>
            <w:gridSpan w:val="23"/>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Index to Financial Statements and Financial Statement Schedule Items 15(a)(1) and 15(a)(2)</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04"/>
        </w:trPr>
        <w:tc>
          <w:tcPr>
            <w:tcW w:w="1580" w:type="dxa"/>
            <w:vAlign w:val="bottom"/>
            <w:gridSpan w:val="6"/>
          </w:tcPr>
          <w:p>
            <w:pPr>
              <w:spacing w:after="0"/>
              <w:rPr>
                <w:rFonts w:ascii="Arial" w:cs="Arial" w:eastAsia="Arial" w:hAnsi="Arial"/>
                <w:sz w:val="18"/>
                <w:szCs w:val="18"/>
                <w:color w:val="0000EE"/>
              </w:rPr>
            </w:pPr>
            <w:hyperlink w:anchor="page185">
              <w:r>
                <w:rPr>
                  <w:rFonts w:ascii="Arial" w:cs="Arial" w:eastAsia="Arial" w:hAnsi="Arial"/>
                  <w:sz w:val="18"/>
                  <w:szCs w:val="18"/>
                  <w:color w:val="0000EE"/>
                </w:rPr>
                <w:t>SIGNATURES</w:t>
              </w:r>
            </w:hyperlink>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II-1</w:t>
            </w:r>
          </w:p>
        </w:tc>
      </w:tr>
      <w:tr>
        <w:trPr>
          <w:trHeight w:val="383"/>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60" w:type="dxa"/>
            <w:vAlign w:val="bottom"/>
            <w:gridSpan w:val="8"/>
          </w:tcPr>
          <w:p>
            <w:pPr>
              <w:ind w:left="100"/>
              <w:spacing w:after="0"/>
              <w:rPr>
                <w:sz w:val="20"/>
                <w:szCs w:val="20"/>
                <w:color w:val="auto"/>
              </w:rPr>
            </w:pPr>
            <w:r>
              <w:rPr>
                <w:rFonts w:ascii="Arial" w:cs="Arial" w:eastAsia="Arial" w:hAnsi="Arial"/>
                <w:sz w:val="18"/>
                <w:szCs w:val="18"/>
                <w:color w:val="auto"/>
              </w:rPr>
              <w:t>i</w:t>
            </w:r>
          </w:p>
        </w:tc>
        <w:tc>
          <w:tcPr>
            <w:tcW w:w="3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64"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When we use the terms “Lazard Group”, “Lazard”, “we”, “us”, “our”, and “the Company”, we mean Lazard Group LLC, a Delaware limited liability company that is the current holding company for the subsidiaries that conduct our businesses. Lazard Ltd is a Bermuda exempt company whose shares of Class A common stock are publicly traded on the New York Stock Exchange under the Symbol “LAZ”. Lazard Ltd’s subsidiaries include Lazard Group and their respective subsidiaries . Lazard Ltd has no material assets other than indirect ownership as of December 31, 2009 of approximately 74.5% of the common membership interests in Lazard Group. Lazard Ltd controls Lazard Group through two of its indirect wholly-owned subsidiaries who are co-managing members of Lazard Group.</w:t>
      </w:r>
    </w:p>
    <w:p>
      <w:pPr>
        <w:spacing w:after="0" w:line="13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Lazard Group has two primary holders of its common membership interests: Lazard Ltd and LAZ-MD Holdings LLC (“LAZ-MD Holdings”), a holding company that is owned by current and former managing directors of Lazard Group. The Lazard Group common membership interests held by LAZ-MD Holdings are effectively exchangeable over time on a one-for-one basis with Lazard Ltd for shares of Lazard Ltd’s Class A common stock. In addition, Lazard Group has granted profit participation interests in Lazard Group to certain of its managing directors in connection with the recapitalization of Lazard Group at the time of Lazard Ltd’s equity public offering. The profit participation interests are discretionary profits interests that are intended to enable Lazard Group to compensate its managing directors in a manner consistent with historical practices.</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one of the world’s preeminent financial advisory and asset management firms and have long specialized in crafting solutions to the complex financial and strategic challenges of our clients. We serve a diverse set of clients around the world, including corporations, partnerships, institutions, governments and high-net worth individuals. The first Lazard partnership was established in 1848. Over time we have extended our activities beyond our roots in New York, Paris and London. We currently operate from 40 cities in key business and financial centers across 25 countries throughout Europe, North America, Asia, Australia, and Central and South America.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Separation and Recapitalization</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May 10, 2005, Lazard Ltd completed the equity public offering (the “equity public offering”) of its Class A common stock (“Class A common stock”), the public offering of equity security units (“ESUs”) of Lazard Ltd, the private placements under an investment agreement with IXIS Corporate &amp; Investment Bank (“IXIS” or, following its merger with and into its parent, “Natixis”) and the private offering of the 7.125% senior notes due 2015 of Lazard Group, primarily to recapitalize Lazard Group. We refer to these financing transactions and the recapitalization, collectively, as the “recapitalization.” As part of the recapitalization, Lazard Group used the net proceeds from the financing transactions primarily to redeem the outstanding Lazard Group membership interests of certain of its historical partners.</w:t>
      </w:r>
    </w:p>
    <w:p>
      <w:pPr>
        <w:spacing w:after="0" w:line="13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May 10, 2005, Lazard Group also transferred its capital markets business, which consisted of equity, fixed income and convertibles sales and trading, broking, research and underwriting services, and fund management activities outside of France as well as other specified non-operating assets and liabilities, to LFCM Holdings LLC, a Delaware limited liability company (“LFCM Holdings”). We refer to these businesses, assets and liabilities as the “separated businesses” and these transfers collectively as the “separation.”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 Lines</w:t>
      </w:r>
    </w:p>
    <w:p>
      <w:pPr>
        <w:spacing w:after="0" w:line="83"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We focus primarily on two business segments - Financial Advisory and Asset Management. We believe that the mix of our activities across business segments, geographic regions, industries and investment strategies helps to diversify and stabilize our revenue stream.</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offer corporate, partnership, institutional, government and individual clients across the globe a wide array of financial advisory services regarding mergers and acquisitions (“M&amp;A”) and other strategic matters, restructurings, capital structure, capital raising and various other corporate finance matters. We focus on solving our clients’ most complex problems, providing advice to senior management, boards of directors and business owners of prominent companies and institutions in transactions that typically are of significant strategic and financial importance to them.</w:t>
      </w:r>
    </w:p>
    <w:p>
      <w:pPr>
        <w:spacing w:after="0" w:line="99"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We continue to build our Financial Advisory business by fostering long-term, senior level relationships with existing and new clients as their independent advisor on strategic transactions. We seek to build and sustain long-term relationships with our clients rather than focusing on individual transactions, a practice that we believe enhances our access to senior management of major corporations and institutions around the world. We emphasize providing clients with senior level focus during all phases of transaction execution.</w:t>
      </w:r>
    </w:p>
    <w:p>
      <w:pPr>
        <w:spacing w:after="0" w:line="13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While we strive to earn repeat business from our clients, we operate in a highly competitive environment in which there are no long-term contracted sources of revenue. Each revenue-generating engagement is separately negotiated and awarded. To develop new client relationships, and to develop new engagements from historical client relationships, we maintain an active dialogue with a large number of clients and potential clients, as well as with their financial and legal advisors, on an ongoing basis. We have gained a significant number of new clients each year through our business development initiatives, through recruiting additional senior investment banking professionals who bring with them client relationships and through referrals from directors, attorneys and other third parties with whom we have relationships. At the same time, we lose clients each year as a result of the sale or merger of a client, a change in a client’s senior management, competition from other investment banks and other causes.</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For the years ended December 31, 2009, 2008 and 2007, the Financial Advisory segment net revenue totaled $987 million, $1,023 million and $1,240 million, respectively, accounting for approximately 65%, 66% and 64%, respectively, of our consolidated net revenue for such years. We earned advisory revenue from 620 clients, 682 clients and 625 clients for the years ended December 31, 2009, 2008 and 2007, respectively. We earned $1 million or more from 256 clients, 220 clients and 222 clients for the years ended December 31, 2009, 2008 and 2007, respectively. For the years ended December 31, 2009, 2008 and 2007, the ten largest fee paying clients constituted approximately 17%, 20% and 19% of our Financial Advisory segment net revenue, respectively, with no client individually having constituted more than 10% of segment net revenue during any of these years. For the years ended December 31, 2009, 2008 and 2007, the Financial Advisory segment reported operating income (loss) of $(12) million, $226 million and $319 million, respectively. Operating income in 2009 included a charge of $49 million representing the portion of the special item (as described in Management’s Discussion and Analysis and Note 23 of Notes to Consolidated Financial Statements) that is applicable to the Financial Advisory segment. At December 31, 2009, 2008 and 2007, the Financial Advisory segment had total assets of $707 million, $739 million, and $812 million, respectively.</w:t>
      </w:r>
    </w:p>
    <w:p>
      <w:pPr>
        <w:spacing w:after="0" w:line="109"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believe that we have been pioneers in offering financial advisory services on an international basis, with the establishment of our New York, Paris and London offices dating back to the nineteenth century. We maintain major local presences in the U.S., the U.K. and France, including a network of regional branch offices in the U.S. and France, as well as presences in Argentina, Australia, Belgium, Brazil, Chile, Dubai, Germany, Hong Kong, India, Italy, Japan, the Netherlands, Panama, Peru, Singapore, South Korea, Spain, Sweden, Switzerland, Uruguay and mainland China.</w:t>
      </w:r>
    </w:p>
    <w:p>
      <w:pPr>
        <w:spacing w:after="0" w:line="9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On August 13, 2007, we acquired all of the outstanding ownership interests of Goldsmith, Agio, Helms &amp; Lynner, LLC (“GAHL”), a Minneapolis-based investment bank specializing in financial advisory services to mid-sized private companies. On July 31, 2007, Lazard Ltd acquired all of the outstanding shares of Carnegie, Wylie &amp; Company (Holdings) PTY LTD (“CWC”), an Australia-based financial advisory firm, and concurrently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sold such investment to Lazard Group. Furthermore, on June 19, 2007, we entered into a joint cooperation agreement with Raiffeisen Investment AG (“Raiffeisen”) for merger and acquisition advisory services in Russia and the Central and Eastern European (the “CEE”) region. The cooperation between us and Raiffeisen, one of the CEE region’s top M&amp;A advisors, provides domestic, international and cross-border expertise within Russia and the CEE region. In addition, on January 31, 2008, we acquired a 50% interest in Merchant Bankers Asociados (“MBA”), an Argentina-based financial advisory services firm with offices across Central and South America and the parent company of MBA Banco de Inversiones. Finally, in February 2009, we entered into a strategic alliance with a financial advisory firm in Mexico to provide global M&amp;A advisory services for clients, both inside and outside of Mexico, who are seeking to acquire or sell assets in Mexico or have interests in other financial transactions with companies in Mexico, and to provide restructuring advisory services to clients in Mexico.</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addition to seeking business centered in the locations referred to above, we historically have focused in particular on advising clients with respect to cross-border transactions. We believe that we are particularly well known for our legacy of offering broad teams of professionals who are indigenous to their respective regions and who have long-term client relationships, capabilities and know-how in their respective regions, who will coordinate with our professionals with global sector expertise. We also believe that this positioning affords us insight around the globe into key industry, economic, government and regulatory issues and developments, which we can bring to bear on behalf of our clients.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Services Offered</w:t>
      </w:r>
    </w:p>
    <w:p>
      <w:pPr>
        <w:spacing w:after="0" w:line="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advise clients on a wide range of strategic and financial issues. When we advise companies in the potential acquisition of another company, business or certain assets, our services include evaluating potential acquisition targets, providing valuation analyses, evaluating and proposing financial and strategic alternatives and rendering, if appropriate, fairness opinions. We also may advise as to the timing, structure, financing and pricing of a proposed acquisition and assist in negotiating and closing the acquisition. In addition, we may assist in executing an acquisition by acting as a dealer-manager in transactions structured as a tender or exchange offer.</w:t>
      </w:r>
    </w:p>
    <w:p>
      <w:pPr>
        <w:spacing w:after="0" w:line="1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When we advise clients that are contemplating the sale of certain businesses, assets or their entire company, our services include advising on the appropriate sales process for the situation, valuation issues, assisting in preparing an offering circular or other appropriate sales materials and rendering, if appropriate, fairness opinions. We also identify and contact selected qualified acquirors and assist in negotiating and closing the proposed sale. As appropriate, we also advise our clients regarding financial and strategic alternatives to a sale including recapitalizations, spin-offs, carve-outs, split-offs and tracking stocks. Our advice includes recommendations with respect to the structure, timing and pricing of these alternatives.</w:t>
      </w:r>
    </w:p>
    <w:p>
      <w:pPr>
        <w:spacing w:after="0" w:line="10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companies in financial distress, our services may include reviewing and analyzing the business, operations, properties, financial condition and prospects of the company, evaluating debt capacity, assisting in the determination of an appropriate capital structure and evaluating and recommending financial and strategic alternatives, including providing advice on dividend policy. If appropriate, we may provide financial advice and assistance in developing and seeking approval of a restructuring or reorganization plan, which may include a plan of reorganization under Chapter 11 of the U.S. Bankruptcy Code or other similar court administered processes in non-U.S. jurisdictions. In such cases, we may assist in all aspects of the implementation of such a plan, including advising and assisting in structuring and effecting the financial aspects of a sale or recapitalization, structuring new securities, exchange offers, other considerations or other inducements to be offered or issued, as well as assisting and participating in negotiations with affected entities or groups.</w:t>
      </w:r>
    </w:p>
    <w:p>
      <w:pPr>
        <w:spacing w:after="0" w:line="10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When we assist clients in raising private or public market financing, our services include originating and executing private placements of equity, debt and related securities, assisting clients in connection with securing, refinancing or restructuring bank loans, originating public underwritings of equity, debt and convertible securities and originating and executing private placements of partnership and similar interests in alternative investment funds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such as leveraged buyout, mezzanine or real estate focused funds. In addition, we may advise on capital structure and assist in long-range capital planning and rating agency relationships.</w:t>
      </w:r>
    </w:p>
    <w:p>
      <w:pPr>
        <w:spacing w:after="0" w:line="1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Pursuant to a business alliance agreement that we entered into with LFCM Holdings in connection with the separation in May 2005 (the “business alliance agreement”), LFCM Holdings generally underwrites and distributes U.S. securities offerings originated by our Financial Advisory business in a manner intended to be similar to our practice prior to the separation, with revenue from such offerings generally continuing to be divided evenly between Lazard Group and LFCM Holdings.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Staffing</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staff our assignments with a team of quality professionals who have appropriate product and industry expertise. We pride ourselves on, and we believe we differentiate ourselves from our competitors by, being able to offer a relatively high level of attention from senior personnel to our clients and organizing ourselves in such a way that managing directors who are responsible for securing and maintaining client relationships also actively participate in providing related transaction execution services. Our managing directors have significant experience, and many of them are able to use this experience to advise on both M&amp;A and restructuring transactions, depending on our clients’ needs. Many of our managing directors and senior advisors come from diverse backgrounds, such as senior executive positions at corporations and in government, law and strategic consulting, which we believe enhances our ability to offer sophisticated advice and customized solutions to our clients. As of December 31, 2009, our Financial Advisory segment had 150 managing directors, 681 other professionals (which includes directors, vice presidents, associates and analysts) and 211 support staff personnel.</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Industries Served</w:t>
      </w:r>
    </w:p>
    <w:p>
      <w:pPr>
        <w:spacing w:after="0" w:line="7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We seek to offer our services across most major industry groups, including, in many cases, sub-industry specialties. Our Mergers and Acquisitions managing directors and professionals are organized to provide advice in the following major industry practice areas:</w:t>
      </w:r>
    </w:p>
    <w:p>
      <w:pPr>
        <w:spacing w:after="0" w:line="37"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sponsors,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healthcare and life sciences,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 and energy/infrastructure,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technology, media and telecommunications.</w:t>
      </w:r>
    </w:p>
    <w:p>
      <w:pPr>
        <w:spacing w:after="0" w:line="1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These groups are managed locally in each relevant geographic region and are coordinated globally, which allows us to bring local industry-specific knowledge to bear on behalf of our clients on a global basis. We believe that this enhances the quality of the advice that we can offer, which improves our ability to market our capabilities to clients.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our Mergers and Acquisitions and Restructuring practices, we also maintain specialties in the following distinct practice areas within our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Financial Advisory segment:</w:t>
      </w:r>
    </w:p>
    <w:p>
      <w:pPr>
        <w:spacing w:after="0" w:line="70"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advisory,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structure and debt advisory,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fund raising for alternative investment funds,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private investment in public equity, or “PIPE”,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finance.</w:t>
      </w:r>
    </w:p>
    <w:p>
      <w:pPr>
        <w:spacing w:after="0" w:line="1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endeavor to coordinate the activities of the professionals in these areas with our Mergers and Acquisitions industry specialists in order to offer clients customized teams of cross-functional expertise spanning both industry and practice area expertise.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Strategy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focus in our Financial Advisory business is on:</w:t>
      </w:r>
    </w:p>
    <w:p>
      <w:pPr>
        <w:spacing w:after="0" w:line="77" w:lineRule="exact"/>
        <w:rPr>
          <w:sz w:val="20"/>
          <w:szCs w:val="20"/>
          <w:color w:val="auto"/>
        </w:rPr>
      </w:pPr>
    </w:p>
    <w:p>
      <w:pPr>
        <w:ind w:left="780" w:right="4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making a significant investment in our intellectual capital with the addition of senior professionals who we believe have strong client relationships and industry expertise,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increasing our contacts with existing clients to further enhance our long-term relationships and our efforts in developing new client relationships,</w:t>
      </w:r>
    </w:p>
    <w:p>
      <w:pPr>
        <w:spacing w:after="0" w:line="126" w:lineRule="exact"/>
        <w:rPr>
          <w:rFonts w:ascii="Arial" w:cs="Arial" w:eastAsia="Arial" w:hAnsi="Arial"/>
          <w:sz w:val="16"/>
          <w:szCs w:val="16"/>
          <w:color w:val="auto"/>
        </w:rPr>
      </w:pPr>
    </w:p>
    <w:p>
      <w:pPr>
        <w:ind w:left="780" w:right="300" w:hanging="326"/>
        <w:spacing w:after="0" w:line="325"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expanding the breadth and depth of our industry expertise and selectively adding new practice areas, such as our capital structure advisory effort to help corporations and governments in addressing the significant deleveraging that is unfolding in the developed markets,</w:t>
      </w:r>
    </w:p>
    <w:p>
      <w:pPr>
        <w:spacing w:after="0" w:line="1" w:lineRule="exact"/>
        <w:rPr>
          <w:rFonts w:ascii="Arial" w:cs="Arial" w:eastAsia="Arial" w:hAnsi="Arial"/>
          <w:sz w:val="16"/>
          <w:szCs w:val="16"/>
          <w:color w:val="auto"/>
        </w:rPr>
      </w:pPr>
    </w:p>
    <w:p>
      <w:pPr>
        <w:ind w:left="780" w:right="18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coordinating our industry specialty activities on a global basis and increasing the integration of our industry experts in mergers and acquisitions with our Restructuring and Capital Markets professionals, and</w:t>
      </w:r>
    </w:p>
    <w:p>
      <w:pPr>
        <w:spacing w:after="0" w:line="37" w:lineRule="exact"/>
        <w:rPr>
          <w:rFonts w:ascii="Arial" w:cs="Arial" w:eastAsia="Arial" w:hAnsi="Arial"/>
          <w:sz w:val="18"/>
          <w:szCs w:val="18"/>
          <w:color w:val="auto"/>
        </w:rPr>
      </w:pPr>
    </w:p>
    <w:p>
      <w:pPr>
        <w:ind w:left="780" w:right="300" w:hanging="326"/>
        <w:spacing w:after="0" w:line="298"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broadening our geographic presence by adding new offices, including, since the beginning of 2007, offices in Australia (Melbourne), Switzerland (Zurich) and United Arab Emirates (Dubai City), as well as new regional offices in the U.S. (Boston, Minneapolis, Charlotte and Washington DC), acquiring a 50% interest in a financial advisory firm with offices in Central and South America (Argentina, Chile, Panama, Uruguay and Peru) and entering into a joint cooperation agreement in Eastern Europe and Russia, as well as a strategic alliance with a financial advisory firm in Mexico.</w:t>
      </w:r>
    </w:p>
    <w:p>
      <w:pPr>
        <w:spacing w:after="0" w:line="99"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addition to the investments made as part of this strategy, we believe that the following external market factors may enable our Financial Advisory business to benefit by:</w:t>
      </w:r>
    </w:p>
    <w:p>
      <w:pPr>
        <w:spacing w:after="0" w:line="37"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demand for independent, unbiased financial advice,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high demand for Restructuring advice due to the significant level of corporate defaults,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potential increase in cross-border M&amp;A and large capitalization M&amp;A, two of our areas of historical specialization.</w:t>
      </w:r>
    </w:p>
    <w:p>
      <w:pPr>
        <w:spacing w:after="0" w:line="185"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Going forward, our strategic emphasis in our Financial Advisory business is to leverage the investments we have made in recent years to grow our business and drive our productivity. We continue to seek to opportunistically attract outstanding individuals to our business. We routinely reassess our strategic position and may in the future seek opportunities to further enhance our competitive position. In this regard, during 2007 and 2008, as described above, we broadened our geographic footprint through acquisitions, investments and alliances in Australia, Eastern Europe, Russia and Central and South America, and by opening new offices. In addition, as a result of acquiring GAHL in 2007, we launched “Lazard Middle Market,” which advises primarily mid-sized private companies.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Relationship with Natixis</w:t>
      </w:r>
    </w:p>
    <w:p>
      <w:pPr>
        <w:spacing w:after="0" w:line="7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At the time of the equity public offering in 2005, Lazard Group and Natixis had in place a cooperation arrangement to place and underwrite securities on the French equity primary capital markets under a common brand, currently “Lazard-Natixis,” and cooperate in their respective origination, syndication and placement activities. Although originally set to expire during the third quarter of 2008, the arrangement continues to be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applied in accordance with its general terms pending the outcome of continuing discussions regarding its formal extension. This cooperation covers French listed companies exceeding a market capitalization of €500 million. The cooperation arrangement also provides for an alliance in real estate advisory work with the objective of establishing a common brand for advisory and financing operations within France. It also adds an exclusive mutual referral cooperation arrangement, subject to the fiduciary duties of each firm, with the goal of referring clients from Lazard Group to Natixis for services relating to corporate banking, lending, securitizations and derivatives within France and from Natixis to Lazard Group for M&amp;A advisory services within France.</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7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Our Asset Management business provides investment management and advisory services to institutional clients, financial intermediaries, private clients and investment vehicles around the world. Our goal in our Asset Management business is to produce superior risk-adjusted investment returns and provide investment solutions customized for our clients. Many of our equity investment strategies share an investment philosophy that centers on fundamental security selection with a focus on the trade-off between a company’s valuation and its financial productivity.</w:t>
      </w:r>
    </w:p>
    <w:p>
      <w:pPr>
        <w:spacing w:after="0" w:line="99"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As of December 31, 2009, total assets under management (“AUM”) were $129.5 billion, of which approximately 82% was invested in equities, 14% in fixed income, 3% in alternative investments, and 1% in private equity funds. As of the same date, approximately 36% of our AUM was invested in international (</w:t>
      </w:r>
      <w:r>
        <w:rPr>
          <w:rFonts w:ascii="Arial" w:cs="Arial" w:eastAsia="Arial" w:hAnsi="Arial"/>
          <w:sz w:val="16"/>
          <w:szCs w:val="16"/>
          <w:i w:val="1"/>
          <w:iCs w:val="1"/>
          <w:color w:val="auto"/>
        </w:rPr>
        <w:t>i.e.</w:t>
      </w:r>
      <w:r>
        <w:rPr>
          <w:rFonts w:ascii="Arial" w:cs="Arial" w:eastAsia="Arial" w:hAnsi="Arial"/>
          <w:sz w:val="16"/>
          <w:szCs w:val="16"/>
          <w:color w:val="auto"/>
        </w:rPr>
        <w:t>, non-U.S. and regional non-U.S.) investment strategies, 46% was invested in global investment strategies and 18% was invested in U.S. investment strategies, and our top ten clients accounted for 23% of our total AUM. Approximately 89% of our AUM as of that date was managed on behalf of institutional clients, including corporations, labor unions, public pension funds, insurance companies and banks, and through sub-advisory relationships, mutual fund sponsors, broker-dealers and registered advisors, and approximately 11% of our AUM as of December 31, 2009 was managed on behalf of individual client relationships, which are principally with family offices and high-net worth individuals.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charts below illustrate the mix of our AUM as of December 31, 2009, measured by broad product strategy and by office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4913630" cy="14490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13630"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For the years ended December 31, 2009, 2008 and 2007, Asset Management segment net revenue totaled $602 million, $615 million and $725 million, respectively, accounting for approximately 39%, 39% and 38%, respectively, of our consolidated net revenue for such years. For the year ended December 31, 2009, Asset Management reported operating income of $97 million, as compared to an operating loss of $63 million and operating income of $185 million for the years ended December 31, 2008 and 2007, respectively. Operating income in 2009 and 2008 included charges of $8 million and approximately $197 million, respectively, representing the portion of the special items (as described in Management’s Discussion and Analysis and Note 23 of Notes to Consolidated Financial Statements) that are applicable to the Asset Management segment. At December 31, 2009, 2008 and 2007, our Asset Management segment had $703 million, $420 million, and $581 million in total assets, respectively.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LAM and LFG</w:t>
      </w:r>
    </w:p>
    <w:p>
      <w:pPr>
        <w:spacing w:after="0" w:line="7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largest Asset Management subsidiaries are Lazard Asset Management LLC and its subsidiaries (“LAM”), with offices in New York, San Francisco, Boston, Chicago, Toronto, Montreal, London, Milan, Frankfurt, Hamburg, Tokyo, Hong Kong, Sydney, Seoul and Bahrain (aggregating approximately $116.5 billion in total AUM as of December 31, 2009), and Lazard Frères Gestion SAS (“LFG”), with offices in Paris and Brussels (aggregating approximately $12.2 billion in total AUM as of December 31, 2009). These operations, with 591 employees as of December 31, 2009, provide our business with both a global presence and a local identity.</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Primary distinguishing features of these operations include:</w:t>
      </w:r>
    </w:p>
    <w:p>
      <w:pPr>
        <w:spacing w:after="0" w:line="77"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global footprint with global research, global mandates and global clients,</w:t>
      </w:r>
    </w:p>
    <w:p>
      <w:pPr>
        <w:spacing w:after="0" w:line="103" w:lineRule="exact"/>
        <w:rPr>
          <w:rFonts w:ascii="Arial" w:cs="Arial" w:eastAsia="Arial" w:hAnsi="Arial"/>
          <w:sz w:val="18"/>
          <w:szCs w:val="18"/>
          <w:color w:val="auto"/>
        </w:rPr>
      </w:pPr>
    </w:p>
    <w:p>
      <w:pPr>
        <w:ind w:left="780" w:right="180" w:hanging="326"/>
        <w:spacing w:after="0" w:line="306"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broad-based team of approximately 235 investment professionals at December 31, 2009: LAM had approximately 200 investment professionals, including approximately 80 focused, in-house, investment analysts across all products and platforms, many of whom have substantial industry or sector specific expertise, and LFG had approximately 35 investment professionals, including research analysts,</w:t>
      </w:r>
    </w:p>
    <w:p>
      <w:pPr>
        <w:spacing w:after="0" w:line="12" w:lineRule="exact"/>
        <w:rPr>
          <w:rFonts w:ascii="Arial" w:cs="Arial" w:eastAsia="Arial" w:hAnsi="Arial"/>
          <w:sz w:val="16"/>
          <w:szCs w:val="16"/>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security selection-based investment philosophy applied across products,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world-wide brand recognition and multi-channel distribution capabilities.</w:t>
      </w:r>
    </w:p>
    <w:p>
      <w:pPr>
        <w:spacing w:after="0" w:line="1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Our Investment Philosophy, Process and Research</w:t>
      </w:r>
      <w:r>
        <w:rPr>
          <w:rFonts w:ascii="Arial" w:cs="Arial" w:eastAsia="Arial" w:hAnsi="Arial"/>
          <w:sz w:val="18"/>
          <w:szCs w:val="18"/>
          <w:color w:val="auto"/>
        </w:rPr>
        <w:t>. Our investment philosophy is generally based upon a fundamental security selection approach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investing. Across many of our products, we apply three key principles to investment portfolios:</w:t>
      </w:r>
    </w:p>
    <w:p>
      <w:pPr>
        <w:spacing w:after="0" w:line="37"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select securities, not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evaluate the trade-off between returns and valuations,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 risk.</w:t>
      </w:r>
    </w:p>
    <w:p>
      <w:pPr>
        <w:spacing w:after="0" w:line="185"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In searching for equity investment opportunities, many of our investment professionals follow an investment process that incorporates several interconnected components that may include:</w:t>
      </w:r>
    </w:p>
    <w:p>
      <w:pPr>
        <w:spacing w:after="0" w:line="37"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analytical framework analysis and screening,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accounting validation,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fundamental analysis,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security selection and portfolio construction,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 management.</w:t>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LAM, we conduct investment research on a global basis to develop market, industry and company specific insights. Approximately 80 investment analysts, located in our worldwide offices, conduct research and evaluate investment opportunities around the world, and across all products and platforms. The LAM global analysts are organized around six global industry sectors:</w:t>
      </w:r>
    </w:p>
    <w:p>
      <w:pPr>
        <w:spacing w:after="0" w:line="46"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consumer goods,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financial services,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health care,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industrials,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power,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technology, media and telecommunications.</w:t>
      </w:r>
    </w:p>
    <w:p>
      <w:pPr>
        <w:spacing w:after="0" w:line="18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i w:val="1"/>
          <w:iCs w:val="1"/>
          <w:color w:val="auto"/>
        </w:rPr>
        <w:t>Investment Strategies</w:t>
      </w:r>
      <w:r>
        <w:rPr>
          <w:rFonts w:ascii="Arial" w:cs="Arial" w:eastAsia="Arial" w:hAnsi="Arial"/>
          <w:sz w:val="16"/>
          <w:szCs w:val="16"/>
          <w:color w:val="auto"/>
        </w:rPr>
        <w:t>. Our Asset Management business provides equity, fixed income, cash management and alternative investment strategies to our</w:t>
      </w:r>
      <w:r>
        <w:rPr>
          <w:rFonts w:ascii="Arial" w:cs="Arial" w:eastAsia="Arial" w:hAnsi="Arial"/>
          <w:sz w:val="16"/>
          <w:szCs w:val="16"/>
          <w:i w:val="1"/>
          <w:iCs w:val="1"/>
          <w:color w:val="auto"/>
        </w:rPr>
        <w:t xml:space="preserve"> </w:t>
      </w:r>
      <w:r>
        <w:rPr>
          <w:rFonts w:ascii="Arial" w:cs="Arial" w:eastAsia="Arial" w:hAnsi="Arial"/>
          <w:sz w:val="16"/>
          <w:szCs w:val="16"/>
          <w:color w:val="auto"/>
        </w:rPr>
        <w:t>clients, paying close attention to our clients’ varying and expanding investment needs. We offer the following product platform of investment strategies:</w:t>
      </w:r>
    </w:p>
    <w:p>
      <w:pPr>
        <w:sectPr>
          <w:pgSz w:w="11900" w:h="16838" w:orient="portrait"/>
          <w:cols w:equalWidth="0" w:num="1">
            <w:col w:w="11400"/>
          </w:cols>
          <w:pgMar w:left="240" w:top="459" w:right="259" w:bottom="1440" w:gutter="0" w:footer="0" w:header="0"/>
        </w:sectPr>
      </w:pP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Equities</w:t>
            </w:r>
          </w:p>
        </w:tc>
        <w:tc>
          <w:tcPr>
            <w:tcW w:w="1600" w:type="dxa"/>
            <w:vAlign w:val="bottom"/>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Global</w:t>
            </w:r>
          </w:p>
        </w:tc>
        <w:tc>
          <w:tcPr>
            <w:tcW w:w="0" w:type="dxa"/>
            <w:vAlign w:val="bottom"/>
          </w:tcPr>
          <w:p>
            <w:pPr>
              <w:spacing w:after="0"/>
              <w:rPr>
                <w:sz w:val="1"/>
                <w:szCs w:val="1"/>
                <w:color w:val="auto"/>
              </w:rPr>
            </w:pPr>
          </w:p>
        </w:tc>
      </w:tr>
      <w:tr>
        <w:trPr>
          <w:trHeight w:val="201"/>
        </w:trPr>
        <w:tc>
          <w:tcPr>
            <w:tcW w:w="2040" w:type="dxa"/>
            <w:vAlign w:val="bottom"/>
            <w:vMerge w:val="continue"/>
          </w:tcPr>
          <w:p>
            <w:pPr>
              <w:spacing w:after="0"/>
              <w:rPr>
                <w:sz w:val="17"/>
                <w:szCs w:val="17"/>
                <w:color w:val="auto"/>
              </w:rPr>
            </w:pPr>
          </w:p>
        </w:tc>
        <w:tc>
          <w:tcPr>
            <w:tcW w:w="1600" w:type="dxa"/>
            <w:vAlign w:val="bottom"/>
          </w:tcPr>
          <w:p>
            <w:pPr>
              <w:ind w:left="260"/>
              <w:spacing w:after="0" w:line="201" w:lineRule="exact"/>
              <w:rPr>
                <w:sz w:val="20"/>
                <w:szCs w:val="20"/>
                <w:color w:val="auto"/>
              </w:rPr>
            </w:pPr>
            <w:r>
              <w:rPr>
                <w:rFonts w:ascii="Arial" w:cs="Arial" w:eastAsia="Arial" w:hAnsi="Arial"/>
                <w:sz w:val="18"/>
                <w:szCs w:val="18"/>
                <w:b w:val="1"/>
                <w:bCs w:val="1"/>
                <w:i w:val="1"/>
                <w:iCs w:val="1"/>
                <w:color w:val="auto"/>
              </w:rPr>
              <w:t>Global</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Large Capitalization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Small Capitalization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Emerging Markets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Thematic</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Convertibles*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Listed Infrastructure</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Quantitative</w:t>
            </w:r>
          </w:p>
        </w:tc>
        <w:tc>
          <w:tcPr>
            <w:tcW w:w="0" w:type="dxa"/>
            <w:vAlign w:val="bottom"/>
          </w:tcPr>
          <w:p>
            <w:pPr>
              <w:spacing w:after="0"/>
              <w:rPr>
                <w:sz w:val="1"/>
                <w:szCs w:val="1"/>
                <w:color w:val="auto"/>
              </w:rPr>
            </w:pPr>
          </w:p>
        </w:tc>
      </w:tr>
      <w:tr>
        <w:trPr>
          <w:trHeight w:val="277"/>
        </w:trPr>
        <w:tc>
          <w:tcPr>
            <w:tcW w:w="2040" w:type="dxa"/>
            <w:vAlign w:val="bottom"/>
          </w:tcPr>
          <w:p>
            <w:pPr>
              <w:spacing w:after="0"/>
              <w:rPr>
                <w:sz w:val="24"/>
                <w:szCs w:val="24"/>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b w:val="1"/>
                <w:bCs w:val="1"/>
                <w:i w:val="1"/>
                <w:iCs w:val="1"/>
                <w:color w:val="auto"/>
              </w:rPr>
              <w:t>EAFE (Non-U.S.)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Large Capitalization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Small Capitalization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Multi-Capitalization</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Quantitative</w:t>
            </w:r>
          </w:p>
        </w:tc>
        <w:tc>
          <w:tcPr>
            <w:tcW w:w="0" w:type="dxa"/>
            <w:vAlign w:val="bottom"/>
          </w:tcPr>
          <w:p>
            <w:pPr>
              <w:spacing w:after="0"/>
              <w:rPr>
                <w:sz w:val="1"/>
                <w:szCs w:val="1"/>
                <w:color w:val="auto"/>
              </w:rPr>
            </w:pPr>
          </w:p>
        </w:tc>
      </w:tr>
      <w:tr>
        <w:trPr>
          <w:trHeight w:val="277"/>
        </w:trPr>
        <w:tc>
          <w:tcPr>
            <w:tcW w:w="2040" w:type="dxa"/>
            <w:vAlign w:val="bottom"/>
          </w:tcPr>
          <w:p>
            <w:pPr>
              <w:spacing w:after="0"/>
              <w:rPr>
                <w:sz w:val="24"/>
                <w:szCs w:val="24"/>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b w:val="1"/>
                <w:bCs w:val="1"/>
                <w:i w:val="1"/>
                <w:iCs w:val="1"/>
                <w:color w:val="auto"/>
              </w:rPr>
              <w:t>Global Ex</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Global Ex-U.K.</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Global Ex-Japan</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Global Ex-Australia</w:t>
            </w:r>
          </w:p>
        </w:tc>
        <w:tc>
          <w:tcPr>
            <w:tcW w:w="0" w:type="dxa"/>
            <w:vAlign w:val="bottom"/>
          </w:tcPr>
          <w:p>
            <w:pPr>
              <w:spacing w:after="0"/>
              <w:rPr>
                <w:sz w:val="1"/>
                <w:szCs w:val="1"/>
                <w:color w:val="auto"/>
              </w:rPr>
            </w:pPr>
          </w:p>
        </w:tc>
      </w:tr>
      <w:tr>
        <w:trPr>
          <w:trHeight w:val="285"/>
        </w:trPr>
        <w:tc>
          <w:tcPr>
            <w:tcW w:w="2040" w:type="dxa"/>
            <w:vAlign w:val="bottom"/>
          </w:tcPr>
          <w:p>
            <w:pPr>
              <w:spacing w:after="0"/>
              <w:rPr>
                <w:sz w:val="20"/>
                <w:szCs w:val="20"/>
                <w:color w:val="auto"/>
              </w:rPr>
            </w:pPr>
            <w:r>
              <w:rPr>
                <w:rFonts w:ascii="Arial" w:cs="Arial" w:eastAsia="Arial" w:hAnsi="Arial"/>
                <w:sz w:val="18"/>
                <w:szCs w:val="18"/>
                <w:b w:val="1"/>
                <w:bCs w:val="1"/>
                <w:color w:val="auto"/>
              </w:rPr>
              <w:t>Fixed Income and Cash</w:t>
            </w:r>
          </w:p>
        </w:tc>
        <w:tc>
          <w:tcPr>
            <w:tcW w:w="2020" w:type="dxa"/>
            <w:vAlign w:val="bottom"/>
            <w:gridSpan w:val="2"/>
          </w:tcPr>
          <w:p>
            <w:pPr>
              <w:ind w:left="260"/>
              <w:spacing w:after="0"/>
              <w:rPr>
                <w:sz w:val="20"/>
                <w:szCs w:val="20"/>
                <w:color w:val="auto"/>
              </w:rPr>
            </w:pPr>
            <w:r>
              <w:rPr>
                <w:rFonts w:ascii="Arial" w:cs="Arial" w:eastAsia="Arial" w:hAnsi="Arial"/>
                <w:sz w:val="18"/>
                <w:szCs w:val="18"/>
                <w:b w:val="1"/>
                <w:bCs w:val="1"/>
                <w:i w:val="1"/>
                <w:iCs w:val="1"/>
                <w:color w:val="auto"/>
              </w:rPr>
              <w:t>Global</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20"/>
                <w:szCs w:val="20"/>
                <w:color w:val="auto"/>
              </w:rPr>
            </w:pPr>
            <w:r>
              <w:rPr>
                <w:rFonts w:ascii="Arial" w:cs="Arial" w:eastAsia="Arial" w:hAnsi="Arial"/>
                <w:sz w:val="18"/>
                <w:szCs w:val="18"/>
                <w:b w:val="1"/>
                <w:bCs w:val="1"/>
                <w:color w:val="auto"/>
              </w:rPr>
              <w:t>Management</w:t>
            </w: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Core Fixed Income</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High Yield</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Short Duration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b w:val="1"/>
          <w:bCs w:val="1"/>
          <w:color w:val="auto"/>
        </w:rPr>
        <w:t>Alternative</w:t>
      </w:r>
      <w:r>
        <w:rPr>
          <w:sz w:val="20"/>
          <w:szCs w:val="20"/>
          <w:color w:val="auto"/>
        </w:rPr>
        <w:tab/>
      </w:r>
      <w:r>
        <w:rPr>
          <w:rFonts w:ascii="Arial" w:cs="Arial" w:eastAsia="Arial" w:hAnsi="Arial"/>
          <w:sz w:val="18"/>
          <w:szCs w:val="18"/>
          <w:b w:val="1"/>
          <w:bCs w:val="1"/>
          <w:i w:val="1"/>
          <w:iCs w:val="1"/>
          <w:color w:val="auto"/>
        </w:rPr>
        <w:t>Global</w:t>
      </w:r>
    </w:p>
    <w:p>
      <w:pPr>
        <w:spacing w:after="0" w:line="2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Fund of Hedge Funds</w:t>
      </w:r>
    </w:p>
    <w:p>
      <w:pPr>
        <w:spacing w:after="0" w:line="9" w:lineRule="exact"/>
        <w:rPr>
          <w:sz w:val="20"/>
          <w:szCs w:val="20"/>
          <w:color w:val="auto"/>
        </w:rPr>
      </w:pPr>
    </w:p>
    <w:p>
      <w:pPr>
        <w:jc w:val="right"/>
        <w:ind w:right="940"/>
        <w:spacing w:after="0"/>
        <w:rPr>
          <w:sz w:val="20"/>
          <w:szCs w:val="20"/>
          <w:color w:val="auto"/>
        </w:rPr>
      </w:pPr>
      <w:r>
        <w:rPr>
          <w:rFonts w:ascii="Arial" w:cs="Arial" w:eastAsia="Arial" w:hAnsi="Arial"/>
          <w:sz w:val="18"/>
          <w:szCs w:val="18"/>
          <w:color w:val="auto"/>
        </w:rPr>
        <w:t>Fund of Closed-End Funds</w:t>
      </w:r>
    </w:p>
    <w:p>
      <w:pPr>
        <w:spacing w:after="0" w:line="9" w:lineRule="exact"/>
        <w:rPr>
          <w:sz w:val="20"/>
          <w:szCs w:val="20"/>
          <w:color w:val="auto"/>
        </w:rPr>
      </w:pPr>
    </w:p>
    <w:p>
      <w:pPr>
        <w:jc w:val="right"/>
        <w:ind w:right="1000"/>
        <w:spacing w:after="0"/>
        <w:rPr>
          <w:sz w:val="20"/>
          <w:szCs w:val="20"/>
          <w:color w:val="auto"/>
        </w:rPr>
      </w:pPr>
      <w:r>
        <w:rPr>
          <w:rFonts w:ascii="Arial" w:cs="Arial" w:eastAsia="Arial" w:hAnsi="Arial"/>
          <w:sz w:val="18"/>
          <w:szCs w:val="18"/>
          <w:color w:val="auto"/>
        </w:rPr>
        <w:t>(Long and Long/Short)</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Convertible</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Arbitrage/Relative Value</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1060"/>
        <w:spacing w:after="0"/>
        <w:rPr>
          <w:sz w:val="20"/>
          <w:szCs w:val="20"/>
          <w:color w:val="auto"/>
        </w:rPr>
      </w:pPr>
      <w:r>
        <w:rPr>
          <w:rFonts w:ascii="Arial" w:cs="Arial" w:eastAsia="Arial" w:hAnsi="Arial"/>
          <w:sz w:val="14"/>
          <w:szCs w:val="14"/>
          <w:b w:val="1"/>
          <w:bCs w:val="1"/>
          <w:u w:val="single" w:color="auto"/>
          <w:color w:val="auto"/>
        </w:rPr>
        <w:t>Regional</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Pan-European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Large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Small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Quantitative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Eurozone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Large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Small Capitalization**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Continental European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Small Cap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Multi Cap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Eurozone (</w:t>
      </w:r>
      <w:r>
        <w:rPr>
          <w:rFonts w:ascii="Arial" w:cs="Arial" w:eastAsia="Arial" w:hAnsi="Arial"/>
          <w:sz w:val="16"/>
          <w:szCs w:val="16"/>
          <w:i w:val="1"/>
          <w:iCs w:val="1"/>
          <w:color w:val="auto"/>
        </w:rPr>
        <w:t>i.e</w:t>
      </w:r>
      <w:r>
        <w:rPr>
          <w:rFonts w:ascii="Arial" w:cs="Arial" w:eastAsia="Arial" w:hAnsi="Arial"/>
          <w:sz w:val="16"/>
          <w:szCs w:val="16"/>
          <w:color w:val="auto"/>
        </w:rPr>
        <w:t>., Euro Bloc)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Euro-Trend (Thematic)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Pan-European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Core Fixed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 Yield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Duration Overlay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Eurozone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Fixed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Bonds**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Regional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European Explorer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(Long/Short)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Emerging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 (Long/Short)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4"/>
          <w:szCs w:val="14"/>
          <w:b w:val="1"/>
          <w:bCs w:val="1"/>
          <w:u w:val="single" w:color="auto"/>
          <w:color w:val="auto"/>
        </w:rPr>
        <w:t>Domestic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Large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Mid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Small/Mid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Multi-Capitalization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U.K. (Large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 (Small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 Quantitative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France (Large Capitalization)*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 (Small Capitalization)*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Core Fixed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 Yield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Short Duration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Municipals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Management*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U.K. Fixed Income</w:t>
      </w:r>
    </w:p>
    <w:p>
      <w:pPr>
        <w:spacing w:after="0" w:line="1758" w:lineRule="exact"/>
        <w:rPr>
          <w:sz w:val="20"/>
          <w:szCs w:val="20"/>
          <w:color w:val="auto"/>
        </w:rPr>
      </w:pPr>
    </w:p>
    <w:p>
      <w:pPr>
        <w:sectPr>
          <w:pgSz w:w="11900" w:h="16838" w:orient="portrait"/>
          <w:cols w:equalWidth="0" w:num="3">
            <w:col w:w="5140" w:space="720"/>
            <w:col w:w="2120" w:space="720"/>
            <w:col w:w="2700"/>
          </w:cols>
          <w:pgMar w:left="240" w:top="459" w:right="259" w:bottom="1440" w:gutter="0" w:footer="0" w:header="0"/>
          <w:type w:val="continuous"/>
        </w:sectPr>
      </w:pPr>
    </w:p>
    <w:p>
      <w:pPr>
        <w:ind w:right="40"/>
        <w:spacing w:after="0" w:line="268" w:lineRule="auto"/>
        <w:rPr>
          <w:sz w:val="20"/>
          <w:szCs w:val="20"/>
          <w:color w:val="auto"/>
        </w:rPr>
      </w:pPr>
      <w:r>
        <w:rPr>
          <w:rFonts w:ascii="Arial" w:cs="Arial" w:eastAsia="Arial" w:hAnsi="Arial"/>
          <w:sz w:val="18"/>
          <w:szCs w:val="18"/>
          <w:color w:val="auto"/>
        </w:rPr>
        <w:t>All of the above strategies are offered by LAM, except for those denoted by *, which are offered exclusively by LFG. Investment strategies offered by both LAM and LFG are denoted by **.</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to the primary investment strategies listed above, we also provide locally customized investment solutions to our clients. In many cases, we also offer both diversified and more concentrated versions of our products. These products are generally offered on a separate account basis, as well as through pooled vehicles.</w:t>
      </w:r>
    </w:p>
    <w:p>
      <w:pPr>
        <w:spacing w:after="0" w:line="12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Distribution</w:t>
      </w:r>
      <w:r>
        <w:rPr>
          <w:rFonts w:ascii="Arial" w:cs="Arial" w:eastAsia="Arial" w:hAnsi="Arial"/>
          <w:sz w:val="18"/>
          <w:szCs w:val="18"/>
          <w:color w:val="auto"/>
        </w:rPr>
        <w:t>. We distribute our products through a broad array of marketing channels on a global basis. LAM’s marketing, sales and client service efforts</w:t>
      </w:r>
      <w:r>
        <w:rPr>
          <w:rFonts w:ascii="Arial" w:cs="Arial" w:eastAsia="Arial" w:hAnsi="Arial"/>
          <w:sz w:val="18"/>
          <w:szCs w:val="18"/>
          <w:i w:val="1"/>
          <w:iCs w:val="1"/>
          <w:color w:val="auto"/>
        </w:rPr>
        <w:t xml:space="preserve"> </w:t>
      </w:r>
      <w:r>
        <w:rPr>
          <w:rFonts w:ascii="Arial" w:cs="Arial" w:eastAsia="Arial" w:hAnsi="Arial"/>
          <w:sz w:val="18"/>
          <w:szCs w:val="18"/>
          <w:color w:val="auto"/>
        </w:rPr>
        <w:t>are organized through a global market delivery and service network, with distribution professionals located in cities including New York, San Francisco, London, Milan, Frankfurt, Hamburg, Tokyo, Sydney, Hong Kong, Bahrain and Seoul. We have developed a well-established presence in the institutional asset management arena, managing money for corporations, labor unions and public pension funds around the world. In addition, we manage assets for insurance companies, savings and trust banks, endowments, foundations and charities.</w:t>
      </w:r>
    </w:p>
    <w:p>
      <w:pPr>
        <w:spacing w:after="0" w:line="12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also have become a leading firm in third-party distribution, managing mutual funds and separately managed accounts for many of the world’s largest broker-dealers, insurance companies, registered advisors and other financial intermediaries. In the area of wealth management, we cater to family offices and private clients.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LFG markets and distributes its products through 21 sales professionals based in France who directly target both individual and institutional investors.</w:t>
      </w:r>
    </w:p>
    <w:p>
      <w:pPr>
        <w:spacing w:after="0" w:line="18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June 2009, the Company formed a new wealth management subsidiary, Lazard Wealth Management LLC (“Lazard Wealth Management”). We expect that Lazard Wealth Management, which has not yet commenced operations, will provide customized investment management and financial planning services to high net worth investors in the U.S. Lazard Wealth Management expects to work with investors to construct, implement and monitor an asset allocation strategy designed to meet the individual client’s investment objectives, integrating tax planning, estate planning, philanthropic interests and legacy planning with investment and risk management services. Prior to the launch of this business, we registered Lazard Wealth Management as an investment adviser with the United States Securities and Exchange Commission (the “SEC”). As of December 31, 2009, Lazard Wealth Management had 8 employees.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Strategy</w:t>
      </w:r>
    </w:p>
    <w:p>
      <w:pPr>
        <w:spacing w:after="0" w:line="77"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Our strategic plan in our Asset Management business is to focus on delivering superior investment performance and client service and broadening our product offerings and distribution in selected areas in order to continue to drive improved business results. Over the past several years, in an effort to improve LAM’s operations and expand our business, we have:</w:t>
      </w:r>
    </w:p>
    <w:p>
      <w:pPr>
        <w:spacing w:after="0" w:line="46"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focused on enhancing our investment performance,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improved our investment management platform by adding a number of senior investment professionals (including portfolio managers and analysts),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to strengthen our marketing and consultant relations capabilities,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expanded our product platform,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to expand LAM’s geographic reach, including through opening offices in Hong Kong and Bahrain.</w:t>
      </w:r>
    </w:p>
    <w:p>
      <w:pPr>
        <w:spacing w:after="0" w:line="18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believe that our Asset Management business has long maintained an outstanding team of portfolio managers and global research analysts. We intend to maintain and supplement our intellectual capital to achieve our goals. We routinely reassess our strategic position and may in the future seek acquisitions or other transactions, including the opportunistic hiring of new employees, in order to further enhance our competitive position. We also believe that our specific investment strategies, global reach, unique brand identity and access to multiple distribution channels may allow us to expand into new investment products, strategies and geographic locations. In addition, we plan to expand our participation in alternative investment activities through investments in new and successor funds, and are considering expanding the services we offer to high-net worth individuals, through organic growth, acquisitions or otherwise.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Alternative Investments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Lazard has a long history of making investments with its own capital, often alongside capital of qualified institutional and individual investors. These activities typically are organized in funds that make substantial or controlling investments in private or public companies, generally through privately negotiated transactions and with a view to divestment within two to seven years. While potentially risky and frequently illiquid, such investments, when successful, can yield investors substantial returns on capital and generate attractive management and performance fees for the sponsor of such funds.</w:t>
      </w:r>
    </w:p>
    <w:p>
      <w:pPr>
        <w:spacing w:after="0" w:line="99"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As a part of the separation in 2005, we transferred to LFCM Holdings all of our alternative investment activities at that time, except for Fonds Partenaires Gestion SA (“FPG”), our private equity business in France, which, until September 30, 2009, was a subsidiary of our Paris-based banking affiliate, Lazard Frères Banque SA (“LFB”). We also transferred to LFCM Holdings certain principal investments by Lazard Group in the funds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managed by the separated businesses. Effective September 30, 2009, the Company sold FPG to a fund management company forming part of a group that manages investment companies and funds, in some of which Lazard could earn carried interests. The managing directors and staff conducting this activity were accordingly transferred to the buyer. The sale of FPG did not have a material impact on our financial condition or results of operations.</w:t>
      </w:r>
    </w:p>
    <w:p>
      <w:pPr>
        <w:spacing w:after="0" w:line="9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LFCM Holdings operates the alternative investment business (including private equity activities) transferred to it in the separation. Consistent with our intent to support the development of the alternative investment business, including investing capital in funds managed or formed by Lazard Alternative Investments Holdings LLC (“LAI”), a subsidiary of LFCM Holdings, and in order to benefit from what we believe to be the potential of this business, we are entitled to receive from LFCM Holdings all or a portion of the payments from the incentive distributions attributable to these funds (net of compensation payable to investment professionals who manage these funds) pursuant to the business alliance agreement between us and LFCM Holdings. In addition, pursuant to the business alliance agreement, we retained an option to acquire the North American and European the fund management activities of LAI and have the right to participate in the oversight of LFCM Holdings’ funds and consent to certain actions. On December 15, 2009, Lazard Group exercised its option to acquire the European fund management activities of LAI. The remaining option to purchase the North American fund management activities is currently exercisable at any time prior to May 10, 2014 (see Note 10 of Notes to Consolidated Financial Statements). We will continue to abide by our obligations with respect to transferred funds. From time to time, we have considered exercising the option with respect to the remaining activities in North America and have had preliminary conversations with LFCM Holdings in that regard.</w:t>
      </w:r>
    </w:p>
    <w:p>
      <w:pPr>
        <w:spacing w:after="0" w:line="11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Since 2005, consistent with our obligations to LFCM Holdings, we have engaged in a number of alternative investments and private equity activities. During 2008, we formed a strategic partnership with Apollo Management, L.P. (“Apollo”), an affiliate of Apollo Global Management, LLC, a leading global alternative asset manager, for private equity investments in Europe. In addition, in February 2009 the business alliance agreement was amended to remove certain restrictions on the Company engaging in private equity businesses in North America and to reduce the price of our option to acquire the fund management activities of LAI in North America. We continue to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In that regard, on July 15, 2009, the Company established a private equity business with The Edgewater Funds (“Edgewater”), a Chicago-based private equity firm, through the acquisition of Edgewater’s management vehicles. The acquisition was structured as a purchase by Lazard of interests in a holding company that owns interests in the general partner and management company entities of the current Edgewater private equity funds (the “Edgewater Acquisition”) (see Note 9 of Notes to Consolidated Financial Statements). As of December 31, 2009, Edgewater, with 18 employees, had approximately $600 million of AUM and unfunded fee-earning commitments. Also, consistent with our obligations to LFCM Holdings, we may explore discrete capital markets opportunities. See Notes 10 and 15 of Notes to Consolidated Financial Statements for additional information regarding alternative investments, including recent developments with respect to Corporate Partners II Limited.</w:t>
      </w:r>
    </w:p>
    <w:p>
      <w:pPr>
        <w:spacing w:after="0" w:line="10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October 2, 2007, Lazard Funding Limited LLC (“Lazard Funding”), a wholly-owned subsidiary of Lazard Group, formed a special purpose acquisition company, Sapphire Industrials Corp. (“Sapphire”), for the purpose of effecting a merger, capital stock exchange, asset acquisition, stock purchase, reorganization or similar business combination with one or more operating businesses within a 24 month period (collectively referred to as the “Initial Business Combination”). In connection with the formation of Sapphire, Lazard Funding purchased approximately 15.1 million founders’ units (“Founders’ Units”) at a total cost of approximately $0.1 million. Each Founders’ Unit consisted of one share of Sapphire common stock and one warrant to purchase one share of Sapphire common stock. On January 24, 2008, Sapphire completed an initial public offering (the “Sapphire IPO”), which, prior to offering costs, raised $800 million through the sale of 80 million units at an offering price of $10.00 per unit. On January 24, 2008, in connection with the Sapphire IPO, Lazard Funding purchased (i) 5 million units in the Sapphire IPO at a purchase price equal to the public offering price of $10.00 per unit (for an aggregate purchase price of $50.0 million), and (ii) an aggregate of 12.5 million warrants from Sapphire at a</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price of $1.00 per warrant (for a total purchase price of $12.5 million). Net proceeds from the Sapphire IPO were placed in a trust account by Sapphire (the “Trust Account”) pending consummation of the Initial Business Combination.</w:t>
      </w:r>
    </w:p>
    <w:p>
      <w:pPr>
        <w:spacing w:after="0" w:line="118"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On January 6, 2010, Sapphire announced that it had not completed the Initial Business Combination and it would dissolve and distribute the funds in the Trust Account to all its public shareholders, to the extent they are holders of shares issued in the Sapphire IPO, in proportion to their respective equity interests. Pursuant to such dissolution, on January 26, 2010 Sapphire distributed an initial distribution equivalent to approximately $10.06 per share of Sapphire common stock. All Sapphire warrants expired without value. During the fourth quarter of 2009, the Company wrote-off its $13 million investment in Sapphire warrants, with such write-off being recorded in “revenue-other” in the accompanying Consolidated Statement of Operations. See Note 15 of Notes to Consolidated Financial Statements for additional information regarding Sapphire and the Sapphire IPO.</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CWC operates our private equity business in Australia, and, as of December 31, 2009, it had 8 employees and approximately $200 million of private equity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AUM.</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believe that our people are our most important asset, and it is their reputation, talent, integrity and dedication that underpin our success. As of December 31, 2009, we employed 2,294 people, which included 150 managing directors and 681 other professionals in our Financial Advisory segment and 56 managing directors and 299 other professionals in our Asset Management segment. We strive to maintain a work environment that fosters professionalism, excellence, diversity and cooperation among our employees worldwide. We generally utilize an evaluation process at the end of each year to measure performance, determine compensation and provide guidance on opportunities for improved performance. Generally, our employees are not subject to any collective bargaining agreements, except that our employees in certain of our European offices, including France and Italy, are covered by national, industry-wide collective bargaining agreements. We believe that we have good relations with our employees.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financial services industry, and all of the businesses in which we compete, are intensely competitive, and we expect them to remain so. Our competitors are other investment banking and financial advisory firms, broker-dealers, commercial and “universal” banks, insurance companies, investment management firms, hedge fund management firms, alternative investment firms and other financial institutions. We compete with some of our competitors globally and with others on a regional, product or niche basis. We compete on the basis of a number of factors, including quality of people, transaction execution skills, investment track record, quality of client service, individual and institutional client relationships, absence of conflicts, range of products and services, innovation, brand recognition and business reputation.</w:t>
      </w:r>
    </w:p>
    <w:p>
      <w:pPr>
        <w:spacing w:after="0" w:line="131"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While our competitors vary by country in our Mergers and Acquisitions practice, we believe our primary competitors in securing M&amp;A advisory engagements are Bank of America, Citigroup, Credit Suisse, Deutsche Bank AG, Goldman Sachs &amp; Co., JPMorgan Chase, Mediobanca, Morgan Stanley, Rothschild and UBS. In our Restructuring practice, our primary competitors are The Blackstone Group, Evercore Partners, Greenhill &amp; Co. and Rothschild.</w:t>
      </w:r>
    </w:p>
    <w:p>
      <w:pPr>
        <w:spacing w:after="0" w:line="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believe that our primary global competitors in our Asset Management business include, in the case of LAM, Alliance Bernstein, AMVESCAP, Brandes Investment Partners, Capital Management &amp; Research, Fidelity, Lord Abbett, Aberdeen and Schroders and, in the case of LFG, Swiss private banks with offices in France as well as large institutional banks and fund managers. We face competition in private equity both in the pursuit of outside investors for our private equity funds and the acquisition of investments in attractive portfolio companies. We compete with hundreds of other funds, many of which are subsidiaries of or otherwise affiliated with large financial service providers.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Competition is also intense in each of our businesses for the attraction and retention of qualified employees, and we compete on the level and nature of compensation and equity-based incentives for key employees. Our ability to continue to compete effectively in our businesses will depend upon our ability to attract new employees and retain and motivate our existing employees.</w:t>
      </w:r>
    </w:p>
    <w:p>
      <w:pPr>
        <w:spacing w:after="0" w:line="12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recent years there has been substantial consolidation and convergence among companies in the financial services industry. In particular, a number of large commercial banks, insurance companies and other broad-based financial services firms have established or acquired broker-dealers or have merged with other financial institutions. This trend was amplified in connection with the unprecedented disruption and volatility in the financial markets during the past several years, and, as a result, a number of financial services companies have merged, been acquired or have fundamentally changed their respective business models, including, in certain cases, becoming commercial banks. Many of these firms have the ability to offer a wider range of products than we offer, including loans, deposit taking, insurance and brokerage services. Many of these firms also offer more extensive asset management and investment banking services, which may enhance their competitive position. They also have the ability to support investment banking and securities products with commercial banking, insurance and other financial services revenue in an effort to gain market share, which could result in pricing pressure in our businesses. This trend toward consolidation and convergence has significantly increased the capital base and geographic reach of our competitors, and, in certain instances, has afforded them access to government funds.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8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businesses, as well as the financial services industry generally, are subject to extensive regulation throughout the world. As a matter of public policy, regulatory bodies are charged with safeguarding the integrity of the securities and other financial markets and with protecting the interests of customers participating in those markets, not with protecting the interests of our stockholders or creditors. Many of our affiliates that participate in securities markets are subject to comprehensive regulations that include some form of capital structure regulations and customer protection rules. In the U.S., certain of our subsidiaries are subject to such regulations promulgated by the SEC or Financial Industry Regulatory Authority (“FINRA”) (formerly the NASD). Standards, requirements and rules implemented throughout the European Union are broadly comparable in scope and purpose to the regulatory capital and customer protection requirements imposed under the SEC and FINRA rules. European Union directives also permit local regulation in each jurisdiction, including those in which we operate, to be more restrictive than the requirements of such European Union-wide directives. These sometimes burdensome local requirements can result in certain competitive disadvantages to us.</w:t>
      </w:r>
    </w:p>
    <w:p>
      <w:pPr>
        <w:spacing w:after="0" w:line="10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the U.S., the SEC is the federal agency responsible for the administration of the federal securities laws. FINRA is a voluntary, self-regulatory body composed of members, such as our broker-dealer subsidiaries, that have agreed to abide by FINRA’s rules and regulations. The SEC, FINRA and non-U.S. regulatory organizations may examine the activities of, and may expel, fine and otherwise discipline us and our employees. The laws, rules and regulations comprising this framework of regulation and the interpretation and enforcement of existing laws, rules and regulations are constantly changing, particularly in light of the extraordinary disruption and volatility in the global financial markets experienced in the last year. The effect of any such changes cannot be predicted and may impact the manner of operation and profitability of our company.</w:t>
      </w:r>
    </w:p>
    <w:p>
      <w:pPr>
        <w:spacing w:after="0" w:line="10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principal U.S. broker-dealer subsidiary, Lazard Frères &amp; Co. LLC (“LFNY”), through which we conduct most of our U.S. Financial Advisory business, is currently registered as a broker-dealer with the SEC and FINRA, and as a broker-dealer in all 50 U.S. states, the District of Columbia and Puerto Rico. As such, LFNY is subject to regulations governing effectively every aspect of the securities business, including minimum capital requirements, record-keeping and reporting procedures, relationships with customers, experience and training requirements for certain employees, and business procedures with firms that are not members of certain regulatory bodies. Lazard Asset Management Securities LLC, a subsidiary of LAM, also is registered as a broker-dealer with the SEC and FINRA and in all 50 U.S. states, the District of Columbia and Puerto Rico.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Lazard Middle Market LLC, a subsidiary of GAHL, is registered as a broker-dealer with the SEC and FINRA, and as a broker-dealer in various U.S. states and territories.</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Certain U.K. subsidiaries of Lazard Group, including Lazard &amp; Co., Limited, Lazard Fund Managers Limited and Lazard Asset Management Limited, which we refer to in this Annual Report on Form 10-K (this “Form 10-K”) as the “U.K. subsidiaries,” are regulated by the Financial Services Authority. We also have other subsidiaries that are registered as broker-dealers (or have similar non-US registration in various jurisdictions).</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Compagnie Financière Lazard Frères SAS (“CFLF”), our French subsidiary through which non-corporate finance advisory activities are carried out in France, is subject to regulation by the Commission Bancaire and the Comité des Etablissements de Crédit et des Entreprises d’Investissement for its banking activities conducted through its subsidiary, LFB. In addition, the investment services activities of the Paris group, exercised through LFB and other subsidiaries of CFLF, primarily LFG (asset management), are subject to regulation and supervision by the Autorité des Marchés Financiers. Our business is also subject to regulation by non-U.S. governmental and regulatory bodies and self-regulatory authorities in other countries where we operate.</w:t>
      </w:r>
    </w:p>
    <w:p>
      <w:pPr>
        <w:spacing w:after="0" w:line="10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U.S. broker-dealer subsidiaries, including LFNY, are subject to the SEC’s uniform net capital rule, Rule 15c3-1 under the Securities Exchange Act of 1934, as amended (the “Exchange Act”), and the net capital rules of FINRA, which may limit our ability to make withdrawals of capital from our broker-dealer subsidiaries. The uniform net capital rule sets the minimum level of net capital a broker-dealer must maintain and also requires that a portion of its assets be relatively liquid. FINRA may prohibit a member firm from expanding its business or paying cash dividends if it would result in net capital falling below FINRA’s requirements. In addition, our broker-dealer subsidiaries are subject to certain notification requirements related to withdrawals of excess net capital. Our broker-dealer subsidiaries are also subject to regulations, including the USA PATRIOT Act of 2001, which impose obligations regarding the prevention and detection of money- laundering activities, including the establishment of customer due diligence and other compliance policies and procedures. Failure to comply with these requirements may result in monetary, regulatory and, in certain cases, criminal penalties.</w:t>
      </w:r>
    </w:p>
    <w:p>
      <w:pPr>
        <w:spacing w:after="0" w:line="10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Certain of our Asset Management subsidiaries are registered as investment advisors with the SEC. As registered investment advisors, each is subject to the requirements of the Investment Advisers Act and the SEC’s regulations thereunder. Such requirements relate to, among other things, the relationship between an advisor and its advisory clients, as well as general anti-fraud prohibitions. LAM serves as an advisor to several mutual funds which are registered under the Investment Company Act. The Investment Company Act regulates, among other things, the relationship between a mutual fund and its investment advisor (and other service providers) and prohibits or severely restricts principal transactions between an advisor and its advisory clients, imposes record- keeping and reporting requirements, disclosure requirements, limitations on trades where a single broker acts as the agent for both the buyer and seller (known as “agency cross”), and limitations on affiliated transactions and joint transactions. Lazard Asset Management Securities LLC, a subsidiary of LAM, serves as the underwriter or distributor for mutual funds and hedge funds managed by LAM, and as an introducing broker to Lazard Capital Markets LLC for unmanaged accounts of LAM’s private clients.</w:t>
      </w:r>
    </w:p>
    <w:p>
      <w:pPr>
        <w:spacing w:after="0" w:line="10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the Japanese Ministry of Finance and the Financial Supervisory Agency, the Korean Financial Supervisory Commission, as well as Australian and German banking authorities, among others, regulate various of our operating entities and also have capital standards and other requirements comparable to the rules of the SEC.</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Regulators are empowered to conduct administrative proceedings that can result in censure, fine, the issuance of cease-and-desist orders or the suspension or expulsion or other disciplining of a broker-dealer or its directors, officers or employees.</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Lazard Ltd is currently subject to supervision by the SEC as a Supervised Investment Bank Holding Company (“SIBHC”). As a SIBHC, Lazard Ltd is subject to group-wide supervision, which requires it to compute allowable capital and risk allowances on a consolidated basis. We believe that Lazard Ltd is the only institution currently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subject to supervision by the SEC as a SIBHC. We are in discussions with the SEC and other authorities regarding the scope and nature of Lazard Ltd’s reporting and other obligations under the SIBHC program.</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December 11, 2009, the U.S. House of Representatives passed The Wall Street Reform and Consumer Protection Act of 2009 (the “2009 Act”). The 2009 Act is currently pending in the U.S. Senate. We are not able to predict what action or changes, if any, will result from the Senate’s consideration of the 2009 Act. We currently are in the process of examining the potential impact of the 2009 Act on us and the SIBHC program, but, given the uncertainty of possible changes to the 2009 Act, we are not able to predict the ultimate effect on us and the SIBHC program.</w:t>
      </w:r>
    </w:p>
    <w:p>
      <w:pPr>
        <w:spacing w:after="0" w:line="99"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Over the last several years, global financial markets have experienced extraordinary disruption and volatility. As a result, certain financial institutions around the world have failed and others have been forced to seek acquisition partners. The U.S. and other governments have taken unprecedented steps to try to stabilize the financial system, including investing in financial institutions. It is possible that the U.S. and other governments may take further actions in response to this situation, including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w:t>
      </w:r>
    </w:p>
    <w:p>
      <w:pPr>
        <w:spacing w:after="0" w:line="8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On October 3, 2008, the Emergency Economic Stabilization Act of 2008 was signed into law, pursuant to which the U.S. Secretary of the Treasury established the Troubled Asset Relief Program (“TARP”) in order to purchase certain troubled assets from qualifying financial institutions and to make capital investments in such financial institutions. We have neither sought nor received, and have no current intention of seeking, any funds pursuant to TARP, whether under the Capital Purchase Program, the Targeted Investment Program or otherwise.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Executive Officers of the Registrant</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Set forth below are the name, age, present title, principal occupation and certain biographical information for each of our executive officers as of February 22, 2010, all of whom have been appointed by, and serve at the pleasure of, our board of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Kenneth M. Jacobs, 51</w:t>
      </w:r>
    </w:p>
    <w:p>
      <w:pPr>
        <w:spacing w:after="0" w:line="83" w:lineRule="exact"/>
        <w:rPr>
          <w:sz w:val="20"/>
          <w:szCs w:val="20"/>
          <w:color w:val="auto"/>
        </w:rPr>
      </w:pPr>
    </w:p>
    <w:p>
      <w:pPr>
        <w:jc w:val="both"/>
        <w:ind w:right="440" w:firstLine="456"/>
        <w:spacing w:after="0" w:line="256" w:lineRule="auto"/>
        <w:rPr>
          <w:sz w:val="20"/>
          <w:szCs w:val="20"/>
          <w:color w:val="auto"/>
        </w:rPr>
      </w:pPr>
      <w:r>
        <w:rPr>
          <w:rFonts w:ascii="Arial" w:cs="Arial" w:eastAsia="Arial" w:hAnsi="Arial"/>
          <w:sz w:val="18"/>
          <w:szCs w:val="18"/>
          <w:color w:val="auto"/>
        </w:rPr>
        <w:t>Mr. Jacobs has served as Chairman and Chief Executive Officer of Lazard Ltd and Lazard Group LLC since November 2009. Mr. Jacobs served as a Managing Director of Lazard since 1991 and had been a deputy chairman of Lazard from January 2002 until November 2009. He has also served as Chief Executive Officer of Lazard North America since 2002. Mr. Jacobs initially joined Lazard in 1988. Mr. Jacobs is a member of the Board of Trustees of the University of Chicago and the Brookings Institution.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J. Castellano, 63</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Mr. Castellano has served as Chief Financial Officer of Lazard Ltd since May 2005. Mr. Castellano has served as a Managing Director and Chief Financial Officer of Lazard Group since August 2001. Prior to joining Lazard, Mr. Castellano held various senior management positions at Merrill Lynch &amp; Co. from August 1991 to August 2001, including Senior Vice President—Chief Control Officer for Merrill Lynch’s capital markets businesses, Chairman of Merrill Lynch International Bank and Senior Vice President —Corporate Controller. Prior to joining Merrill Lynch &amp; Co., Mr. Castellano was a partner with Deloitte &amp; Touche where he served a number of investment banking clients over the course of his 24 years with the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D. Hoffman, 47</w:t>
      </w:r>
    </w:p>
    <w:p>
      <w:pPr>
        <w:spacing w:after="0" w:line="8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Mr. Hoffman has served as General Counsel of Lazard Ltd since May 2005. Mr. Hoffman has served as a Managing Director of Lazard Group since January 1999 and General Counsel of Lazard Group since January 2001. Mr. Hoffman previously served as Vice President and Assistant General Counsel from February 1994 to</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45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75" w:lineRule="auto"/>
        <w:rPr>
          <w:sz w:val="20"/>
          <w:szCs w:val="20"/>
          <w:color w:val="auto"/>
        </w:rPr>
      </w:pPr>
      <w:r>
        <w:rPr>
          <w:rFonts w:ascii="Arial" w:cs="Arial" w:eastAsia="Arial" w:hAnsi="Arial"/>
          <w:sz w:val="18"/>
          <w:szCs w:val="18"/>
          <w:color w:val="auto"/>
        </w:rPr>
        <w:t xml:space="preserve">December 1997 and as a Director from January 1998 to December 1998. Prior to joining Lazard, Mr. Hoffman was an attorney at Cravath, Swaine &amp; Moore LLP. </w:t>
      </w:r>
      <w:r>
        <w:rPr>
          <w:rFonts w:ascii="Arial" w:cs="Arial" w:eastAsia="Arial" w:hAnsi="Arial"/>
          <w:sz w:val="18"/>
          <w:szCs w:val="18"/>
          <w:b w:val="1"/>
          <w:bCs w:val="1"/>
          <w:color w:val="auto"/>
        </w:rPr>
        <w:t>Alexander F. Stern, 43</w:t>
      </w:r>
    </w:p>
    <w:p>
      <w:pPr>
        <w:spacing w:after="0" w:line="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Mr. Stern has served as Chief Operating Officer of Lazard Ltd and Lazard Group LLC since November 2008. He has served as a Managing Director since January 2002 and as the Firm’s Global Head of Strategy since February 2006. Mr. Stern previously served as a Vice President in Lazard’s Financial Advisory business from January 1998 to December 2000 and as a Director from January 2001 to December 2001. Mr. Stern initially joined Lazard in 1994 and previously held various positions with Patricof &amp; Co. Ventures and IBM.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Charles G. Ward, III, 57</w:t>
      </w:r>
    </w:p>
    <w:p>
      <w:pPr>
        <w:spacing w:after="0" w:line="8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Mr. Ward has served as President of Lazard Ltd and Chairman of the Asset Management Group of Lazard Ltd since May 2005. Mr. Ward has served as President and a Managing Director of Lazard Group since February 2002. Prior to joining Lazard, he was variously the Head or Co-Head of Global Investment Banking and Private Equity of Credit Suisse First Boston, or “CSFB,” from February 1994 to February 2002. Mr. Ward also served as a member of the Executive Board of CSFB from February 1994 to February 2002 and as President of CSFB from April 2000 to November 2000. Prior to joining CSFB, Mr. Ward co-founded Wasserstein Perella Group Inc. in February 1988 and served as President of Wasserstein Perella &amp; Co. from January 1990 to February 1994. Prior to serving at Wasserstein Perella &amp; Co., Mr. Ward was Co-Head of Mergers and Acquisitions and the Media Group at The First Boston Corporation where he worked from July 1979 to February 1988. Mr. Ward served on the board of directors of Sapphire Industrials Corp. until January 2010.</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Lazard Group files current, annual and quarterly reports and other information required by the Exchange Act, with the SEC. You may read and copy any document the company files at the SEC’s public reference room located at 100 F Street, N.E., Washington, D.C. 20549, U.S.A. Please call the SEC at 1-800-SEC-0330 for further information on the public reference room. The Company’s SEC filings are also available to the public from the SEC’s internet site at </w:t>
      </w:r>
      <w:r>
        <w:rPr>
          <w:rFonts w:ascii="Arial" w:cs="Arial" w:eastAsia="Arial" w:hAnsi="Arial"/>
          <w:sz w:val="18"/>
          <w:szCs w:val="18"/>
          <w:i w:val="1"/>
          <w:iCs w:val="1"/>
          <w:color w:val="auto"/>
        </w:rPr>
        <w:t xml:space="preserve">http://www.sec.gov. </w:t>
      </w:r>
      <w:r>
        <w:rPr>
          <w:rFonts w:ascii="Arial" w:cs="Arial" w:eastAsia="Arial" w:hAnsi="Arial"/>
          <w:sz w:val="18"/>
          <w:szCs w:val="18"/>
          <w:color w:val="auto"/>
        </w:rPr>
        <w:t>Copies of these reports and other information can also be inspected at the offices of the New York Stock Exchange, Inc., 20 Broad Street,</w:t>
      </w:r>
      <w:r>
        <w:rPr>
          <w:rFonts w:ascii="Arial" w:cs="Arial" w:eastAsia="Arial" w:hAnsi="Arial"/>
          <w:sz w:val="18"/>
          <w:szCs w:val="18"/>
          <w:i w:val="1"/>
          <w:iCs w:val="1"/>
          <w:color w:val="auto"/>
        </w:rPr>
        <w:t xml:space="preserve"> </w:t>
      </w:r>
      <w:r>
        <w:rPr>
          <w:rFonts w:ascii="Arial" w:cs="Arial" w:eastAsia="Arial" w:hAnsi="Arial"/>
          <w:sz w:val="18"/>
          <w:szCs w:val="18"/>
          <w:color w:val="auto"/>
        </w:rPr>
        <w:t>New York, New York 10005, U.S.A.</w:t>
      </w:r>
    </w:p>
    <w:p>
      <w:pPr>
        <w:spacing w:after="0" w:line="1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Our public internet site is </w:t>
      </w:r>
      <w:r>
        <w:rPr>
          <w:rFonts w:ascii="Arial" w:cs="Arial" w:eastAsia="Arial" w:hAnsi="Arial"/>
          <w:sz w:val="16"/>
          <w:szCs w:val="16"/>
          <w:i w:val="1"/>
          <w:iCs w:val="1"/>
          <w:color w:val="auto"/>
        </w:rPr>
        <w:t>http://www.lazard.com.</w:t>
      </w:r>
      <w:r>
        <w:rPr>
          <w:rFonts w:ascii="Arial" w:cs="Arial" w:eastAsia="Arial" w:hAnsi="Arial"/>
          <w:sz w:val="16"/>
          <w:szCs w:val="16"/>
          <w:color w:val="auto"/>
        </w:rPr>
        <w:t xml:space="preserve"> and the investor relations section of our public internet site is located at </w:t>
      </w:r>
      <w:r>
        <w:rPr>
          <w:rFonts w:ascii="Arial" w:cs="Arial" w:eastAsia="Arial" w:hAnsi="Arial"/>
          <w:sz w:val="16"/>
          <w:szCs w:val="16"/>
          <w:i w:val="1"/>
          <w:iCs w:val="1"/>
          <w:color w:val="auto"/>
        </w:rPr>
        <w:t xml:space="preserve">http://www.lazard.com/InvestorRelations/SEC-Filings.aspx. </w:t>
      </w:r>
      <w:r>
        <w:rPr>
          <w:rFonts w:ascii="Arial" w:cs="Arial" w:eastAsia="Arial" w:hAnsi="Arial"/>
          <w:sz w:val="16"/>
          <w:szCs w:val="16"/>
          <w:color w:val="auto"/>
        </w:rPr>
        <w:t>We will make available free of charge, on or through the investor relations section of our internet site,</w:t>
      </w:r>
      <w:r>
        <w:rPr>
          <w:rFonts w:ascii="Arial" w:cs="Arial" w:eastAsia="Arial" w:hAnsi="Arial"/>
          <w:sz w:val="16"/>
          <w:szCs w:val="16"/>
          <w:i w:val="1"/>
          <w:iCs w:val="1"/>
          <w:color w:val="auto"/>
        </w:rPr>
        <w:t xml:space="preserve"> </w:t>
      </w:r>
      <w:r>
        <w:rPr>
          <w:rFonts w:ascii="Arial" w:cs="Arial" w:eastAsia="Arial" w:hAnsi="Arial"/>
          <w:sz w:val="16"/>
          <w:szCs w:val="16"/>
          <w:color w:val="auto"/>
        </w:rPr>
        <w:t>our annual reports on Form 10-K, quarterly reports on Form 10-Q, current reports on Form 8-K and any amendments to those reports filed or furnished pursuant to the Exchange Act as soon as reasonably practicable after we electronically file such material with, or furnish it to, the SEC. Also posted on our website, and available in print upon request of any shareholder to the Investor Relations Department, are charters for Lazard Ltd’s Audit Committee, Compensation Committee and Nominating &amp; Governance Committee. Copies of these charters and Lazard Ltd’s Corporate Governance Guidelines and Code of Business Conduct and Ethics governing our directors, officers and employees are also posted on our website in the “Corporate Governance” section.</w:t>
      </w:r>
    </w:p>
    <w:p>
      <w:pPr>
        <w:spacing w:after="0" w:line="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8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You should carefully consider the following risks and all of the other information set forth in this Form 10-K, including our consolidated financial statements and related notes. The following risks comprise material risks of which we are aware. If any of the events or developments described below actually occurred, our business, financial condition or results of operations would likely suffer.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Relating to the Financial Services Industry and Financial Markets</w:t>
      </w:r>
    </w:p>
    <w:p>
      <w:pPr>
        <w:spacing w:after="0" w:line="77" w:lineRule="exact"/>
        <w:rPr>
          <w:sz w:val="20"/>
          <w:szCs w:val="20"/>
          <w:color w:val="auto"/>
        </w:rPr>
      </w:pPr>
    </w:p>
    <w:p>
      <w:pPr>
        <w:ind w:right="360" w:firstLine="456"/>
        <w:spacing w:after="0" w:line="329" w:lineRule="auto"/>
        <w:rPr>
          <w:sz w:val="20"/>
          <w:szCs w:val="20"/>
          <w:color w:val="auto"/>
        </w:rPr>
      </w:pPr>
      <w:r>
        <w:rPr>
          <w:rFonts w:ascii="Arial" w:cs="Arial" w:eastAsia="Arial" w:hAnsi="Arial"/>
          <w:sz w:val="16"/>
          <w:szCs w:val="16"/>
          <w:b w:val="1"/>
          <w:bCs w:val="1"/>
          <w:color w:val="auto"/>
        </w:rPr>
        <w:t>The U.S. and global capital markets and the economy generally have experienced significant deterioration and volatility over the past several years, which has had negative repercussions on the global economy and, as a result, could present new challenges for our business.</w:t>
      </w:r>
    </w:p>
    <w:p>
      <w:pPr>
        <w:spacing w:after="0" w:line="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Commencing in 2007 and continuing through 2009, certain adverse financial developments have impacted the U.S. and global capital markets. These developments include a general slowing of economic growth both in the U.S. and globally, substantial volatility in equity securities markets, and volatility and tightening of liquidity in credit markets. In addition, concerns over increasing unemployment levels, declining business and consumer confidence, volatile energy costs, geopolitical issues and a declining real estate market in the U.S. and elsewhere have contributed to increased volatility and diminished expectations for the economy and the markets going forward. In some cases, the global capital markets have produced downward pressure on stock prices and credit capacity for certain issuers without regard to those issuers’ underlying financial strength. If current levels of market disruption and volatility continue or worsen, our business may continue to be adversely affected, which may have a material impact on our business and results of operations.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Current disruption and volatility in global financial markets might continue and governments may take further measures to intervene.</w:t>
      </w:r>
    </w:p>
    <w:p>
      <w:pPr>
        <w:spacing w:after="0" w:line="10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Over the last several years, global financial markets have experienced extraordinary disruption and volatility. As a result, certain financial institutions around the world have failed and others have been forced to seek acquisition partners. The U.S. and other governments have taken unprecedented steps to try to stabilize the financial system, including investing in financial institutions. The overall effects of these and other legislative and regulatory initiatives on the financial markets is uncertain, and they may not have the intended stabilization effects. Should these or other legislative or regulatory initiatives fail to stabilize and add liquidity to the financial markets or have other adverse consequences, our business and results of operations could be adversely affected.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soundness of our clients and other financial institutions could adversely affect us.</w:t>
      </w:r>
    </w:p>
    <w:p>
      <w:pPr>
        <w:spacing w:after="0" w:line="8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have exposure to many different industries, products and counterparties, and we routinely execute transactions with counterparties in the financial services industry, including brokers and dealers, commercial banks, investment banks, mutual and hedge funds, and other institutional clients. Many of these transactions expose us to credit risk in the event of default of our counterparty or client. In addition, our credit risk may be exacerbated when the collateral held by us cannot be fully realized or is liquidated at prices not sufficient to recover the full amount of the loan or derivative exposure due us.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Business Risks</w:t>
      </w:r>
    </w:p>
    <w:p>
      <w:pPr>
        <w:spacing w:after="0" w:line="77" w:lineRule="exact"/>
        <w:rPr>
          <w:sz w:val="20"/>
          <w:szCs w:val="20"/>
          <w:color w:val="auto"/>
        </w:rPr>
      </w:pPr>
    </w:p>
    <w:p>
      <w:pPr>
        <w:jc w:val="both"/>
        <w:ind w:right="20" w:firstLine="456"/>
        <w:spacing w:after="0" w:line="378" w:lineRule="auto"/>
        <w:rPr>
          <w:sz w:val="20"/>
          <w:szCs w:val="20"/>
          <w:color w:val="auto"/>
        </w:rPr>
      </w:pPr>
      <w:r>
        <w:rPr>
          <w:rFonts w:ascii="Arial" w:cs="Arial" w:eastAsia="Arial" w:hAnsi="Arial"/>
          <w:sz w:val="15"/>
          <w:szCs w:val="15"/>
          <w:b w:val="1"/>
          <w:bCs w:val="1"/>
          <w:color w:val="auto"/>
        </w:rPr>
        <w:t>Our ability to retain our managing directors and other key professional employees is critical to the success of our business, including maintaining compensation levels at an appropriate level of costs, and failure to do so may materially adversely affect our results of operations and financial position.</w:t>
      </w:r>
    </w:p>
    <w:p>
      <w:pPr>
        <w:spacing w:after="0" w:line="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people are our most important resource. We must retain the services of our managing directors and other key professional employees, and strategically recruit and hire new talented employees, to obtain and successfully execute the advisory and asset management engagements that generate substantially all our revenue.</w:t>
      </w:r>
    </w:p>
    <w:p>
      <w:pPr>
        <w:spacing w:after="0" w:line="12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Lazard Group has experienced several significant events in recent years, including our transformation from a private to a public company. In general, our industry continues to experience change and exerts competitive pressures for retaining top talent, which makes it more difficult for us to retain professionals. If any of our managing directors and other key professional employees were to join an existing competitor, form a competing company or otherwise leave us, some of our clients could choose to use the services of that competitor or some other competitor instead of our services. The employment arrangements, non-competition agreements and retention agreements we have or will enter into with our managing directors and other key professional employees may not prevent our managing directors and other key professional employees from resigning from</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practice or competing against us. In addition, these arrangements and agreements have a limited duration and will expire after a certain period of time. We continue to be subject to intense competition in the financial services industry regarding the recruitment and retention of key professionals, and have experienced departures from and added to our professional ranks as a result. Changes to our employee compensation arrangements, such as changes to the composition between cash and deferred compensation, may result in increased compensation and benefits expense in a particular year. Our compensation levels, results of operations and financial position may be significantly affected by many factors, including general economic and market conditions, our operating and financial performance, staffing levels and competitive pay conditions.</w:t>
      </w:r>
    </w:p>
    <w:p>
      <w:pPr>
        <w:spacing w:after="0" w:line="101" w:lineRule="exact"/>
        <w:rPr>
          <w:sz w:val="20"/>
          <w:szCs w:val="20"/>
          <w:color w:val="auto"/>
        </w:rPr>
      </w:pPr>
    </w:p>
    <w:p>
      <w:pPr>
        <w:jc w:val="both"/>
        <w:ind w:right="220" w:firstLine="456"/>
        <w:spacing w:after="0" w:line="310" w:lineRule="auto"/>
        <w:rPr>
          <w:sz w:val="20"/>
          <w:szCs w:val="20"/>
          <w:color w:val="auto"/>
        </w:rPr>
      </w:pPr>
      <w:r>
        <w:rPr>
          <w:rFonts w:ascii="Arial" w:cs="Arial" w:eastAsia="Arial" w:hAnsi="Arial"/>
          <w:sz w:val="16"/>
          <w:szCs w:val="16"/>
          <w:b w:val="1"/>
          <w:bCs w:val="1"/>
          <w:color w:val="auto"/>
        </w:rPr>
        <w:t>Difficult market conditions can adversely affect our business in many ways, including by reducing the volume of the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a financial services firm, our businesses are materially affected by conditions in the global financial markets and economic conditions throughout the world. The financial environment in the U.S. and globally has been volatile during the last several years and challenging market conditions have persisted. Unfavorable economic and market conditions can adversely affect our financial performance in both the Financial Advisory and Asset Management businesses, as demonstrated in the past several years.</w:t>
      </w:r>
    </w:p>
    <w:p>
      <w:pPr>
        <w:spacing w:after="0" w:line="13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For example, revenue generated by our Financial Advisory business is directly related to the volume and value of the transactions in which we are involved. During periods of unfavorable market or economic conditions, the volume and value of M&amp;A transactions may decrease, thereby reducing the demand for our Financial Advisory services and increasing price competition among financial services companies seeking such engagements. Our results of operations would be adversely affected by any such reduction in the volume or value of M&amp;A transactions. In addition, our profitability would be adversely affected due to our fixed costs and the possibility that we would be unable to scale back other costs within a timeframe sufficient to offset any decreases in revenue relating to changes in market and economic conditions. The future market and economic climate may deteriorate because of many factors, including possible increases in interest rates or inflation, terrorism or political uncertainty.</w:t>
      </w:r>
    </w:p>
    <w:p>
      <w:pPr>
        <w:spacing w:after="0" w:line="105"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Within our Financial Advisory business, we have typically seen that, during periods of economic strength and growth, our Mergers and Acquisitions practice historically has been more active and our Restructuring practice has been less active. Conversely, during periods of economic weakness and slowdown, we typically have seen that our Restructuring practice has been more active and our Mergers and Acquisitions practice has been less active. As a result, our revenue from our Restructuring practice has tended to correlate negatively to our revenue from our Mergers and Acquisitions practice over the course of business cycles. These trends are cyclical in nature and subject to periodic reversal. However, these trends do not cancel out the impact of economic conditions in our Financial Advisory business, which may be adversely affected by a downturn in economic conditions leading to decreased Mergers and Acquisitions practice activity, notwithstanding improvements in our Restructuring practice. Moreover, revenue improvements in our Mergers and Acquisitions practice in strong economic conditions could be offset in whole or in part by any related revenue declines in our Restructuring practice. While we generally have experienced a counter-cyclical relationship between our Mergers and Acquisitions practice and our Restructuring practice, this relationship may not continue in the future.</w:t>
      </w:r>
    </w:p>
    <w:p>
      <w:pPr>
        <w:spacing w:after="0" w:line="9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Asset Management business also would be expected to generate lower revenue in a market or general economic downturn. Under our Asset Management business’ arrangements, investment advisory fees we receive typically are based on the market value of AUM. Accordingly, a decline in the prices of securities, such as that which occurred on a global basis in 2008, would be expected to cause our revenue and income to decline by:</w:t>
      </w:r>
    </w:p>
    <w:p>
      <w:pPr>
        <w:spacing w:after="0" w:line="12"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causing the value of our AUM to decrease, which would result in lower investment advisory fees,</w:t>
      </w:r>
    </w:p>
    <w:p>
      <w:pPr>
        <w:spacing w:after="0" w:line="103"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causing some of our clients to withdraw funds from our Asset Management business due to the uncertainty or volatility in the market, which would also result in lower investment advisory fees,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10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causing some of our clients or prospective clients to hesitate in allocating assets to our Asset Management business due to the uncertainty or volatility in the market, which would also result in lower investment advisory fees,</w:t>
      </w:r>
    </w:p>
    <w:p>
      <w:pPr>
        <w:spacing w:after="0" w:line="37"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causing negative absolute performance returns for some accounts which have performance-based incentive fees, which would result in a reduction of revenue from such fees, or</w:t>
      </w:r>
    </w:p>
    <w:p>
      <w:pPr>
        <w:spacing w:after="0" w:line="37" w:lineRule="exact"/>
        <w:rPr>
          <w:rFonts w:ascii="Arial" w:cs="Arial" w:eastAsia="Arial" w:hAnsi="Arial"/>
          <w:sz w:val="18"/>
          <w:szCs w:val="18"/>
          <w:color w:val="auto"/>
        </w:rPr>
      </w:pPr>
    </w:p>
    <w:p>
      <w:pPr>
        <w:ind w:left="780" w:right="70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causing some of our clients to withdraw funds from our Asset Management business in favor of investments they perceive as offering greater opportunity or lower risk, which also would result in lower investment advisory fees.</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If our Asset Management revenue declines without a commensurate reduction in our expenses, our net income will be reduced. In addition, in the event of a market downturn, our alternative investment and private equity practice also may be impacted by reduced exit opportunities in which to realize the value of its investments.</w:t>
      </w:r>
    </w:p>
    <w:p>
      <w:pPr>
        <w:spacing w:after="0" w:line="121"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b w:val="1"/>
          <w:bCs w:val="1"/>
          <w:color w:val="auto"/>
        </w:rPr>
        <w:t>A majority of our revenue is derived from Financial Advisory fees, which are not long-term contracted sources of revenue and are subject to intense competition, and declines in our Financial Advisory engagements could have a material adverse effect on our financial condition and results of operations.</w:t>
      </w:r>
    </w:p>
    <w:p>
      <w:pPr>
        <w:spacing w:after="0" w:line="125"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historically have earned a substantial portion of our revenue from advisory fees paid to us by our Financial Advisory clients, which fees usually are payable upon the successful completion of a particular transaction or restructuring. For example, for the year ended December 31, 2009, Financial Advisory services accounted for approximately 65% of our consolidated net revenue. We expect that we will continue to rely on Financial Advisory fees for a substantial portion of our revenue for the foreseeable future, and a decline in our advisory engagements or the market for advisory services would adversely affect our business, financial condition and results of operations.</w:t>
      </w:r>
    </w:p>
    <w:p>
      <w:pPr>
        <w:spacing w:after="0" w:line="1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we operate in a highly competitive environment where typically there are no long-term contracted sources of revenue. Each revenue-generating engagement typically is separately awarded and negotiated. Furthermore, many businesses do not routinely engage in transactions requiring our services and, as a consequence, our fee paying engagements with many clients are not likely to be predictable. We also lose clients each year as a result of the sale or merger of a client, a change in a client’s senior management, competition from other financial advisors and financial institutions, and other causes. As a result, our engagements with clients are constantly changing and our Financial Advisory fees could decline quickly due to the factors discussed above.</w:t>
      </w:r>
    </w:p>
    <w:p>
      <w:pPr>
        <w:spacing w:after="0" w:line="96"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There will not be a consistent pattern in our financial results from period to period, which may make it difficult for us to achieve steady earnings growth on a quarterly basis.</w:t>
      </w:r>
    </w:p>
    <w:p>
      <w:pPr>
        <w:spacing w:after="0" w:line="112"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We experience significant fluctuations in quarterly revenue and profits. These fluctuations generally can be attributed to the fact that we earn a significant portion of our Financial Advisory revenue upon the successful completion of a merger or acquisition transaction or a restructuring, the timing of which is uncertain and is not subject to our control. In addition, our Asset Management revenue is particularly sensitive to fluctuations in our AUM. Asset Management fees are often based on AUM as of the end of a quarter or month. As a result, a reduction in assets at the end of a quarter or month (as a result of market depreciation, withdrawals or otherwise) will result in a decrease in management fees. Similarly, timing of flows, contributions and withdrawals are often out of our control and may be inconsistent from quarter to quarter. As a result of quarterly fluctuations, it may be difficult for us to achieve steady earnings growth on a quarterly basis.</w:t>
      </w:r>
    </w:p>
    <w:p>
      <w:pPr>
        <w:spacing w:after="0" w:line="13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many cases, we are paid for advisory engagements only upon the successful consummation of the underlying merger or acquisition transaction or restructuring. As a result, our Financial Advisory business is highly dependent on market conditions and the decisions and actions of our clients, interested third parties and governmental authorities. For example, a client could delay or terminate an acquisition transaction because of a</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failure to agree upon final terms with the counterparty, failure to obtain necessary regulatory consents or board of directors or stockholder approval, failure to secure necessary financing, adverse market conditions or because the target’s business is experiencing unexpected operating or financial problems. Anticipated bidders for assets of a client during a restructuring transaction may not materialize or our client may not be able to restructure its operations or indebtedness, for example, due to a failure to reach agreement with its principal creditors. In addition, a bankruptcy court may deny our right to collect a “success” or “completion” fee. In these circumstances, other than in engagements where we receive monthly retainers, we often do not receive any advisory fees other than the reimbursement of certain expenses despite the fact that we devote resources to these transactions. Accordingly, the failure of one or more transactions to close either as anticipated or at all could materially adversely affect our business, financial condition or results of operations. For more information, see “Management’s Discussion and Analysis of Financial Condition and Results of Operations.”</w:t>
      </w:r>
    </w:p>
    <w:p>
      <w:pPr>
        <w:spacing w:after="0" w:line="99" w:lineRule="exact"/>
        <w:rPr>
          <w:sz w:val="20"/>
          <w:szCs w:val="20"/>
          <w:color w:val="auto"/>
        </w:rPr>
      </w:pPr>
    </w:p>
    <w:p>
      <w:pPr>
        <w:ind w:right="420" w:firstLine="456"/>
        <w:spacing w:after="0" w:line="262" w:lineRule="auto"/>
        <w:rPr>
          <w:sz w:val="20"/>
          <w:szCs w:val="20"/>
          <w:color w:val="auto"/>
        </w:rPr>
      </w:pPr>
      <w:r>
        <w:rPr>
          <w:rFonts w:ascii="Arial" w:cs="Arial" w:eastAsia="Arial" w:hAnsi="Arial"/>
          <w:sz w:val="18"/>
          <w:szCs w:val="18"/>
          <w:b w:val="1"/>
          <w:bCs w:val="1"/>
          <w:color w:val="auto"/>
        </w:rPr>
        <w:t>If the number of debt defaults, bankruptcies or other factors affecting demand for our Restructuring services declines, or we lose business to certain new entrants to the restructuring advisory practice who are no longer precluded from offering such services due to changes to the U.S. Bankruptcy Code, our Restructuring practice’s revenue could suffer.</w:t>
      </w:r>
    </w:p>
    <w:p>
      <w:pPr>
        <w:spacing w:after="0" w:line="12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provide various restructuring and restructuring-related advice to companies in financial distress or to their creditors or other stakeholders. Historically, the fees from restructuring related services have been a significant part of our Financial Advisory revenue. A number of factors could affect demand for these advisory services, including improving general economic conditions, the availability and cost of debt and equity financing and changes to laws, rules and regulations, including deregulation or privatization of particular industries and those that protect creditors.</w:t>
      </w:r>
    </w:p>
    <w:p>
      <w:pPr>
        <w:spacing w:after="0" w:line="99"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Section 327 of the U.S. Bankruptcy Code requires that “disinterested persons” be employed in a restructuring. The definition of “disinterested persons” has been modified. As previously in effect, certain of our competitors were disqualified from being employed in restructurings as a result of their status as an underwriter of securities. This basis for disqualification, however, no longer applies. Historically, we were not often disqualified from obtaining a role in a restructuring because we have not been a significant underwriter of securities. The change of the “disinterested persons” definition allows for more financial services firms to compete for restructuring engagements and make recruiting and retaining of professionals more difficult. If our competitors succeed in being retained in new restructuring engagements or in hiring our restructuring professionals, our Restructuring practice, and thereby our results of operations, could be materially adversely affected.</w:t>
      </w:r>
    </w:p>
    <w:p>
      <w:pPr>
        <w:spacing w:after="0" w:line="128" w:lineRule="exact"/>
        <w:rPr>
          <w:sz w:val="20"/>
          <w:szCs w:val="20"/>
          <w:color w:val="auto"/>
        </w:rPr>
      </w:pPr>
    </w:p>
    <w:p>
      <w:pPr>
        <w:ind w:right="140" w:firstLine="456"/>
        <w:spacing w:after="0" w:line="339" w:lineRule="auto"/>
        <w:rPr>
          <w:sz w:val="20"/>
          <w:szCs w:val="20"/>
          <w:color w:val="auto"/>
        </w:rPr>
      </w:pPr>
      <w:r>
        <w:rPr>
          <w:rFonts w:ascii="Arial" w:cs="Arial" w:eastAsia="Arial" w:hAnsi="Arial"/>
          <w:sz w:val="16"/>
          <w:szCs w:val="16"/>
          <w:b w:val="1"/>
          <w:bCs w:val="1"/>
          <w:color w:val="auto"/>
        </w:rPr>
        <w:t>We could lose clients and suffer a decline in our Asset Management revenue and earnings if the investments we choose in our Asset Management business perform poorly or if we lose key employees, regardless of overall trends in the prices of securities.</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 performance affects our AUM relating to existing clients and is one of the most important factors in retaining clients and competing for new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Asset Management business. Poor investment performance could impair our revenue and growth because:</w:t>
      </w:r>
    </w:p>
    <w:p>
      <w:pPr>
        <w:spacing w:after="0" w:line="70" w:lineRule="exact"/>
        <w:rPr>
          <w:sz w:val="20"/>
          <w:szCs w:val="20"/>
          <w:color w:val="auto"/>
        </w:rPr>
      </w:pPr>
    </w:p>
    <w:p>
      <w:pPr>
        <w:ind w:left="780" w:right="50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existing clients might withdraw funds from our Asset Management business in favor of better performing products, which would result in lower investment advisory fees,</w:t>
      </w:r>
    </w:p>
    <w:p>
      <w:pPr>
        <w:spacing w:after="0" w:line="37" w:lineRule="exact"/>
        <w:rPr>
          <w:rFonts w:ascii="Arial" w:cs="Arial" w:eastAsia="Arial" w:hAnsi="Arial"/>
          <w:sz w:val="18"/>
          <w:szCs w:val="18"/>
          <w:color w:val="auto"/>
        </w:rPr>
      </w:pPr>
    </w:p>
    <w:p>
      <w:pPr>
        <w:ind w:left="780" w:right="46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incentive fees, which provide us with a set percentage of returns on some alternative investment and private equity funds and other accounts, would decline,</w:t>
      </w:r>
    </w:p>
    <w:p>
      <w:pPr>
        <w:spacing w:after="0" w:line="37"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third-party financial intermediaries, advisors or consultants may rate our products poorly, which may result in client withdrawals and reduced asset flows from these third parties or their clients, or</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firms with which we have strategic alliances may terminate such relationships with us, and future strategic alliances may be unavailable.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key employees were to leave our Asset Management business, whether to join a competitor or otherwise, we may suffer a decline in revenue or earnings and suffer an adverse effect on our financial position. Loss of key employees may occur due to perceived opportunity for promotion, increased compensation, work environment or other individual reasons, some of which may be beyond our control.</w:t>
      </w:r>
    </w:p>
    <w:p>
      <w:pPr>
        <w:spacing w:after="0" w:line="12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Our investment style in our Asset Management business may underperform other investment approaches, which may result in significant client or asset departures, or a reduction in AUM.</w:t>
      </w:r>
    </w:p>
    <w:p>
      <w:pPr>
        <w:spacing w:after="0" w:line="112" w:lineRule="exact"/>
        <w:rPr>
          <w:sz w:val="20"/>
          <w:szCs w:val="20"/>
          <w:color w:val="auto"/>
        </w:rPr>
      </w:pPr>
    </w:p>
    <w:p>
      <w:pPr>
        <w:ind w:right="260" w:firstLine="456"/>
        <w:spacing w:after="0" w:line="318" w:lineRule="auto"/>
        <w:rPr>
          <w:sz w:val="20"/>
          <w:szCs w:val="20"/>
          <w:color w:val="auto"/>
        </w:rPr>
      </w:pPr>
      <w:r>
        <w:rPr>
          <w:rFonts w:ascii="Arial" w:cs="Arial" w:eastAsia="Arial" w:hAnsi="Arial"/>
          <w:sz w:val="15"/>
          <w:szCs w:val="15"/>
          <w:color w:val="auto"/>
        </w:rPr>
        <w:t>Even when securities prices are rising generally, performance can be affected by investment style. Many of the equity investment strategies in our Asset Management business share a common investment orientation towards fundamental security selection. We believe this style tends to outperform the market in some market environments and underperform it in others. In particular, a prolonged growth environment may cause certain investment strategies to go out of favor with some clients, advisers, consultants or third-party intermediaries. In combination with poor performance relative to peers, changes in personnel, extensive periods in particular market environments or other difficulties, this may result in significant client or asset departures or a reduction in AUM.</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Because our clients can remove the assets we manage on short notice, we may experience unexpected declines in revenue and profitability.</w:t>
      </w:r>
    </w:p>
    <w:p>
      <w:pPr>
        <w:spacing w:after="0" w:line="18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investment advisory contracts are generally terminable upon very short notice.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Poor performance relative to other investment management firms tends to result in decreased investments in our investment products, increased redemptions of our investment products, and the loss of institutional or individual accounts or strategic alliances. In addition, the ability to terminate relationships may allow clients to renegotiate for lower fees paid for asset management services.</w:t>
      </w:r>
    </w:p>
    <w:p>
      <w:pPr>
        <w:spacing w:after="0" w:line="13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addition, in the U.S., as required by the Investment Company Act, each of our investment advisory contracts with the mutual funds we advise or subadvise automatically terminates upon its “assignment.” Each of our other investment advisory contracts subject to the provisions of the Investment Advisers Act provide, as required by the act, that the contract may not be “assigned” without the consent of the customer. A sale of a sufficiently large block of shares of our voting securities or other transactions could be deemed an “assignment” in certain circumstances. An assignment, actual or constructive, would trigger these termination provisions and could adversely affect our ability to continue managing client accounts.</w:t>
      </w:r>
    </w:p>
    <w:p>
      <w:pPr>
        <w:spacing w:after="0" w:line="96"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color w:val="auto"/>
        </w:rPr>
        <w:t>Access to clients through intermediaries is important to our Asset Management business, and reductions in referrals from such intermediaries or poor reviews of our products or our organization by such intermediaries could materially reduce our revenue and impair our ability to attract new clients.</w:t>
      </w:r>
    </w:p>
    <w:p>
      <w:pPr>
        <w:spacing w:after="0" w:line="125" w:lineRule="exact"/>
        <w:rPr>
          <w:sz w:val="20"/>
          <w:szCs w:val="20"/>
          <w:color w:val="auto"/>
        </w:rPr>
      </w:pPr>
    </w:p>
    <w:p>
      <w:pPr>
        <w:ind w:right="320" w:firstLine="456"/>
        <w:spacing w:after="0" w:line="254" w:lineRule="auto"/>
        <w:rPr>
          <w:sz w:val="20"/>
          <w:szCs w:val="20"/>
          <w:color w:val="auto"/>
        </w:rPr>
      </w:pPr>
      <w:r>
        <w:rPr>
          <w:rFonts w:ascii="Arial" w:cs="Arial" w:eastAsia="Arial" w:hAnsi="Arial"/>
          <w:sz w:val="18"/>
          <w:szCs w:val="18"/>
          <w:color w:val="auto"/>
        </w:rPr>
        <w:t>Our ability to market our Asset Management services relies in part on receiving mandates from the client base of national and regional securities firms, banks, insurance companies, defined contribution plan administrators, investment consultants and other intermediaries. To an increasing extent, our Asset Management business uses referrals from accountants, lawyers, financial planners and other professional advisors. The inability to have this access could materially adversely affect our Asset Management business. In addition, many of these intermediaries review and evaluate our products and our organization. Poor reviews or evaluations of either the particular product or of us may result in client withdrawals or an inability to attract new assets through such intermediaries.</w:t>
      </w:r>
    </w:p>
    <w:p>
      <w:pPr>
        <w:spacing w:after="0" w:line="125"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b w:val="1"/>
          <w:bCs w:val="1"/>
          <w:color w:val="auto"/>
        </w:rPr>
        <w:t>Our historical investment activities involve increased levels of investments in relatively high-risk, illiquid assets, and we may lose some or all of the principal amount that we invest in these activities or fail to realize any profits from these activities for a considerable period of time.</w:t>
      </w:r>
    </w:p>
    <w:p>
      <w:pPr>
        <w:spacing w:after="0" w:line="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intend to expand our participation in alternative investment activities through investments in new and successor funds, and we may exercise our option under the business alliance agreement between Lazard Group</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and LFCM Holdings to acquire the alternative investment business and related principal investments from LFCM Holdings in North America (see Note 10 of Notes to Consolidated Financial Statements for a description of the CP II MgmtCo Spin-Off, the exercise of the option to acquire the European fund management activities of Lazard Alternative Investments Holdings LLC and related transactions, including the February 2009 amendment to the business alliance agreement to remove certain restrictions on the Company engaging in private equity businesses in North America). In addition, during July 2009, the Company established a private equity business with Edgewater.</w:t>
      </w:r>
    </w:p>
    <w:p>
      <w:pPr>
        <w:spacing w:after="0" w:line="129"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revenue from this business is derived primarily from management fees calculated as a percentage of AUM and incentive fees, which are earned if investments are profitable over a specified threshold. Our ability to form new alternative investment funds is subject to a number of uncertainties, including past performance of our funds, market or economic conditions, competition from other fund managers and the ability to negotiate terms with major investors. In addition, the payments we are entitled to receive from LFCM Holdings under the terms of the business alliance agreement in respect of our continued involvement with LFCM Holdings are based on the carried interests received in connection with LFCM Holdings-managed funds.</w:t>
      </w:r>
    </w:p>
    <w:p>
      <w:pPr>
        <w:spacing w:after="0" w:line="10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addition, we have made, and in the future may make, principal investments in public or private companies or in alternative investments (including private equity funds and special purpose acquisition companies) established by us or by LFCM Holdings and continue to hold principal investments directly or through several funds managed by LFCM Holdings. Making principal investments is risky, and we may lose some or all of the principal amount of our investments. Certain of these types of investments may be in relatively high-risk, illiquid assets. Because it may take several years before attractive alternative investment opportunities are identified, some or all of the capital committed by us to these funds is likely to be invested in government securities, other short-term, highly rated debt securities and money market funds that traditionally have offered investors relatively lower returns. In addition, these investments may be adjusted for accounting purposes to fair value at the end of each quarter, and our allocable share of any such gains or losses will affect our revenue, even though such fair value fluctuations may have no cash impact, which could increase the volatility of our earnings. It takes a substantial period of time to identify attractive alternative investment opportunities, to raise all the funds needed to make an investment and then to realize the cash value of an investment through resale. Even if an alternative investment proves to be profitable, it may be several years or longer before any profits can be realized in cash or other proceeds.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results of operations may be affected by market fluctuations related to positions held in our investment portfolios.</w:t>
      </w:r>
    </w:p>
    <w:p>
      <w:pPr>
        <w:spacing w:after="0" w:line="164"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We invest capital in corporate and non-U.S. government debt securities in conjunction with the commercial banking activities of LFB and in equities in order to seed LAM equity and alternative investment funds, and for general corporate purposes. Such investments are subject to market fluctuations due to changes in the market prices of securities, interest rates or other market factors, such as liquidity. These investments are adjusted for accounting purposes to fair market value at the end of each quarter regardless of our intended holding period and, to the extent the related gains or losses are not reflected in “accumulated other comprehensive income (loss), net of tax” (“AOCI”), such gains or losses will affect our revenue and therefore may increase the volatility of our earnings, even though such gains or losses may not be realized. Furthermore, any unrealized losses reflected in AOCI that are deemed other than temporary would be reclassified into earnings.</w:t>
      </w:r>
    </w:p>
    <w:p>
      <w:pPr>
        <w:spacing w:after="0" w:line="128" w:lineRule="exact"/>
        <w:rPr>
          <w:sz w:val="20"/>
          <w:szCs w:val="20"/>
          <w:color w:val="auto"/>
        </w:rPr>
      </w:pPr>
    </w:p>
    <w:p>
      <w:pPr>
        <w:ind w:right="300" w:firstLine="456"/>
        <w:spacing w:after="0" w:line="339" w:lineRule="auto"/>
        <w:rPr>
          <w:sz w:val="20"/>
          <w:szCs w:val="20"/>
          <w:color w:val="auto"/>
        </w:rPr>
      </w:pPr>
      <w:r>
        <w:rPr>
          <w:rFonts w:ascii="Arial" w:cs="Arial" w:eastAsia="Arial" w:hAnsi="Arial"/>
          <w:sz w:val="16"/>
          <w:szCs w:val="16"/>
          <w:b w:val="1"/>
          <w:bCs w:val="1"/>
          <w:color w:val="auto"/>
        </w:rPr>
        <w:t>We face strong competition from financial services firms, many of whom have the ability to offer clients a wider range of products and services than we can offer, which could lead to pricing pressures that could materially adversely affect our revenue and profitability.</w:t>
      </w:r>
    </w:p>
    <w:p>
      <w:pPr>
        <w:spacing w:after="0" w:line="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financial services industry is intensely competitive, and we expect it to remain so. We compete on the basis of a number of factors, including the quality of our employees, transaction execution, our products and services, innovation, reputation and price. We have experienced intense fee competition in some of our businesses in recent years, and we believe that we may experience pricing pressures in these and other areas in the future as some of our competitors seek to obtain increased market share by reducing fees.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face increased competition due to a trend toward consolidation. In recent years, there has been substantial consolidation and convergence among companies in the financial services industry. In particular, a number of large commercial banks, insurance companies and other broad-based financial services firms have established or acquired broker-dealers or have merged with other financial institutions. This trend was amplified in connection with the unprecedented disruption and volatility in the financial markets during the past several years and, as a result, a number of financial services companies have merged, been acquired or have fundamentally changed their respective business models. Many of these firms have the ability to offer a wide range of products, from loans, deposit-taking and insurance to brokerage, asset management and investment banking services, which may enhance their competitive position. They also have the ability to support investment banking, including financial advisory services, with commercial banking, insurance and other financial services in an effort to gain market share, which could result in pricing pressure in our businesses.</w:t>
      </w:r>
    </w:p>
    <w:p>
      <w:pPr>
        <w:spacing w:after="0" w:line="99" w:lineRule="exact"/>
        <w:rPr>
          <w:sz w:val="20"/>
          <w:szCs w:val="20"/>
          <w:color w:val="auto"/>
        </w:rPr>
      </w:pPr>
    </w:p>
    <w:p>
      <w:pPr>
        <w:ind w:right="520" w:firstLine="456"/>
        <w:spacing w:after="0" w:line="339" w:lineRule="auto"/>
        <w:rPr>
          <w:sz w:val="20"/>
          <w:szCs w:val="20"/>
          <w:color w:val="auto"/>
        </w:rPr>
      </w:pPr>
      <w:r>
        <w:rPr>
          <w:rFonts w:ascii="Arial" w:cs="Arial" w:eastAsia="Arial" w:hAnsi="Arial"/>
          <w:sz w:val="16"/>
          <w:szCs w:val="16"/>
          <w:b w:val="1"/>
          <w:bCs w:val="1"/>
          <w:color w:val="auto"/>
        </w:rPr>
        <w:t>An inability to access the debt and equity capital markets as a result of our debt obligations, credit ratings or other factors could impair our liquidity, increase our borrowing costs or otherwise adversely affect our competitive position or results of operations.</w:t>
      </w:r>
    </w:p>
    <w:p>
      <w:pPr>
        <w:spacing w:after="0" w:line="67"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As of December 31, 2009, Lazard Group and its subsidiaries had approximately $1.3 billion in debt (including capital lease obligations) outstanding, of which $539 million and $548 million relate to Lazard Group senior notes that mature in 2015 and 2017, respectively. This debt has certain mandated payment obligations, which may constrain our ability to operate our business. In addition, in the future we may need to incur debt or issue equity in order to fund our working capital requirements or refinance existing indebtedness, as well as to make acquisitions and other investments. The amount of our debt obligations may impair our ability to raise debt or issue equity for financing purposes. Our access to funds also may be impaired if regulatory authorities take significant action against us, or if we discover that any of our employees had engaged in serious unauthorized or illegal activity. In addition, our borrowing costs and our access to the debt capital markets depend significantly on our credit ratings. These ratings are assigned by rating agencies, which may reduce or withdraw their ratings or place us on “credit watch” with negative implications at any time. See “Management’s Discussion and Analysis of Financial Condition and Results of Operations.”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We may pursue acquisitions or joint ventures that could present unforeseen integration obstacles or costs.</w:t>
      </w:r>
    </w:p>
    <w:p>
      <w:pPr>
        <w:spacing w:after="0" w:line="16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routinely assess our strategic position and may in the future seek acquisitions or other transactions to further enhance our competitive position. We have in the past pursued joint ventures and other transactions aimed at expanding the geography and scope of our operations. During 2007, we acquired all of the outstanding ownership interests of GAHL and CWC, we entered into a joint cooperation agreement with Raiffeisen and we entered into a shareholders agreement to acquire a 50% interest in MBA, with this transaction closing on January 31, 2008. During 2008, Lazard Group formed a strategic partnership with Apollo for private equity investments in Europe. During 2009, we established a private equity business with Edgewater. We expect to continue to explore acquisitions and partnership or strategic alliance opportunities that we believe to be attractive.</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Acquisitions and joint ventures involve a number of risks and present financial, managerial and operational challenges, including potential disruption of our ongoing business and distraction of management, difficulty with integrating personnel and financial and other systems, hiring additional management and other critical personnel and increasing the scope, geographic diversity and complexity of our operations. Our clients may react unfavorably to our acquisition and joint venture strategy, we may not realize any anticipated benefits from acquisitions, we may be exposed to additional liabilities of any acquired business or joint venture, and we may not be able to renew on similar terms (or at all) previously successful joint ventures or similar arrangements, any of which could materially adversely affect our revenue and results of operations.</w:t>
      </w:r>
    </w:p>
    <w:p>
      <w:pPr>
        <w:spacing w:after="0" w:line="101" w:lineRule="exact"/>
        <w:rPr>
          <w:sz w:val="20"/>
          <w:szCs w:val="20"/>
          <w:color w:val="auto"/>
        </w:rPr>
      </w:pPr>
    </w:p>
    <w:p>
      <w:pPr>
        <w:ind w:right="560" w:firstLine="456"/>
        <w:spacing w:after="0" w:line="275" w:lineRule="auto"/>
        <w:rPr>
          <w:sz w:val="20"/>
          <w:szCs w:val="20"/>
          <w:color w:val="auto"/>
        </w:rPr>
      </w:pPr>
      <w:r>
        <w:rPr>
          <w:rFonts w:ascii="Arial" w:cs="Arial" w:eastAsia="Arial" w:hAnsi="Arial"/>
          <w:sz w:val="18"/>
          <w:szCs w:val="18"/>
          <w:b w:val="1"/>
          <w:bCs w:val="1"/>
          <w:color w:val="auto"/>
        </w:rPr>
        <w:t>Employee misconduct could harm us by impairing our ability to attract and retain clients and subjecting us to significant legal liability and reputational harm, and this type of misconduct is difficult to detect and deter.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There have been a number of highly publicized cases involving fraud or other misconduct by employees in the financial services industry generally, and we run the risk that employee misconduct could occur in our business as well. For example, misconduct by employees could involve the improper use or disclosure of confidential information, which could result in regulatory sanctions and serious reputational or financial harm. Our Financial Advisory business often requires that we deal with client confidences of great significance to our clients, improper use of which may harm our clients or our relationships with our clients. Any breach of our clients’ confidences as a result of employee misconduct may impair our ability to attract and retain Financial Advisory clients and may subject us to liability. Similarly, in our Asset Management business, we have authority over client assets, and we may, from time to time, have custody of such assets. In addition, we often have discretion to trade client assets on the client’s behalf and must do so acting in the best interests of the client. As a result, we are subject to a number of obligations and standards, and the violation of those obligations or standards may adversely affect our clients and us. It is difficult to deter employee misconduct, and the precautions we take to detect and prevent this activity may not be effective in all cases.</w:t>
      </w:r>
    </w:p>
    <w:p>
      <w:pPr>
        <w:spacing w:after="0" w:line="100"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The financial services industry faces substantial litigation and regulatory risks, and we may face damage to our professional reputation and legal liability if our services are not regarded as satisfactory or for other reasons.</w:t>
      </w:r>
    </w:p>
    <w:p>
      <w:pPr>
        <w:spacing w:after="0" w:line="11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a financial services firm,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 businesses. Moreover, our role as advisor to our clients on important M&amp;A or restructuring transactions involves complex analysis and the exercise of professional judgment, including, if appropriate, rendering “fairness opinions” in connection with mergers and other transactions.</w:t>
      </w:r>
    </w:p>
    <w:p>
      <w:pPr>
        <w:spacing w:after="0" w:line="9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recent years, the volume of claims and amount of damages claimed in litigation and regulatory proceedings against financial advisors has been increasing. These risks have increased as a result of the extreme turmoil and volatility that the global financial markets generally, and financial institutions in particular, have experienced over the past several years. Our Financial Advisory activities may subject us to the risk of significant legal actions by our clients and third parties, including our clients’ stockholders, under securities or other laws for allegations relating to materially false or misleading statements made in connection with securities and other transactions and potential liability for the fairness opinions and other advice provided to participants in corporate transactions. In our Asset Management business, we make investment decisions on behalf of our clients which could result in substantial losses. This also may subject us to the risk of legal actions alleging negligence, misconduct, breach of fiduciary duty or breach of contract. These risks often may be difficult to assess or quantify and their existence and magnitude often remain unknown for substantial periods of time. Our engagements typically include broad indemnities from our clients and provisions designed to limit our exposure to legal claims relating to our services, but these provisions may not protect us or may not be adhered to in all cases. We also are subject to claims arising from disputes with employees for alleged discrimination or harassment, among other things. These risks often may be difficult to assess or quantify, and their existence and magnitude often remain unknown for substantial periods of time. As a result, we may incur significant legal expenses in defending against litigation. Substantial legal liability or significant regulatory action against us could materially adversely affect our business, financial condition or results of operations or cause significant reputational harm to us, which could seriously harm our business.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operational risks may disrupt our businesses, result in regulatory action against us or limit our growth.</w:t>
      </w:r>
    </w:p>
    <w:p>
      <w:pPr>
        <w:spacing w:after="0" w:line="164"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color w:val="auto"/>
        </w:rPr>
        <w:t>Our business is dependent on communications and information systems, including those of our vendors. Any failure or interruption of these systems, whether caused by fire, other natural disaster, power or telecommunications failure, act of terrorism or war or otherwise, could materially adversely affect our operating results. Although back-up systems are in place, our back-up procedures and capabilities in the event of a failure or interruption may not be adequate.</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Particularly in our Asset Management business, we rely heavily on our financial, accounting, trading, compliance and other data processing systems, and those of our third party vendors or service providers who support these functions. We expect that we will need to review whether to continue to upgrade and expand the capabilities of these systems in the future to avoid disruption of, or constraints on, our operations. However, if any of these systems do not operate properly or are disabled, we could suffer financial loss, a disruption of our businesses, liability to clients, regulatory intervention or reputational damage. The inability of our systems (or those of our vendors or service providers) to accommodate an increasing volume of transactions also could constrain our ability to expand our businesses.</w:t>
      </w:r>
    </w:p>
    <w:p>
      <w:pPr>
        <w:spacing w:after="0" w:line="125"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Extensive regulation of our businesses limits our activities and results in ongoing exposure to the potential for significant penalties, including fines or limitations on our ability to conduct our businesses.</w:t>
      </w:r>
    </w:p>
    <w:p>
      <w:pPr>
        <w:spacing w:after="0" w:line="11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financial services industry is subject to extensive regulation. We are subject to regulation by governmental and self-regulatory organizations in the jurisdictions in which we operate around the world. Many of these regulators, including U.S. and non-U.S. government agencies and self-regulatory organizations, as well as state securities commissions in the U.S., are empowered to conduct administrative proceedings that can result in censure, fine, the issuance of cease-and-desist orders or the suspension or expulsion of a broker-dealer from registration or membership. The requirements imposed by our regulators are designed to ensure the integrity of the financial markets and to protect customers and other third parties who deal with us and are not designed to protect our stockholders. Consequently, these regulations often serve to limit our activities, including through net capital, customer protection and market conduct requirements.</w:t>
      </w:r>
    </w:p>
    <w:p>
      <w:pPr>
        <w:spacing w:after="0" w:line="134"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face the risk of significant intervention by regulatory authorities, including extended investigation and surveillance activity, adoption of costly or restrictive new regulations and judicial or administrative proceedings that may result in substantial penalties. Among other things, we could be fined or be prohibited from engaging in some of our business activities. In addition, the regulatory environment in which we operate is subject to modifications and further regulation. New laws or regulations or changes in the enforcement of existing laws or regulations applicable to us and our clients also may adversely affect our business, and our ability to function in this environment will depend on our ability to constantly monitor and react to these changes.</w:t>
      </w:r>
    </w:p>
    <w:p>
      <w:pPr>
        <w:spacing w:after="0" w:line="102"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Over the last several years, global financial markets have experienced extraordinary disruption and volatility. As a result, certain financial institutions around the world have failed and others have been forced to seek acquisition partners. It is possible that the U.S. and other governments may take further actions in response to this situation, including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 For example, on December 11, 2009, the U.S. House of Representatives passed the 2009 Act. The 2009 Act is currently pending in the U.S. Senate. We are not able to predict what action or changes, if any, will result from the Senate’s consideration of the 2009 Act. We currently are in the process of examining the impact of the 2009 Act on us, but, given the uncertainty of possible changes to the 2009 Act, we are not able to predict the ultimate effect on us.</w:t>
      </w:r>
    </w:p>
    <w:p>
      <w:pPr>
        <w:spacing w:after="0" w:line="92"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regulatory environment in which our clients operate may also impact our business. For example, changes in antitrust laws or the enforcement of antitrust laws could affect the level of M&amp;A activity and changes in state laws may limit investment activities of state pension plans.</w:t>
      </w:r>
    </w:p>
    <w:p>
      <w:pPr>
        <w:spacing w:after="0" w:line="7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asset management businesses in general, there have been a number of highly publicized cases involving fraud or other misconduct by employees of asset management firms, as well as industry-wide regulatory inquiries. These cases and inquiries have resulted in increased scrutiny in the industry and may result in new rules and regulations for mutual funds, hedge funds and their investment managers. This regulatory scrutiny and these rulemaking initiatives may result in an increase in operational and compliance costs or the risk of assessment of significant fines or penalties against our Asset Management business, and may otherwise limit our ability to engage in certain activities.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Financial services firms are subject to numerous conflicts of interest or perceived conflicts. We have adopted various policies, controls and procedures to address or limit actual or perceived conflicts and regularly seek to review and update our policies, controls and procedures. However, these policies and procedures may result in increased costs, additional operational personnel and increased regulatory risk. Failure to adhere to these policies and procedures may result in regulatory sanctions or client litigation.</w:t>
      </w:r>
    </w:p>
    <w:p>
      <w:pPr>
        <w:spacing w:after="0" w:line="130"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Specific regulatory changes also may have a direct impact on the revenue of our Asset Management business. In addition to regulatory scrutiny and potential fines and sanctions, regulators continue to examine different aspects of the asset management industry. For example, the use of “soft dollars,” where a portion of commissions paid to broker-dealers in connection with the execution of trades also pays for research and other services provided to advisors, is periodically reexamined and may in the future be limited or modified. Although a substantial portion of the research relied on by our Asset Management business in the investment decision-making process is generated internally by our investment analysts, external research, including external research paid for with soft dollars, is important to the process. This external research generally is used for information gathering or verification purposes, and includes broker-provided research, as well as third-party provided databases and research services. For the year ended December 31, 2009, our Asset Management business obtained research and other services through third-party soft dollar arrangements, the total cost of which we estimate to be approximately $19 million. If the use of soft dollars is limited, we may have to bear some of these costs. In addition, new regulations regarding the management of hedge funds and the use of certain investment products may impact our Asset Management business and result in increased costs. For example, many regulators around the world adopted restrictions or prohibitions on the short selling of certain securities and requirements to report short positions and transactions. In addition, legislators around the world are exploring regulatory changes and additional oversight of the financial industry generally. The impact of these proposed changes on the Company are uncertain. These regulatory changes and other proposed or potential changes may result in a reduction of revenue associated with our Asset Management business.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“Business—Regulation” for a further discussion of the regulatory environment in which we conduct our businesses.</w:t>
      </w:r>
    </w:p>
    <w:p>
      <w:pPr>
        <w:spacing w:after="0" w:line="152"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Fluctuations in foreign currency exchange rates could reduce our members’ equity and net income or negatively impact the portfolios of our Asset Management clients and may affect the levels of our AUM.</w:t>
      </w:r>
    </w:p>
    <w:p>
      <w:pPr>
        <w:spacing w:after="0" w:line="11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are exposed to fluctuations in foreign currencies. Our financial statements are denominated in U.S. dollars and, for the year ended December 31, 2009, we received approximately 47% of our consolidated net revenue in other currencies, predominantly in euros and British pounds. In addition, we pay a significant amount of our expenses in such other currencies. The exchange rates of these currencies versus the U.S. dollar affects the carrying value of our assets and liabilities as well as our net income. We do not generally hedge such foreign currency exchange rate exposure arising in our subsidiaries outside of the U.S. Fluctuations in foreign currency exchange rates may also make period to period comparisons of our results of operations difficult.</w:t>
      </w:r>
    </w:p>
    <w:p>
      <w:pPr>
        <w:spacing w:after="0" w:line="102"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Foreign currency fluctuations also can impact the portfolios of our Asset Management clients. Client portfolios are invested in securities across the globe, although most portfolios are in a single base currency. Foreign currency fluctuations can adversely impact investment performance for a client’s portfolio. In addition, foreign currency fluctuations may affect the levels of our AUM. As our AUM include significant assets that are denominated in currencies other than U.S. dollars, an increase in the value of the U.S. dollar relative to non-U.S. currencies may result in a decrease in the dollar value of our AUM, which, in turn, would result in lower U.S. dollar-denominated revenue in our Asset Management business. While this risk may be limited by foreign currency hedging, some risks cannot be hedged and our hedging activity may not be successful. Poor performance may result in decreased AUM, including as a result of withdrawal of client assets or a decrease in new assets being raised in the relevant product.</w:t>
      </w:r>
    </w:p>
    <w:p>
      <w:pPr>
        <w:spacing w:after="0" w:line="10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See Note 16 of Notes to Consolidated Financial Statements for additional information regarding the impact on members’ equity from currency translation adjustments.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Lazard Group is a holding company and therefore depends on its subsidiaries to make distributions to Lazard Group to enable it to service its obligations under its indebtedness.</w:t>
      </w:r>
    </w:p>
    <w:p>
      <w:pPr>
        <w:spacing w:after="0" w:line="11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Lazard Group depends on its subsidiaries, which conduct the operations of the businesses, for dividends and other payments to generate the funds necessary to meet its financial obligations, including payments of principal and interest on its indebtedness. However, none of Lazard Group’s subsidiaries is obligated to make funds available to it for servicing such financial obligations. In addition, legal and contractual restrictions in agreements governing current and future indebtedness, as well as financial conditions, minimum regulatory net capital and similar requirements and operating requirements of Lazard Group’s subsidiaries, currently limit and may, in the future, limit Lazard Group’s ability to obtain cash from its subsidiaries. The earnings from, or other available assets of, Lazard Group’s subsidiaries may not be sufficient to pay dividends or make distributions or loans to enable Lazard Group to make payments with respect to its financial obligations when such payments are due. In addition, even if such earnings were sufficient, the agreements governing the current and future indebtedness of Lazard Group’s subsidiaries and regulatory requirements with respect to our broker-dealer and other regulated subsidiaries may not permit such subsidiaries to provide Lazard Group with sufficient dividends, distributions or loans to fund its financial obligations, when due.</w:t>
      </w:r>
    </w:p>
    <w:p>
      <w:pPr>
        <w:spacing w:after="0" w:line="100"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Earnings of Lazard Group allocable to LAZ-MD Holdings are taxed at higher tax rates than earnings allocable to Lazard Ltd, which results in less cash being available to Lazard Group than would otherwise be available to it.</w:t>
      </w:r>
    </w:p>
    <w:p>
      <w:pPr>
        <w:spacing w:after="0" w:line="112"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managing directors of Lazard Group and other owners of LAZ-MD Holdings generally are taxed at a higher rate on their allocable share of Lazard Group’s earnings than that paid by Lazard Ltd. Lazard Group makes tax-related distributions based on the higher of the effective income and franchise tax rate applicable to Lazard Ltd’s subsidiaries that hold the Lazard Group common membership interests and the weighted average income tax rate (based on income allocated) applicable to LAZ-MD Holdings’ members, determined in accordance with Lazard Group’s operating agreement. In the event that tax rates applicable to members of LAZ-MD Holdings increase, the pro rata distributions from Lazard Group to its members, including Lazard Ltd’s subsidiaries, may increase correspondingly. Therefore, because distributions by Lazard Group to its members are made on a pro rata basis, tax-related distributions to Lazard Ltd’s subsidiaries may exceed the taxes Lazard Ltd’s subsidiaries actually pay or expect to pay. This results in less cash being available to Lazard Group than would otherwise be available to it, and in cash being held by Lazard Ltd’s subsidiaries in excess of what they actually pay for taxes or hold for expected future payments. We understand that Lazard Ltd intends to continue to cause such subsidiaries to lend to Lazard Group a significant portion of such excess cash.</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Tax authorities may challenge our tax computations, classifications and our transfer pricing methods, and their application.</w:t>
      </w:r>
    </w:p>
    <w:p>
      <w:pPr>
        <w:spacing w:after="0" w:line="164"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the ordinary course of our business, we are subject to tax audits in various jurisdictions. Tax authorities may challenge our tax computations, classifications, our transfer pricing methods and their application, and other items. While we believe our tax computations, classifications and transfer pricing results are correct and properly reflected on our financial statements, the tax authorities may disagree.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Outcome of future U.S. tax legislation is unknown at the present time.</w:t>
      </w:r>
    </w:p>
    <w:p>
      <w:pPr>
        <w:spacing w:after="0" w:line="16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February 1, 2010, the fiscal year 2011 U.S. federal budget was released. The budget included various provisions, including provisions that would (i) limit the deduction of certain related party interest; (ii) defer the deduction of interest attributable to non-U.S. source income of foreign subsidiaries; and (iii) repeal the current law’s exemption from withholding tax for interest and dividends paid by certain domestic companies. Each of these provisions would be effective only for taxable years beginning after December 31, 2010. Certain aspects of these budget provisions may adversely impact Lazard’s tax rate. However, at this point in time we are unable to predict the ultimate outcome of the budget process.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Failure to maintain effective internal controls in accordance with Section 404 of the Sarbanes-Oxley Act could have a material adverse effect on our business.</w:t>
      </w:r>
    </w:p>
    <w:p>
      <w:pPr>
        <w:spacing w:after="0" w:line="11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have documented and tested our internal control procedures in order to satisfy the requirements of Section 404 of the Sarbanes-Oxley Act, which requires annual management assessments of the effectiveness of our internal controls over financial reporting and a report by our independent auditors regarding the Company’s internal control over financial reporting. We are in compliance with Section 404 of the Sarbanes-Oxley Act as of December 31, 2009. However, if we fail to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Failure to maintain an effective internal control environment could have a material adverse effect on our business.</w:t>
      </w:r>
    </w:p>
    <w:p>
      <w:pPr>
        <w:spacing w:after="0" w:line="101"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LAZ-MD Holdings, Lazard Group, LFCM Holdings and Lazard Ltd entered into various arrangements, including the master separation agreement, which contain cross-indemnification obligations of LAZ-MD Holdings, Lazard Group, LFCM Holdings and Lazard Ltd, that any party may be unable to satisfy.</w:t>
      </w:r>
    </w:p>
    <w:p>
      <w:pPr>
        <w:spacing w:after="0" w:line="125"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master separation agreement that Lazard Ltd entered into with Lazard Group, LAZ-MD Holdings and LFCM Holdings provides, among other things, that LFCM Holdings generally will indemnify Lazard Ltd, Lazard Group and LAZ-MD Holdings for losses that we incur arising out of, or relating to, the separated businesses and the businesses conducted by LFCM Holdings and losses that Lazard Ltd, Lazard Group or LAZ-MD Holdings incur arising out of, or relating to, LFCM Holdings’ breach of the master separation agreement. In addition, LAZ-MD Holdings generally will indemnify Lazard Ltd, Lazard Group and LFCM Holdings for losses that they incur arising out of, or relating to, LAZ-MD Holdings’ breach of the master separation agreement. Our ability to collect under the indemnities from LAZ-MD Holdings or LFCM Holdings depends on their financial position. For example, persons may seek to hold us responsible for liabilities assumed by LAZ-MD Holdings or LFCM Holdings. If these liabilities are significant and we are held liable for them, we may not be able to recover any or all of the amount of those losses from LAZ-MD Holdings or LFCM Holdings should either be financially unable to perform under their indemnification obligations.</w:t>
      </w:r>
    </w:p>
    <w:p>
      <w:pPr>
        <w:spacing w:after="0" w:line="3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currently have a number of ongoing obligations in respect of which, pursuant to the master separation agreement and other ancillary agreements, LFCM Holdings is providing certain indemnities. For example, we entered into an arrangement with LFCM Holdings relating to the costs of excess space in the U.K. LFCM Holdings will pay to Lazard Group $25 million in the aggregate, of which $23.8 million was due and paid through December 31, 2009.</w:t>
      </w:r>
    </w:p>
    <w:p>
      <w:pPr>
        <w:spacing w:after="0" w:line="9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addition, Lazard Group generally will indemnify LFCM Holdings and LAZ-MD Holdings for liabilities related to Lazard Group’s businesses and Lazard Group will indemnify LFCM Holdings and LAZ-MD Holdings for losses that they incur to the extent arising out of, or relating to, Lazard Group’s or Lazard Ltd’s breach of the master separation agreement. Several of the ancillary agreements that Lazard Group entered into together with the master separation agreement also provide for separate indemnification arrangements. For example, under the administrative services agreement, Lazard Group provides a range of services to LFCM Holdings, including information technology, general office and building services and financing and accounting services, and LFCM Holdings will generally indemnify Lazard Group for liabilities that Lazard Group incurs arising from the provision of these services absent Lazard Group’s intentional misconduct. Lazard Group may face claims for indemnification from LFCM Holdings and LAZ-MD Holdings under these provisions regarding matters for which Lazard Group has agreed to indemnify them. If these liabilities are significant, Lazard Group may be required to make substantial payments, which could materially adversely affect our results of operations. Also, in connection with the CP II MgmtCo Spin-Off (as defined in Note 10 of Notes to Consolidated Financial Statements), the subsidiary of LFCM Holdings that manages Corporate Partners II Limited (“CPII MgmtCo”) has generally agreed to indemnify us against certain losses related to Corporate Partners Limited II that arise after the date of closing of the CP II</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MgmtCo Spin-Off. However, should persons seek to hold us responsible for liabilities assumed by CP II MgmtCo, we may not be able to recover any or all of the amount of our losses from CP II MgmtCo if CP II MgmtCo is financially unable to perform under its indemnification obligations.</w:t>
      </w:r>
    </w:p>
    <w:p>
      <w:pPr>
        <w:spacing w:after="0" w:line="66"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We have potential conflicts of interest with LAZ-MD Holdings and LFCM Holdings, and LAZ-MD Holdings and LFCM Holdings could each act in a way that favors its interests to our detriment.</w:t>
      </w:r>
    </w:p>
    <w:p>
      <w:pPr>
        <w:spacing w:after="0" w:line="11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of December 31, 2009, LAZ-MD Holdings held approximately 25.5% of Lazard Ltd’s voting power through Lazard Ltd’s single share of Class B common stock and 25.5% of the outstanding Lazard Group common membership interests. In addition, LAZ-MD Holdings’ board of directors is composed of 4 individuals, all of whom are managing directors or officers of Lazard Ltd or its affiliates. Lazard Group’s board of directors and executive officers are the same as those of Lazard Ltd. The voting and equity ownership of LAZ-MD Holdings and its members, and the service of officers and managing directors of our company as directors of LAZ-MD Holdings, could create conflicts of interest when LAZ-MD Holdings and those directors and officers are faced with decisions that could have different implications for LAZ-MD Holdings and us, including potential acquisitions of businesses, the issuance or disposition of securities by us, the election of new or additional directors of Lazard Ltd, the payment of dividends by Lazard Ltd and Lazard Group, our relationship with LFCM Holdings and other matters. We also expect that LAZ-MD Holdings will manage its ownership of us so that it will not be deemed to be an investment company under the Investment Company Act. This may result in conflicts with us, including those relating to acquisitions or offerings by us involving issuances of Lazard Ltd’s Class A common stock or securities convertible or exchangeable into shares of Lazard Ltd’s Class A common stock that would dilute LAZ-MD Holdings’ voting power in Lazard Ltd.</w:t>
      </w:r>
    </w:p>
    <w:p>
      <w:pPr>
        <w:spacing w:after="0" w:line="325"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Since the members of LAZ-MD Holdings who are parties to the LAZ-MD Holdings stockholders’ agreement are entitled to individually direct their proportionate share of the vote of Lazard Ltd’s Class B common stock on an as-if-exchanged basis and also own and control LFCM Holdings, their control of LAZ-MD Holdings and the vote of the share of Lazard Ltd’s Class B common stock gives rise to potential conflicts between LFCM Holdings and LAZ-MD Holdings, on the one hand, and our company, on the other hand, as discussed below.</w:t>
      </w:r>
    </w:p>
    <w:p>
      <w:pPr>
        <w:spacing w:after="0" w:line="124" w:lineRule="exact"/>
        <w:rPr>
          <w:sz w:val="20"/>
          <w:szCs w:val="20"/>
          <w:color w:val="auto"/>
        </w:rPr>
      </w:pPr>
    </w:p>
    <w:p>
      <w:pPr>
        <w:ind w:right="880" w:firstLine="456"/>
        <w:spacing w:after="0" w:line="275" w:lineRule="auto"/>
        <w:rPr>
          <w:sz w:val="20"/>
          <w:szCs w:val="20"/>
          <w:color w:val="auto"/>
        </w:rPr>
      </w:pPr>
      <w:r>
        <w:rPr>
          <w:rFonts w:ascii="Arial" w:cs="Arial" w:eastAsia="Arial" w:hAnsi="Arial"/>
          <w:sz w:val="18"/>
          <w:szCs w:val="18"/>
          <w:b w:val="1"/>
          <w:bCs w:val="1"/>
          <w:color w:val="auto"/>
        </w:rPr>
        <w:t>We may have potential business conflicts of interest with LAZ-MD Holdings and LFCM Holdings with respect to our past and ongoing relationships that could harm our business operations.</w:t>
      </w:r>
    </w:p>
    <w:p>
      <w:pPr>
        <w:spacing w:after="0" w:line="11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Pursuant to the LAZ-MD Holdings amended and restated stockholders’ agreement, LAZ-MD Holdings will vote the single share of Lazard Ltd Class B common stock, which, as of December 31, 2009, represented approximately 25.5% of Lazard Ltd’s voting power, as directed by its individual members who are party to that agreement. These same persons generally own and control LFCM Holdings, which holds the separated businesses. In addition, several employees of Lazard provide services to LFCM Holdings. Conflicts of interest may arise between LFCM Holdings and us in a number of areas relating to our past and ongoing relationships, including:</w:t>
      </w:r>
    </w:p>
    <w:p>
      <w:pPr>
        <w:spacing w:after="0" w:line="48"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labor, tax, employee benefits, indemnification and other matters arising from the separation,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intellectual property matters,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combinations involving us,</w:t>
      </w:r>
    </w:p>
    <w:p>
      <w:pPr>
        <w:spacing w:after="0" w:line="103" w:lineRule="exact"/>
        <w:rPr>
          <w:rFonts w:ascii="Arial" w:cs="Arial" w:eastAsia="Arial" w:hAnsi="Arial"/>
          <w:sz w:val="18"/>
          <w:szCs w:val="18"/>
          <w:color w:val="auto"/>
        </w:rPr>
      </w:pPr>
    </w:p>
    <w:p>
      <w:pPr>
        <w:jc w:val="both"/>
        <w:ind w:left="780" w:right="340" w:hanging="326"/>
        <w:spacing w:after="0" w:line="259"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operations or business opportunities of LFCM Holdings or us that would compete with the other party’s business opportunities, including investment banking by us and the management of alternative investment funds by LFCM Holdings, particularly as some of the managing directors provide services to LFCM Holdings,</w:t>
      </w:r>
    </w:p>
    <w:p>
      <w:pPr>
        <w:spacing w:after="0" w:line="45"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of the master separation agreement and related ancillary agreements, including the operation of the alternative investment fund management business and Lazard Group’s option to purchase the business,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nature, quality and pricing of administrative services to be provided by us,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provision of services by certain of our managing directors to LFCM Holdings.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addition, the administrative services agreement commits us to provide a range of services to LFCM Holdings and LAZ-MD Holdings, which could require the expenditure of significant amounts of time by our management. Our agreements with LAZ-MD Holdings and LFCM Holdings may be amended upon agreement of the parties to those agreements. During the time that LAZ-MD Holdings exercises significant influence over us, LAZ-MD Holdings may be able to exert significant influence over votes or decisions regarding any potential amendments to these agreements. We may not be able to resolve any potential conflicts and, even if we do, the resolution may be less favorable to us than if we were dealing with an unaffiliated party.</w:t>
      </w:r>
    </w:p>
    <w:p>
      <w:pPr>
        <w:spacing w:after="0" w:line="96"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The use of the “Lazard” brand name by subsidiaries of LFCM Holdings may expose us to reputational harm that could affect our operations and adversely affect our financial position should these subsidiaries take actions that damage the brand name.</w:t>
      </w:r>
    </w:p>
    <w:p>
      <w:pPr>
        <w:spacing w:after="0" w:line="11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“Lazard” brand name has over 160 years of heritage, connoting, we believe, world-class professional advice, independence and global capabilities with deeply rooted, local know-how. LFCM Holdings operates as a separate legal entity, and Lazard Group licensed to subsidiaries of LFCM Holdings that operate the separated businesses the use of the “Lazard” brand name for certain specified purposes, including in connection with alternative investment fund management and capital markets activities. As these subsidiaries of LFCM Holdings historically have and will continue to use the “Lazard” brand name, and because we no longer control these entities, there is a risk of reputational harm to us if these subsidiaries have, or in the future were to, among other things, engage in poor business practices, experience adverse results or otherwise damage the reputational value of the “Lazard” brand name. These risks could expose us to liability and also may adversely affect our revenue and our business prospects.</w:t>
      </w:r>
    </w:p>
    <w:p>
      <w:pPr>
        <w:spacing w:after="0" w:line="99" w:lineRule="exact"/>
        <w:rPr>
          <w:sz w:val="20"/>
          <w:szCs w:val="20"/>
          <w:color w:val="auto"/>
        </w:rPr>
      </w:pPr>
    </w:p>
    <w:p>
      <w:pPr>
        <w:ind w:right="160" w:firstLine="456"/>
        <w:spacing w:after="0" w:line="378" w:lineRule="auto"/>
        <w:rPr>
          <w:sz w:val="20"/>
          <w:szCs w:val="20"/>
          <w:color w:val="auto"/>
        </w:rPr>
      </w:pPr>
      <w:r>
        <w:rPr>
          <w:rFonts w:ascii="Arial" w:cs="Arial" w:eastAsia="Arial" w:hAnsi="Arial"/>
          <w:sz w:val="15"/>
          <w:szCs w:val="15"/>
          <w:b w:val="1"/>
          <w:bCs w:val="1"/>
          <w:color w:val="auto"/>
        </w:rPr>
        <w:t>If LAZ-MD Holdings were deemed an “investment company” under the Investment Company Act as a result of its ownership of Lazard Ltd, applicable restrictions could require us to alter our organizational structure which could result in additional costs or changes in our business activities.</w:t>
      </w:r>
    </w:p>
    <w:p>
      <w:pPr>
        <w:spacing w:after="0" w:line="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do not believe that LAZ-MD Holdings currently is an investment company. Rule 3a-1 under the Investment Company Act provides an exclusion from registration as an investment company if a company meets both an asset and an income test and certain other requirements. We believe LAZ-MD Holdings currently satisfies the requirements of Rule 3a-1. A determination that LAZ-MD Holdings is not entitled to rely on Rule 3a-1 could result in it being an investment company, unless another exemption or exclusion is available, and becoming subject to the requirements of the Investment Company Act. Because LAZ-MD Holdings is owned exclusively by current and former managing directors and employees of Lazard Group and members of their immediate families, if it becomes unable to rely on Rule 3a-1, it may apply for an order exempting it from most provisions of the Investment Company Act as an “employees’ securities company.” Rule 6b-1 under the Investment Company Act provides that an employees’ securities company that applies for such an order is exempt from all provisions of that Act applicable to investment companies, pending a final SEC determination.</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Investment Company Act and the rules thereunder contain detailed prescriptions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Lazard Group expects that LAZ-MD Holdings will conduct its operations such that LAZ-MD Holdings will not be deemed to be an investment company under the Investment Company Act. However, if anything were to happen which would cause LAZ-MD Holdings to be deemed to be an investment company under the Investment Company Act, requirements imposed by the Investment Company Act, including limitations on its or our capital structure, ability to transact business with affiliates (including LAZ-MD Holdings or us, as the case may be) and ability to compensate key employees, could make it impractical for us to continue our business as currently conducted, impair the agreements and arrangements, including the master separation agreement and related agreements and the transactions contemplated by those agreements, between and among Lazard Ltd, LAZ-MD Holdings, Lazard Group and LFCM Holdings or any combination thereof and materially adversely affect our business, financial condition and results of operations.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have made statements under the captions “Business,” “Risk Factors,” and “Management’s Discussion and Analysis of Financial Condition and Results of Operations” and in other sections of this Form 10-K that are forward-looking statements. In some cases, you can identify these statements by forward-looking words such as “may,” “might,” “will,” “should,” “expect,” “plan,” “anticipate,” “believe,” “estimate,” “predict,” “potential”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 particular, you should consider the numerous risks and uncertainties outlined in “Risk Factors,” including the following:</w:t>
      </w:r>
    </w:p>
    <w:p>
      <w:pPr>
        <w:spacing w:after="0" w:line="14"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continued decline or further deterioration in general economic conditions or the global financial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lack of liquidity, i.e., ready access to funds, for use in our businesses,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our employees.</w:t>
      </w:r>
    </w:p>
    <w:p>
      <w:pPr>
        <w:spacing w:after="0" w:line="185"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this Form 10-K may include additional factors, which could adversely impact our business and financial performance. Moreover, we operate in a very competitive and rapidly changing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results to differ materially from those contained in any forward-looking statements.</w:t>
      </w:r>
    </w:p>
    <w:p>
      <w:pPr>
        <w:spacing w:after="0" w:line="84"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10-K to conform our prior statements to actual results or revised expectations and we do not intend to do so.</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77"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target levels of compensation expense,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24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expected tax rates,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03"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expectations with respect to the economy, securities markets, the market for mergers, acquisitions, strategic advisory and restructuring activity, the market for asset management activity and other industry trends,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85"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LAM and its subsidiaries. Monthly updates of these funds are posted to the LAM website </w:t>
      </w:r>
      <w:r>
        <w:rPr>
          <w:rFonts w:ascii="Arial" w:cs="Arial" w:eastAsia="Arial" w:hAnsi="Arial"/>
          <w:sz w:val="16"/>
          <w:szCs w:val="16"/>
          <w:i w:val="1"/>
          <w:iCs w:val="1"/>
          <w:color w:val="auto"/>
        </w:rPr>
        <w:t>(www.lazardnet.com)</w:t>
      </w:r>
      <w:r>
        <w:rPr>
          <w:rFonts w:ascii="Arial" w:cs="Arial" w:eastAsia="Arial" w:hAnsi="Arial"/>
          <w:sz w:val="16"/>
          <w:szCs w:val="16"/>
          <w:color w:val="auto"/>
        </w:rPr>
        <w:t xml:space="preserve"> on the third business day following the end of each month. Investors can link to Lazard Ltd, Lazard Group and their operating company websites through </w:t>
      </w:r>
      <w:r>
        <w:rPr>
          <w:rFonts w:ascii="Arial" w:cs="Arial" w:eastAsia="Arial" w:hAnsi="Arial"/>
          <w:sz w:val="16"/>
          <w:szCs w:val="16"/>
          <w:i w:val="1"/>
          <w:iCs w:val="1"/>
          <w:color w:val="auto"/>
        </w:rPr>
        <w:t>http://www.lazard.com</w:t>
      </w:r>
      <w:r>
        <w:rPr>
          <w:rFonts w:ascii="Arial" w:cs="Arial" w:eastAsia="Arial" w:hAnsi="Arial"/>
          <w:sz w:val="16"/>
          <w:szCs w:val="16"/>
          <w:color w:val="auto"/>
        </w:rPr>
        <w:t>. Our websites and the information contained therein or connected thereto shall not be deemed to be incorporated into this Form 10-K.</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following table lists the properties used for the entire Lazard organization as of December 31, 2009, including properties used by the separated businesses. As a general matter, one or both of our Financial Advisory and Asset Management segments (as well as our Corporate segment) uses the following properties. We license and sublease to LFCM Holdings certain office space, including office space that is used by the separated businesses. This includes subleasing or licensing approximately 34,280 square feet in New York City located at 30 Rockefeller Plaza to LFCM Holdings. Additionally, our New York, London and other offices sublease 37,202, 55,676 and 16,203 square feet, respectively, to third parties. We remain fully liable for the subleased space to the extent LFCM Holdings, or the third parties, fail to perform their obligations under the subleases for any reason. In addition, LFCM Holdings entered into indemnity arrangements in relation to excess space and abandoned former premises in London.</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220" w:type="dxa"/>
            <w:vAlign w:val="bottom"/>
          </w:tcPr>
          <w:p>
            <w:pPr>
              <w:spacing w:after="0"/>
              <w:rPr>
                <w:sz w:val="15"/>
                <w:szCs w:val="15"/>
                <w:color w:val="auto"/>
              </w:rPr>
            </w:pPr>
          </w:p>
        </w:tc>
        <w:tc>
          <w:tcPr>
            <w:tcW w:w="218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Square Footage</w:t>
            </w:r>
          </w:p>
        </w:tc>
        <w:tc>
          <w:tcPr>
            <w:tcW w:w="220" w:type="dxa"/>
            <w:vAlign w:val="bottom"/>
          </w:tcPr>
          <w:p>
            <w:pPr>
              <w:spacing w:after="0"/>
              <w:rPr>
                <w:sz w:val="15"/>
                <w:szCs w:val="15"/>
                <w:color w:val="auto"/>
              </w:rPr>
            </w:pPr>
          </w:p>
        </w:tc>
        <w:tc>
          <w:tcPr>
            <w:tcW w:w="5920" w:type="dxa"/>
            <w:vAlign w:val="bottom"/>
            <w:tcBorders>
              <w:bottom w:val="single" w:sz="8" w:color="auto"/>
            </w:tcBorders>
          </w:tcPr>
          <w:p>
            <w:pPr>
              <w:ind w:left="2460"/>
              <w:spacing w:after="0"/>
              <w:rPr>
                <w:sz w:val="20"/>
                <w:szCs w:val="20"/>
                <w:color w:val="auto"/>
              </w:rPr>
            </w:pPr>
            <w:r>
              <w:rPr>
                <w:rFonts w:ascii="Arial" w:cs="Arial" w:eastAsia="Arial" w:hAnsi="Arial"/>
                <w:sz w:val="14"/>
                <w:szCs w:val="14"/>
                <w:b w:val="1"/>
                <w:bCs w:val="1"/>
                <w:color w:val="auto"/>
              </w:rPr>
              <w:t>Principal Offices</w:t>
            </w:r>
          </w:p>
        </w:tc>
        <w:tc>
          <w:tcPr>
            <w:tcW w:w="0" w:type="dxa"/>
            <w:vAlign w:val="bottom"/>
          </w:tcPr>
          <w:p>
            <w:pPr>
              <w:spacing w:after="0"/>
              <w:rPr>
                <w:sz w:val="1"/>
                <w:szCs w:val="1"/>
                <w:color w:val="auto"/>
              </w:rPr>
            </w:pPr>
          </w:p>
        </w:tc>
      </w:tr>
      <w:tr>
        <w:trPr>
          <w:trHeight w:val="201"/>
        </w:trPr>
        <w:tc>
          <w:tcPr>
            <w:tcW w:w="2880" w:type="dxa"/>
            <w:vAlign w:val="bottom"/>
          </w:tcPr>
          <w:p>
            <w:pPr>
              <w:spacing w:after="0" w:line="201" w:lineRule="exact"/>
              <w:rPr>
                <w:sz w:val="20"/>
                <w:szCs w:val="20"/>
                <w:color w:val="auto"/>
              </w:rPr>
            </w:pPr>
            <w:r>
              <w:rPr>
                <w:rFonts w:ascii="Arial" w:cs="Arial" w:eastAsia="Arial" w:hAnsi="Arial"/>
                <w:sz w:val="18"/>
                <w:szCs w:val="18"/>
                <w:color w:val="auto"/>
              </w:rPr>
              <w:t>New York</w:t>
            </w:r>
          </w:p>
        </w:tc>
        <w:tc>
          <w:tcPr>
            <w:tcW w:w="220" w:type="dxa"/>
            <w:vAlign w:val="bottom"/>
          </w:tcPr>
          <w:p>
            <w:pPr>
              <w:spacing w:after="0"/>
              <w:rPr>
                <w:sz w:val="17"/>
                <w:szCs w:val="17"/>
                <w:color w:val="auto"/>
              </w:rPr>
            </w:pPr>
          </w:p>
        </w:tc>
        <w:tc>
          <w:tcPr>
            <w:tcW w:w="2180" w:type="dxa"/>
            <w:vAlign w:val="bottom"/>
          </w:tcPr>
          <w:p>
            <w:pPr>
              <w:spacing w:after="0" w:line="201" w:lineRule="exact"/>
              <w:rPr>
                <w:sz w:val="20"/>
                <w:szCs w:val="20"/>
                <w:color w:val="auto"/>
              </w:rPr>
            </w:pPr>
            <w:r>
              <w:rPr>
                <w:rFonts w:ascii="Arial" w:cs="Arial" w:eastAsia="Arial" w:hAnsi="Arial"/>
                <w:sz w:val="18"/>
                <w:szCs w:val="18"/>
                <w:color w:val="auto"/>
              </w:rPr>
              <w:t>380,354 square feet of</w:t>
            </w:r>
          </w:p>
        </w:tc>
        <w:tc>
          <w:tcPr>
            <w:tcW w:w="2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leased space</w:t>
            </w:r>
          </w:p>
        </w:tc>
        <w:tc>
          <w:tcPr>
            <w:tcW w:w="2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Key office located at 30 Rockefeller Plaza, New York, New York 10020.</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Other North America</w:t>
            </w:r>
          </w:p>
        </w:tc>
        <w:tc>
          <w:tcPr>
            <w:tcW w:w="2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w w:val="90"/>
              </w:rPr>
              <w:t>151,951 square feet of leased</w:t>
            </w:r>
          </w:p>
        </w:tc>
        <w:tc>
          <w:tcPr>
            <w:tcW w:w="2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w w:val="89"/>
              </w:rPr>
              <w:t>Atlanta, Boston, Charlotte, Chicago, Houston, Los Angeles, Minneapolis, Montreal,</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space</w:t>
            </w:r>
          </w:p>
        </w:tc>
        <w:tc>
          <w:tcPr>
            <w:tcW w:w="220" w:type="dxa"/>
            <w:vAlign w:val="bottom"/>
          </w:tcPr>
          <w:p>
            <w:pPr>
              <w:spacing w:after="0"/>
              <w:rPr>
                <w:sz w:val="18"/>
                <w:szCs w:val="18"/>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San Francisco and Washington D.C.</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Paris</w:t>
            </w:r>
          </w:p>
        </w:tc>
        <w:tc>
          <w:tcPr>
            <w:tcW w:w="2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w w:val="90"/>
              </w:rPr>
              <w:t>170,644 square feet of owned</w:t>
            </w:r>
          </w:p>
        </w:tc>
        <w:tc>
          <w:tcPr>
            <w:tcW w:w="2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Key office located at 121 Boulevard Haussmann, 75008 Paris.</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and leased space</w:t>
            </w:r>
          </w:p>
        </w:tc>
        <w:tc>
          <w:tcPr>
            <w:tcW w:w="2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London</w:t>
            </w:r>
          </w:p>
        </w:tc>
        <w:tc>
          <w:tcPr>
            <w:tcW w:w="2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w w:val="94"/>
              </w:rPr>
              <w:t>86,695 square feet of leased</w:t>
            </w:r>
          </w:p>
        </w:tc>
        <w:tc>
          <w:tcPr>
            <w:tcW w:w="2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Key office located at 50 Stratton Street, London W1J 8LL.</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space</w:t>
            </w:r>
          </w:p>
        </w:tc>
        <w:tc>
          <w:tcPr>
            <w:tcW w:w="2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Other Europe</w:t>
            </w:r>
          </w:p>
        </w:tc>
        <w:tc>
          <w:tcPr>
            <w:tcW w:w="2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w w:val="90"/>
              </w:rPr>
              <w:t>119,356 square feet of leased</w:t>
            </w:r>
          </w:p>
        </w:tc>
        <w:tc>
          <w:tcPr>
            <w:tcW w:w="2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w w:val="98"/>
              </w:rPr>
              <w:t>Amsterdam, Bordeaux, Brussels, Frankfurt, Hamburg, Lyon, Madrid, Milan,</w:t>
            </w:r>
          </w:p>
        </w:tc>
        <w:tc>
          <w:tcPr>
            <w:tcW w:w="0" w:type="dxa"/>
            <w:vAlign w:val="bottom"/>
          </w:tcPr>
          <w:p>
            <w:pPr>
              <w:spacing w:after="0"/>
              <w:rPr>
                <w:sz w:val="1"/>
                <w:szCs w:val="1"/>
                <w:color w:val="auto"/>
              </w:rPr>
            </w:pPr>
          </w:p>
        </w:tc>
      </w:tr>
      <w:tr>
        <w:trPr>
          <w:trHeight w:val="222"/>
        </w:trPr>
        <w:tc>
          <w:tcPr>
            <w:tcW w:w="2880" w:type="dxa"/>
            <w:vAlign w:val="bottom"/>
            <w:vMerge w:val="restart"/>
          </w:tcPr>
          <w:p>
            <w:pPr>
              <w:spacing w:after="0"/>
              <w:rPr>
                <w:sz w:val="20"/>
                <w:szCs w:val="20"/>
                <w:color w:val="auto"/>
              </w:rPr>
            </w:pPr>
            <w:r>
              <w:rPr>
                <w:rFonts w:ascii="Arial" w:cs="Arial" w:eastAsia="Arial" w:hAnsi="Arial"/>
                <w:sz w:val="18"/>
                <w:szCs w:val="18"/>
                <w:color w:val="auto"/>
              </w:rPr>
              <w:t>Asia, Australia and</w:t>
            </w:r>
          </w:p>
        </w:tc>
        <w:tc>
          <w:tcPr>
            <w:tcW w:w="220" w:type="dxa"/>
            <w:vAlign w:val="bottom"/>
          </w:tcPr>
          <w:p>
            <w:pPr>
              <w:spacing w:after="0"/>
              <w:rPr>
                <w:sz w:val="19"/>
                <w:szCs w:val="19"/>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space</w:t>
            </w:r>
          </w:p>
        </w:tc>
        <w:tc>
          <w:tcPr>
            <w:tcW w:w="220" w:type="dxa"/>
            <w:vAlign w:val="bottom"/>
          </w:tcPr>
          <w:p>
            <w:pPr>
              <w:spacing w:after="0"/>
              <w:rPr>
                <w:sz w:val="19"/>
                <w:szCs w:val="19"/>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Stockholm and Zurich.</w:t>
            </w:r>
          </w:p>
        </w:tc>
        <w:tc>
          <w:tcPr>
            <w:tcW w:w="0" w:type="dxa"/>
            <w:vAlign w:val="bottom"/>
          </w:tcPr>
          <w:p>
            <w:pPr>
              <w:spacing w:after="0"/>
              <w:rPr>
                <w:sz w:val="1"/>
                <w:szCs w:val="1"/>
                <w:color w:val="auto"/>
              </w:rPr>
            </w:pPr>
          </w:p>
        </w:tc>
      </w:tr>
      <w:tr>
        <w:trPr>
          <w:trHeight w:val="210"/>
        </w:trPr>
        <w:tc>
          <w:tcPr>
            <w:tcW w:w="2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80" w:type="dxa"/>
            <w:vAlign w:val="bottom"/>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2180" w:type="dxa"/>
            <w:vAlign w:val="bottom"/>
            <w:vMerge w:val="restart"/>
          </w:tcPr>
          <w:p>
            <w:pPr>
              <w:spacing w:after="0"/>
              <w:rPr>
                <w:sz w:val="20"/>
                <w:szCs w:val="20"/>
                <w:color w:val="auto"/>
              </w:rPr>
            </w:pPr>
            <w:r>
              <w:rPr>
                <w:rFonts w:ascii="Arial" w:cs="Arial" w:eastAsia="Arial" w:hAnsi="Arial"/>
                <w:sz w:val="18"/>
                <w:szCs w:val="18"/>
                <w:color w:val="auto"/>
                <w:w w:val="94"/>
              </w:rPr>
              <w:t>68,423 square feet of leased</w:t>
            </w:r>
          </w:p>
        </w:tc>
        <w:tc>
          <w:tcPr>
            <w:tcW w:w="220" w:type="dxa"/>
            <w:vAlign w:val="bottom"/>
          </w:tcPr>
          <w:p>
            <w:pPr>
              <w:spacing w:after="0"/>
              <w:rPr>
                <w:sz w:val="19"/>
                <w:szCs w:val="19"/>
                <w:color w:val="auto"/>
              </w:rPr>
            </w:pPr>
          </w:p>
        </w:tc>
        <w:tc>
          <w:tcPr>
            <w:tcW w:w="5920" w:type="dxa"/>
            <w:vAlign w:val="bottom"/>
            <w:vMerge w:val="restart"/>
          </w:tcPr>
          <w:p>
            <w:pPr>
              <w:spacing w:after="0"/>
              <w:rPr>
                <w:sz w:val="20"/>
                <w:szCs w:val="20"/>
                <w:color w:val="auto"/>
              </w:rPr>
            </w:pPr>
            <w:r>
              <w:rPr>
                <w:rFonts w:ascii="Arial" w:cs="Arial" w:eastAsia="Arial" w:hAnsi="Arial"/>
                <w:sz w:val="18"/>
                <w:szCs w:val="18"/>
                <w:color w:val="auto"/>
                <w:w w:val="93"/>
              </w:rPr>
              <w:t>Beijing, Dubai City, Hong Kong, Melbourne, Mumbai, Seoul, Singapore, Sydney</w:t>
            </w: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space</w:t>
            </w:r>
          </w:p>
        </w:tc>
        <w:tc>
          <w:tcPr>
            <w:tcW w:w="220" w:type="dxa"/>
            <w:vAlign w:val="bottom"/>
          </w:tcPr>
          <w:p>
            <w:pPr>
              <w:spacing w:after="0"/>
              <w:rPr>
                <w:sz w:val="19"/>
                <w:szCs w:val="19"/>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and Tokyo.</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currently maintain sufficient space to meet our anticipated needs.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businesses, as well as the financial services industry generally, are subject to extensive regulation throughout the world. 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reserves if a loss is probable and the amount of such loss can be reasonably estimated. Management believes, based on currently available information, that the results of such matters, in the aggregate, will not have a material adverse effect on the Company’s financial condition but might be material to the Company’s operating results or cash flows for any particular period, depending upon the operating results for such period.</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[Reserved]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of December 31, 2009, approximately 74.5% and 25.5% of our common membership interests are held by wholly-owned subsidiaries of Lazard Ltd and by LAZ-MD Holdings, respectively. Our co-managing member interests are held by two indirect wholly-owned subsidiaries of Lazard Ltd and our profit participation interests are held by various managing directors. There are no public trading markets for any of these interests.</w:t>
      </w:r>
    </w:p>
    <w:p>
      <w:pPr>
        <w:spacing w:after="0" w:line="9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Subsequent to the equity public offering, pursuant to provisions of its amended and restated Operating Agreement, Lazard Group distributions in respect of common membership interests are allocated to the holders of such interests on a pro rata basis. Such distributions represent amounts necessary to fund (i) dividends Lazard Ltd declares on its Class A common stock and (ii) tax distributions in respect of income taxes that Lazard Ltd’s subsidiaries and members of LAZ-MD Holdings incur as a result of holding Lazard Group common membership interests. During the years ended December 31, 2009, 2008 and 2007, Lazard Group distributed approximately $17.4 million, $20.7 million and $20.1 million, respectively, to LAZ-MD Holdings and approximately $33.5 million, $23.1 million and $18.3 million, respectively, to the subsidiaries of Lazard Ltd, which latter amounts were used by Lazard Ltd to pay dividends to third-party stockholders of its Class A common stock. In addition, during the years ended December 31, 2009, 2008 and 2007, Lazard Group made tax distributions of approximately $67.3 million, $83.4 million and $109.9 million, respectively, including $25.3 million, $39.2 million and $60.3 million, respectively, paid to LAZ-MD Holdings and approximately $42.0 million, $44.2 million and $49.6 million, respectively, paid to subsidiaries of Lazard Ltd.</w:t>
      </w:r>
    </w:p>
    <w:p>
      <w:pPr>
        <w:spacing w:after="0" w:line="10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8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sets forth the selected consolidated financial data for the Company for all periods presented. The results of operations for certain businesses that the Company no longer owns are reported as discontinued operations.</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results of operations for the period prior to May 10, 2005, the date of the equity public offering, do not reflect what our results of operations would have been had we been a stand-alone, public company. In addition, the results of operations for the period prior to May 10, 2005 are not comparable to results of operations for subsequent periods. Specifically, for the period prior to May 10, 2005, the results of operations do not give effect to the following matters:</w:t>
      </w:r>
    </w:p>
    <w:p>
      <w:pPr>
        <w:spacing w:after="0" w:line="12" w:lineRule="exact"/>
        <w:rPr>
          <w:sz w:val="20"/>
          <w:szCs w:val="20"/>
          <w:color w:val="auto"/>
        </w:rPr>
      </w:pPr>
    </w:p>
    <w:p>
      <w:pPr>
        <w:ind w:left="780" w:right="180" w:hanging="326"/>
        <w:spacing w:after="0" w:line="291"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Payment for services rendered by Lazard Group’s managing directors, which, as a result of Lazard Group operating as a limited liability company, historically had been accounted for as distributions from members’ capital, or in some cases as net income attributable to noncontrolling interests, rather than as compensation and benefits expense. As a result, prior to May 10, 2005, Lazard Group’s operating income did not reflect payments for services rendered by its managing directors. For periods subsequent to the consummation of the equity public offering, all payments for services rendered by our managing directors and distributions to holders of profit participation interests (“profit participation members”) in Lazard Group are included within the consolidated statements of operations in compensation and benefits expense.</w:t>
      </w:r>
    </w:p>
    <w:p>
      <w:pPr>
        <w:spacing w:after="0" w:line="25" w:lineRule="exact"/>
        <w:rPr>
          <w:rFonts w:ascii="Arial" w:cs="Arial" w:eastAsia="Arial" w:hAnsi="Arial"/>
          <w:sz w:val="16"/>
          <w:szCs w:val="16"/>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use of proceeds from the financing transactions.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net incremental interest expense related to the financing transactions.</w:t>
      </w:r>
    </w:p>
    <w:p>
      <w:pPr>
        <w:spacing w:after="0" w:line="185"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addition, in the accompanying consolidated financial statements of Lazard Group for periods subsequent to the equity public offering, only a portion of Lazard’s Group’s income is subject to U.S. federal income taxes because Lazard Group operates in the U.S. as a limited liability company that is treated as a partnership for U.S. federal income tax purposes. Taxes related to income earned by partnerships represent obligations of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individual partners. Lazard Group, however, is subject to Unincorporated Business Tax (“UBT”) attributable to Lazard Group’s operations apportioned to New York City. Outside the U.S., Lazard Group historically has operated principally through subsidiary corporations and has been subject to local income taxes.</w:t>
      </w:r>
    </w:p>
    <w:p>
      <w:pPr>
        <w:spacing w:after="0" w:line="7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consolidated statements of financial condition and operations data as of and for each of the years in the five-year period ended December 31, 2009 have been derived, as applicable, from Lazard Group’s consolidated financial statements. The audited consolidated statements of financial condition as of December 31, 2009 and 2008 and consolidated statements of operations for each of the years in the three year period ended December 31, 2009 are included elsewhere in this Form 10-K. The audited consolidated statements of financial condition as of December 31, 2007, 2006 and 2005, and consolidated statements of operations for the years ended December 31, 2006 and 2005, are not included in this Form 10-K. Historical results are not necessarily indicative of results for any future period.</w:t>
      </w:r>
    </w:p>
    <w:p>
      <w:pPr>
        <w:spacing w:after="0" w:line="13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selected consolidated financial data should be read in conjunction with “Management’s Discussion and Analysis of Financial Condition and Results of Operations,” and the Company’s consolidated financial statements and related notes included elsewhere in this Form 10-K.</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11"/>
          </w:tcPr>
          <w:p>
            <w:pPr>
              <w:jc w:val="center"/>
              <w:ind w:right="20"/>
              <w:spacing w:after="0"/>
              <w:rPr>
                <w:sz w:val="20"/>
                <w:szCs w:val="20"/>
                <w:color w:val="auto"/>
              </w:rPr>
            </w:pPr>
            <w:r>
              <w:rPr>
                <w:rFonts w:ascii="Arial" w:cs="Arial" w:eastAsia="Arial" w:hAnsi="Arial"/>
                <w:sz w:val="14"/>
                <w:szCs w:val="14"/>
                <w:b w:val="1"/>
                <w:bCs w:val="1"/>
                <w:color w:val="auto"/>
                <w:w w:val="89"/>
              </w:rPr>
              <w:t>As Of Or For The Year Ended December 31,</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w w:val="83"/>
              </w:rPr>
              <w:t>2007</w:t>
            </w: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7"/>
          </w:tcPr>
          <w:p>
            <w:pPr>
              <w:jc w:val="center"/>
              <w:ind w:left="392"/>
              <w:spacing w:after="0" w:line="142" w:lineRule="exact"/>
              <w:rPr>
                <w:sz w:val="20"/>
                <w:szCs w:val="20"/>
                <w:color w:val="auto"/>
              </w:rPr>
            </w:pPr>
            <w:r>
              <w:rPr>
                <w:rFonts w:ascii="Arial" w:cs="Arial" w:eastAsia="Arial" w:hAnsi="Arial"/>
                <w:sz w:val="14"/>
                <w:szCs w:val="14"/>
                <w:b w:val="1"/>
                <w:bCs w:val="1"/>
                <w:color w:val="auto"/>
                <w:w w:val="84"/>
              </w:rPr>
              <w:t>(in thousands of dollars)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Operations Data</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tcPr>
          <w:p>
            <w:pPr>
              <w:spacing w:after="0" w:line="149" w:lineRule="exact"/>
              <w:rPr>
                <w:sz w:val="20"/>
                <w:szCs w:val="20"/>
                <w:color w:val="auto"/>
              </w:rPr>
            </w:pPr>
            <w:r>
              <w:rPr>
                <w:rFonts w:ascii="Arial" w:cs="Arial" w:eastAsia="Arial" w:hAnsi="Arial"/>
                <w:sz w:val="14"/>
                <w:szCs w:val="14"/>
                <w:color w:val="auto"/>
              </w:rPr>
              <w:t>Net Revenue:</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Financial Advisory (a)</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986,820</w:t>
            </w: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3"/>
              </w:rPr>
              <w:t>1,022,913</w:t>
            </w:r>
          </w:p>
        </w:tc>
        <w:tc>
          <w:tcPr>
            <w:tcW w:w="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1,240,177</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973,337</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864,812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Asset Management (b)</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601,652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614,781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724,751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553,212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466,188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Corporate (c)</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(58,509)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(82,725)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(48,035)</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(33,380)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(29,589)</w:t>
            </w:r>
          </w:p>
        </w:tc>
        <w:tc>
          <w:tcPr>
            <w:tcW w:w="0" w:type="dxa"/>
            <w:vAlign w:val="bottom"/>
          </w:tcPr>
          <w:p>
            <w:pPr>
              <w:spacing w:after="0"/>
              <w:rPr>
                <w:sz w:val="1"/>
                <w:szCs w:val="1"/>
                <w:color w:val="auto"/>
              </w:rPr>
            </w:pPr>
          </w:p>
        </w:tc>
      </w:tr>
      <w:tr>
        <w:trPr>
          <w:trHeight w:val="20"/>
        </w:trPr>
        <w:tc>
          <w:tcPr>
            <w:tcW w:w="6920" w:type="dxa"/>
            <w:vAlign w:val="bottom"/>
            <w:gridSpan w:val="3"/>
            <w:vMerge w:val="restart"/>
          </w:tcPr>
          <w:p>
            <w:pPr>
              <w:spacing w:after="0"/>
              <w:rPr>
                <w:sz w:val="20"/>
                <w:szCs w:val="20"/>
                <w:color w:val="auto"/>
              </w:rPr>
            </w:pPr>
            <w:r>
              <w:rPr>
                <w:rFonts w:ascii="Arial" w:cs="Arial" w:eastAsia="Arial" w:hAnsi="Arial"/>
                <w:sz w:val="14"/>
                <w:szCs w:val="14"/>
                <w:color w:val="auto"/>
              </w:rPr>
              <w:t>Net Revenue</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1,529,963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1,554,969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1,916,893</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1,493,169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85"/>
              </w:rPr>
              <w:t>1,301,411(d)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Compensation and Benefits (e)(f)</w:t>
            </w: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1,309,231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1,128,243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1,123,058</w:t>
            </w: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891,411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698,683</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00" w:type="dxa"/>
            <w:vAlign w:val="bottom"/>
            <w:gridSpan w:val="2"/>
          </w:tcPr>
          <w:p>
            <w:pPr>
              <w:spacing w:after="0" w:line="149" w:lineRule="exact"/>
              <w:rPr>
                <w:sz w:val="20"/>
                <w:szCs w:val="20"/>
                <w:color w:val="auto"/>
              </w:rPr>
            </w:pPr>
            <w:r>
              <w:rPr>
                <w:rFonts w:ascii="Arial" w:cs="Arial" w:eastAsia="Arial" w:hAnsi="Arial"/>
                <w:sz w:val="14"/>
                <w:szCs w:val="14"/>
                <w:color w:val="auto"/>
              </w:rPr>
              <w:t>Other Operating Expenses (g)</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402,720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384,697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357,771</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268,082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257,052</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Operating Expenses</w:t>
            </w: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1,711,951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1,512,940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1,480,829</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1,159,493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955,735</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920" w:type="dxa"/>
            <w:vAlign w:val="bottom"/>
            <w:gridSpan w:val="3"/>
          </w:tcPr>
          <w:p>
            <w:pPr>
              <w:spacing w:after="0" w:line="155" w:lineRule="exact"/>
              <w:rPr>
                <w:sz w:val="20"/>
                <w:szCs w:val="20"/>
                <w:color w:val="auto"/>
              </w:rPr>
            </w:pPr>
            <w:r>
              <w:rPr>
                <w:rFonts w:ascii="Arial" w:cs="Arial" w:eastAsia="Arial" w:hAnsi="Arial"/>
                <w:sz w:val="14"/>
                <w:szCs w:val="14"/>
                <w:color w:val="auto"/>
              </w:rPr>
              <w:t>Operating Income (Loss) from Continuing Operations</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93"/>
              </w:rPr>
              <w:t>(181,988)</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42,029</w:t>
            </w:r>
          </w:p>
        </w:tc>
        <w:tc>
          <w:tcPr>
            <w:tcW w:w="2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436,064</w:t>
            </w:r>
          </w:p>
        </w:tc>
        <w:tc>
          <w:tcPr>
            <w:tcW w:w="30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333,676</w:t>
            </w: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345,676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Income (Loss) from Continuing Operations (e)</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w w:val="93"/>
              </w:rPr>
              <w:t>(213,715)</w:t>
            </w:r>
          </w:p>
        </w:tc>
        <w:tc>
          <w:tcPr>
            <w:tcW w:w="2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12,338</w:t>
            </w:r>
          </w:p>
        </w:tc>
        <w:tc>
          <w:tcPr>
            <w:tcW w:w="26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347,278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269,117</w:t>
            </w:r>
          </w:p>
        </w:tc>
        <w:tc>
          <w:tcPr>
            <w:tcW w:w="2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291,503</w:t>
            </w:r>
          </w:p>
        </w:tc>
        <w:tc>
          <w:tcPr>
            <w:tcW w:w="0" w:type="dxa"/>
            <w:vAlign w:val="bottom"/>
          </w:tcPr>
          <w:p>
            <w:pPr>
              <w:spacing w:after="0"/>
              <w:rPr>
                <w:sz w:val="1"/>
                <w:szCs w:val="1"/>
                <w:color w:val="auto"/>
              </w:rPr>
            </w:pPr>
          </w:p>
        </w:tc>
      </w:tr>
      <w:tr>
        <w:trPr>
          <w:trHeight w:val="20"/>
        </w:trPr>
        <w:tc>
          <w:tcPr>
            <w:tcW w:w="6920" w:type="dxa"/>
            <w:vAlign w:val="bottom"/>
            <w:gridSpan w:val="3"/>
            <w:vMerge w:val="restart"/>
          </w:tcPr>
          <w:p>
            <w:pPr>
              <w:spacing w:after="0"/>
              <w:rPr>
                <w:sz w:val="20"/>
                <w:szCs w:val="20"/>
                <w:color w:val="auto"/>
              </w:rPr>
            </w:pPr>
            <w:r>
              <w:rPr>
                <w:rFonts w:ascii="Arial" w:cs="Arial" w:eastAsia="Arial" w:hAnsi="Arial"/>
                <w:sz w:val="14"/>
                <w:szCs w:val="14"/>
                <w:color w:val="auto"/>
              </w:rPr>
              <w:t>Net Income (Loss) Attributable to Lazard Group</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20" w:type="dxa"/>
            <w:vAlign w:val="bottom"/>
            <w:gridSpan w:val="3"/>
            <w:vMerge w:val="continue"/>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w w:val="93"/>
              </w:rPr>
              <w:t>(216,547)</w:t>
            </w:r>
          </w:p>
        </w:tc>
        <w:tc>
          <w:tcPr>
            <w:tcW w:w="2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25,671</w:t>
            </w:r>
          </w:p>
        </w:tc>
        <w:tc>
          <w:tcPr>
            <w:tcW w:w="26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342,134</w:t>
            </w:r>
          </w:p>
        </w:tc>
        <w:tc>
          <w:tcPr>
            <w:tcW w:w="30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263,993</w:t>
            </w:r>
          </w:p>
        </w:tc>
        <w:tc>
          <w:tcPr>
            <w:tcW w:w="2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255,224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60" w:type="dxa"/>
            <w:vAlign w:val="bottom"/>
          </w:tcPr>
          <w:p>
            <w:pPr>
              <w:spacing w:after="0"/>
              <w:rPr>
                <w:sz w:val="8"/>
                <w:szCs w:val="8"/>
                <w:color w:val="auto"/>
              </w:rPr>
            </w:pPr>
          </w:p>
        </w:tc>
        <w:tc>
          <w:tcPr>
            <w:tcW w:w="6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Financial Condition Data</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3"/>
              </w:rPr>
              <w:t>3,115,048</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3"/>
              </w:rPr>
              <w:t>2,885,582</w:t>
            </w:r>
          </w:p>
        </w:tc>
        <w:tc>
          <w:tcPr>
            <w:tcW w:w="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3,763,942</w:t>
            </w:r>
          </w:p>
        </w:tc>
        <w:tc>
          <w:tcPr>
            <w:tcW w:w="300" w:type="dxa"/>
            <w:vAlign w:val="bottom"/>
          </w:tcPr>
          <w:p>
            <w:pPr>
              <w:spacing w:after="0"/>
              <w:rPr>
                <w:sz w:val="12"/>
                <w:szCs w:val="12"/>
                <w:color w:val="auto"/>
              </w:rPr>
            </w:pP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85"/>
              </w:rPr>
              <w:t>$3,187,207</w:t>
            </w:r>
          </w:p>
        </w:tc>
        <w:tc>
          <w:tcPr>
            <w:tcW w:w="94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$1,907,133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Debt (h)</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1,261,478</w:t>
            </w: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3"/>
              </w:rPr>
              <w:t>1,264,575</w:t>
            </w:r>
          </w:p>
        </w:tc>
        <w:tc>
          <w:tcPr>
            <w:tcW w:w="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1,764,622</w:t>
            </w:r>
          </w:p>
        </w:tc>
        <w:tc>
          <w:tcPr>
            <w:tcW w:w="3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5"/>
              </w:rPr>
              <w:t>$1,308,945</w:t>
            </w:r>
          </w:p>
        </w:tc>
        <w:tc>
          <w:tcPr>
            <w:tcW w:w="94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$1,241,344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tcPr>
          <w:p>
            <w:pPr>
              <w:spacing w:after="0" w:line="149" w:lineRule="exact"/>
              <w:rPr>
                <w:sz w:val="20"/>
                <w:szCs w:val="20"/>
                <w:color w:val="auto"/>
              </w:rPr>
            </w:pPr>
            <w:r>
              <w:rPr>
                <w:rFonts w:ascii="Arial" w:cs="Arial" w:eastAsia="Arial" w:hAnsi="Arial"/>
                <w:sz w:val="14"/>
                <w:szCs w:val="14"/>
                <w:color w:val="auto"/>
              </w:rPr>
              <w:t>Total Lazard Group Members’ Equity (Deficiency)</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155,371</w:t>
            </w:r>
          </w:p>
        </w:tc>
        <w:tc>
          <w:tcPr>
            <w:tcW w:w="14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105,629</w:t>
            </w:r>
          </w:p>
        </w:tc>
        <w:tc>
          <w:tcPr>
            <w:tcW w:w="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(26,307)</w:t>
            </w:r>
          </w:p>
        </w:tc>
        <w:tc>
          <w:tcPr>
            <w:tcW w:w="7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w w:val="89"/>
              </w:rPr>
              <w:t>$ (259,209)</w:t>
            </w:r>
          </w:p>
        </w:tc>
        <w:tc>
          <w:tcPr>
            <w:tcW w:w="94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 (870,339)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Members’ Equity (Deficiency)</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282,931</w:t>
            </w: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126,510</w:t>
            </w:r>
          </w:p>
        </w:tc>
        <w:tc>
          <w:tcPr>
            <w:tcW w:w="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25,448</w:t>
            </w:r>
          </w:p>
        </w:tc>
        <w:tc>
          <w:tcPr>
            <w:tcW w:w="3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9"/>
              </w:rPr>
              <w:t>$ (204,592)</w:t>
            </w:r>
          </w:p>
        </w:tc>
        <w:tc>
          <w:tcPr>
            <w:tcW w:w="94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 (758,610)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6920" w:type="dxa"/>
            <w:vAlign w:val="bottom"/>
            <w:gridSpan w:val="3"/>
          </w:tcPr>
          <w:p>
            <w:pPr>
              <w:spacing w:after="0" w:line="158" w:lineRule="exact"/>
              <w:rPr>
                <w:sz w:val="20"/>
                <w:szCs w:val="20"/>
                <w:color w:val="auto"/>
              </w:rPr>
            </w:pPr>
            <w:r>
              <w:rPr>
                <w:rFonts w:ascii="Arial" w:cs="Arial" w:eastAsia="Arial" w:hAnsi="Arial"/>
                <w:sz w:val="14"/>
                <w:szCs w:val="14"/>
                <w:b w:val="1"/>
                <w:bCs w:val="1"/>
                <w:i w:val="1"/>
                <w:iCs w:val="1"/>
                <w:color w:val="auto"/>
              </w:rPr>
              <w:t>Notes (in thousands of dollars)</w:t>
            </w: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920" w:type="dxa"/>
            <w:vAlign w:val="bottom"/>
            <w:gridSpan w:val="3"/>
          </w:tcPr>
          <w:p>
            <w:pPr>
              <w:spacing w:after="0"/>
              <w:rPr>
                <w:sz w:val="20"/>
                <w:szCs w:val="20"/>
                <w:color w:val="auto"/>
              </w:rPr>
            </w:pPr>
            <w:r>
              <w:rPr>
                <w:rFonts w:ascii="Arial" w:cs="Arial" w:eastAsia="Arial" w:hAnsi="Arial"/>
                <w:sz w:val="14"/>
                <w:szCs w:val="14"/>
                <w:color w:val="auto"/>
              </w:rPr>
              <w:t>(a)  Financial Advisory net revenue consists of the following:</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9"/>
            <w:vMerge w:val="restart"/>
          </w:tcPr>
          <w:p>
            <w:pPr>
              <w:jc w:val="center"/>
              <w:ind w:right="240"/>
              <w:spacing w:after="0"/>
              <w:rPr>
                <w:sz w:val="20"/>
                <w:szCs w:val="20"/>
                <w:color w:val="auto"/>
              </w:rPr>
            </w:pPr>
            <w:r>
              <w:rPr>
                <w:rFonts w:ascii="Arial" w:cs="Arial" w:eastAsia="Arial" w:hAnsi="Arial"/>
                <w:sz w:val="14"/>
                <w:szCs w:val="14"/>
                <w:b w:val="1"/>
                <w:bCs w:val="1"/>
                <w:color w:val="auto"/>
                <w:w w:val="88"/>
              </w:rPr>
              <w:t>For The Year Ended December 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gridSpan w:val="9"/>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w w:val="83"/>
              </w:rPr>
              <w:t>2007</w:t>
            </w: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M&amp;A</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526,225</w:t>
            </w: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814,660</w:t>
            </w:r>
          </w:p>
        </w:tc>
        <w:tc>
          <w:tcPr>
            <w:tcW w:w="2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969,409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88"/>
              </w:rPr>
              <w:t>$792,537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w w:val="88"/>
              </w:rPr>
              <w:t>$674,543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Financial Restructuring</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376,710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119,283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127,175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70,625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103,404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Financial Advisory</w:t>
            </w: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83,885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88,970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143,593</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110,175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86,865</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40" w:type="dxa"/>
            <w:vAlign w:val="bottom"/>
          </w:tcPr>
          <w:p>
            <w:pPr>
              <w:ind w:left="200"/>
              <w:spacing w:after="0" w:line="155" w:lineRule="exact"/>
              <w:rPr>
                <w:sz w:val="20"/>
                <w:szCs w:val="20"/>
                <w:color w:val="auto"/>
              </w:rPr>
            </w:pPr>
            <w:r>
              <w:rPr>
                <w:rFonts w:ascii="Arial" w:cs="Arial" w:eastAsia="Arial" w:hAnsi="Arial"/>
                <w:sz w:val="14"/>
                <w:szCs w:val="14"/>
                <w:color w:val="auto"/>
              </w:rPr>
              <w:t>Financial Advisory Net Revenue</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986,820</w:t>
            </w:r>
          </w:p>
        </w:tc>
        <w:tc>
          <w:tcPr>
            <w:tcW w:w="140" w:type="dxa"/>
            <w:vAlign w:val="bottom"/>
          </w:tcPr>
          <w:p>
            <w:pPr>
              <w:spacing w:after="0"/>
              <w:rPr>
                <w:sz w:val="13"/>
                <w:szCs w:val="13"/>
                <w:color w:val="auto"/>
              </w:rPr>
            </w:pP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7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83"/>
              </w:rPr>
              <w:t>1,022,913</w:t>
            </w: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1,240,177</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88"/>
              </w:rPr>
              <w:t>$973,337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88"/>
              </w:rPr>
              <w:t>$864,812</w:t>
            </w:r>
          </w:p>
        </w:tc>
        <w:tc>
          <w:tcPr>
            <w:tcW w:w="0" w:type="dxa"/>
            <w:vAlign w:val="bottom"/>
          </w:tcPr>
          <w:p>
            <w:pPr>
              <w:spacing w:after="0"/>
              <w:rPr>
                <w:sz w:val="1"/>
                <w:szCs w:val="1"/>
                <w:color w:val="auto"/>
              </w:rPr>
            </w:pPr>
          </w:p>
        </w:tc>
      </w:tr>
      <w:tr>
        <w:trPr>
          <w:trHeight w:val="20"/>
        </w:trPr>
        <w:tc>
          <w:tcPr>
            <w:tcW w:w="6920" w:type="dxa"/>
            <w:vAlign w:val="bottom"/>
            <w:gridSpan w:val="3"/>
            <w:vMerge w:val="restart"/>
          </w:tcPr>
          <w:p>
            <w:pPr>
              <w:spacing w:after="0"/>
              <w:rPr>
                <w:sz w:val="20"/>
                <w:szCs w:val="20"/>
                <w:color w:val="auto"/>
              </w:rPr>
            </w:pPr>
            <w:r>
              <w:rPr>
                <w:rFonts w:ascii="Arial" w:cs="Arial" w:eastAsia="Arial" w:hAnsi="Arial"/>
                <w:sz w:val="14"/>
                <w:szCs w:val="14"/>
                <w:color w:val="auto"/>
              </w:rPr>
              <w:t>(b)  Asset Management net revenue consists of the following: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2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9"/>
          </w:tcPr>
          <w:p>
            <w:pPr>
              <w:jc w:val="center"/>
              <w:ind w:right="240"/>
              <w:spacing w:after="0"/>
              <w:rPr>
                <w:sz w:val="20"/>
                <w:szCs w:val="20"/>
                <w:color w:val="auto"/>
              </w:rPr>
            </w:pPr>
            <w:r>
              <w:rPr>
                <w:rFonts w:ascii="Arial" w:cs="Arial" w:eastAsia="Arial" w:hAnsi="Arial"/>
                <w:sz w:val="14"/>
                <w:szCs w:val="14"/>
                <w:b w:val="1"/>
                <w:bCs w:val="1"/>
                <w:color w:val="auto"/>
                <w:w w:val="88"/>
              </w:rPr>
              <w:t>For The Year Ended December 31,</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w w:val="83"/>
              </w:rPr>
              <w:t>2007</w:t>
            </w: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Management and Other Fees</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488,636</w:t>
            </w: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568,436</w:t>
            </w:r>
          </w:p>
        </w:tc>
        <w:tc>
          <w:tcPr>
            <w:tcW w:w="2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595,725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88"/>
              </w:rPr>
              <w:t>$450,323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w w:val="88"/>
              </w:rPr>
              <w:t>$389,414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Incentive Fees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74,795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34,961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67,032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59,371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44,627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Income</w:t>
            </w: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38,221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11,384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61,994</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43,518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32,147</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40" w:type="dxa"/>
            <w:vAlign w:val="bottom"/>
          </w:tcPr>
          <w:p>
            <w:pPr>
              <w:ind w:left="200"/>
              <w:spacing w:after="0" w:line="155" w:lineRule="exact"/>
              <w:rPr>
                <w:sz w:val="20"/>
                <w:szCs w:val="20"/>
                <w:color w:val="auto"/>
              </w:rPr>
            </w:pPr>
            <w:r>
              <w:rPr>
                <w:rFonts w:ascii="Arial" w:cs="Arial" w:eastAsia="Arial" w:hAnsi="Arial"/>
                <w:sz w:val="14"/>
                <w:szCs w:val="14"/>
                <w:color w:val="auto"/>
              </w:rPr>
              <w:t>Asset Management Net Revenue</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601,652</w:t>
            </w:r>
          </w:p>
        </w:tc>
        <w:tc>
          <w:tcPr>
            <w:tcW w:w="140" w:type="dxa"/>
            <w:vAlign w:val="bottom"/>
          </w:tcPr>
          <w:p>
            <w:pPr>
              <w:spacing w:after="0"/>
              <w:rPr>
                <w:sz w:val="13"/>
                <w:szCs w:val="13"/>
                <w:color w:val="auto"/>
              </w:rPr>
            </w:pP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614,781</w:t>
            </w: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724,751</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88"/>
              </w:rPr>
              <w:t>$553,212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88"/>
              </w:rPr>
              <w:t>$466,188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p>
      <w:pPr>
        <w:ind w:left="340" w:right="320" w:hanging="332"/>
        <w:spacing w:after="0" w:line="268" w:lineRule="auto"/>
        <w:tabs>
          <w:tab w:leader="none" w:pos="3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“Corporate” includes interest income (net of interest expense), including, for periods subsequent to May 10, 2005, the net incremental interest expense related to the financing transactions, investment income from certain investments and net money market revenue earned by LFB, as well as any gains or losses from the extinguishment of debt.</w:t>
      </w:r>
    </w:p>
    <w:p>
      <w:pPr>
        <w:ind w:left="340" w:right="12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year ended December 31, 2005 includes a credit of $8,000, which represents accrued dividends on the Company’s mandatory redeemable preferred stock which was redeemed and cancelled pursuant to the redemption of membership interests of historical partners.</w:t>
      </w:r>
    </w:p>
    <w:p>
      <w:pPr>
        <w:ind w:left="340" w:right="14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Excludes, as applicable, with respect to the period prior to May 10, 2005, payments for services rendered by Lazard Group’s managing directors, which, as a result of Lazard Group operating as a limited liability company, historically had been accounted for as distributions from members’ capital, or in some cases as net income attributable to noncontrolling interests, rather than as compensation and benefits expense.</w:t>
      </w:r>
    </w:p>
    <w:p>
      <w:pPr>
        <w:ind w:left="340" w:right="8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2008, includes $197,550 relating to the compensation portion of the LAM Merger charge. In 2009, includes charges of $86,514 related to the acceleration of amortization expense relating to the vesting of RSUs held by Lazard’s former Chairman and Chief Executive Officer as the result of his death in October 2009 and $60,512 related to the accelerated vesting of the then unamortized portion of previously awarded deferred cash incentive awards.</w:t>
      </w:r>
    </w:p>
    <w:p>
      <w:pPr>
        <w:ind w:left="340" w:right="18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2008, includes $2,000 of non-compensation-related transaction costs relating to the LAM Merger. In 2009, includes restructuring expense of $62,550 related to the restructuring plan announced in the first quarter of 2009.</w:t>
      </w:r>
    </w:p>
    <w:p>
      <w:pPr>
        <w:ind w:left="340" w:right="240" w:hanging="332"/>
        <w:spacing w:after="0" w:line="230"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Total debt amounts relate to the Company’s continuing operations and represents the aggregate amount reflected in the Company’s consolidated statements of financial condition relating to senior debt, capital lease obligations and subordinated debt.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The following discussion should be read in conjunction with Lazard Group’s consolidated financial statements and the related notes included elsewhere in this Annual Report on Form 10-K (this “Form 10-K”).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 entitled “Risk Factors” and elsewhere in this Form 10-K.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principal sources of revenue are derived from activities in the following business segments:</w:t>
      </w:r>
    </w:p>
    <w:p>
      <w:pPr>
        <w:spacing w:after="0" w:line="77" w:lineRule="exact"/>
        <w:rPr>
          <w:sz w:val="20"/>
          <w:szCs w:val="20"/>
          <w:color w:val="auto"/>
        </w:rPr>
      </w:pPr>
    </w:p>
    <w:p>
      <w:pPr>
        <w:ind w:left="780" w:right="540" w:hanging="326"/>
        <w:spacing w:after="0" w:line="325" w:lineRule="auto"/>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Financial Advisory, which includes providing general strategic and transaction-specific advice on mergers and acquisitions (“M&amp;A”) and other strategic matters, restructurings, capital structure, capital raising and various other corporate finance matters, and</w:t>
      </w:r>
    </w:p>
    <w:p>
      <w:pPr>
        <w:spacing w:after="0" w:line="1"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Asset Management, which includes strategies for the management of equity and fixed income securities and alternative investment and private equity funds.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Company records selected other activities in its Corporate segment, including management of cash, certain investments and the commercial banking activities of Lazard Group’s Paris-based Lazard Frères Banque SA (“LFB”). The Company also allocates outstanding indebtedness to its Corporate segment.</w:t>
      </w:r>
    </w:p>
    <w:p>
      <w:pPr>
        <w:spacing w:after="0" w:line="12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LFB is a registered bank regulated by the Banque de France and its primary operations include asset and liability management for Lazard Group’s businesses in France through its money market desk and commercial banking operations, deposit taking and, to a lesser extent, financing activities and custodial oversight over assets of various clients. LFB engages in underwritten offerings of securities in France and we expect that it may expand its scope to include placements elsewhere in Europe.</w:t>
      </w:r>
    </w:p>
    <w:p>
      <w:pPr>
        <w:spacing w:after="0" w:line="130"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In June 2009, the Company formed a new wealth management subsidiary, Lazard Wealth Management LLC (“Lazard Wealth Management”). Lazard Wealth Management, which has not yet commenced operations, is expected to provide customized, investment management and financial planning services to high net worth investors in the U.S. Lazard Wealth Management expects to work with investors to construct, implement and monitor an asset allocation strategy designed to meet the individual client’s investment objectives, integrating tax planning, estate planning, philanthropic interests and legacy planning with investment and risk management services. Prior to the launch of this business, we registered Lazard Wealth Management as an investment adviser with the SEC.</w:t>
      </w:r>
    </w:p>
    <w:p>
      <w:pPr>
        <w:spacing w:after="0" w:line="8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September 25, 2008, pursuant to a definitive merger agreement dated August 14, 2008, the Company, Lazard Asset Management LLC (together with its subsidiaries, “LAM”) and LAZ Sub I, LLC, a newly formed subsidiary of Lazard Frères &amp; Co. LLC (“LFNY”), completed the merger of LAZ Sub I, LLC with and into LAM (the “LAM Merger”). See Note 8 of Notes to Consolidated Financial Statements for additional information relating to the LAM Merger.</w:t>
      </w:r>
    </w:p>
    <w:p>
      <w:pPr>
        <w:spacing w:after="0" w:line="9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August 13, 2007, Lazard Group acquired Goldsmith, Agio, Helms &amp; Lynner, LLC (“GAHL”), a Minneapolis-based investment bank specializing in financial advisory services to mid-sized private companies. On July 31, 2007, Lazard Ltd acquired Carnegie, Wylie &amp; Company (Holdings) PTY LTD (“CWC”), an Australia-based financial advisory firm and concurrently sold such investment to Lazard Group. See Note 9 of Notes to Consolidated Financial Statements for additional information relating to the acquisitions of GAHL and CWC.</w:t>
      </w:r>
    </w:p>
    <w:p>
      <w:pPr>
        <w:spacing w:after="0" w:line="130"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Lazard and Natixis entered into a cooperation arrangement in April 2004 (and expanded such arrangement in March 2005) to place and underwrite securities on the French equity primary capital markets and cooperate in their respective origination, syndication and placement activities. The arrangement expired during the third quarter of 2008, although it continues to be applied in accordance with its general terms pending the outcome of continuing discussions.</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Lazard also has a long history of making alternative investments with its own capital, usually alongside capital of qualified institutional and individual investors. At the time of Lazard Ltd’s equity public offering and as a part of the separation, we transferred to LFCM Holdings LLC (“LFCM Holdings”) all of our alternative investment activities, except for Fonds Partenaires Gestion SA (“FPG”), our private equity business in France. Such activities transferred to LFCM Holdings represented the alternative investment activities of Lazard Alternative Investments Holdings LLC (“LAI”) and included private equity investments of Corporate Partners II Limited (“CP II”) and Lazard Senior Housing Partners LP. CP II was managed by a subsidiary of LAI until February 16, 2009. Effective February 17, 2009, ownership and control of CP II was transferred to the investment professionals who manage CP II. We also transferred to LFCM Holdings certain principal investments by Lazard Group in the funds managed by the separated businesses, subject to certain options by us to reacquire such investments, while we retained our investment in our French private equity funds. Since 2005, consistent with our obligations to LFCM Holdings, we have engaged in a number of alternative investments and private equity activities. Effective September 30, 2009, the Company sold FPG to a fund management company forming part of a group that manages investment companies and funds, in some of which Lazard could earn carried interests. The managing directors and staff conducting this activity were accordingly transferred to the buyer. The sale of FPG did not have a material impact on our financial condition or results of operations. Operating results of FPG have been included in our consolidated financial statements through the effective date of sale. See Note 10 of Notes to Consolidated Financial Statements for additional information regarding alternative investments.</w:t>
      </w:r>
    </w:p>
    <w:p>
      <w:pPr>
        <w:spacing w:after="0" w:line="10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continue to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In that regard, on July 15, 2009, the Company established a private equity business with The Edgewater Funds (“Edgewater”), a Chicago-based private equity firm, through the acquisition of Edgewater’s management vehicles. The acquisition was structured as a purchase by Lazard of interests in a holding company that owns interests in the general partner and management company entities of the current Edgewater private equity funds (the “Edgewater Acquisition”) (see Note 9 of Notes to Consolidated Financial Statements). Also, consistent with our obligations to LFCM Holdings, we may explore discrete capital markets opportunities.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years ended December 31, 2009, 2008, and 2007, the Company’s consolidated net revenue was derived from the following segments: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88"/>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40" w:type="dxa"/>
            <w:vAlign w:val="bottom"/>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1240" w:type="dxa"/>
            <w:vAlign w:val="bottom"/>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Financial Advisory</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w:t>
            </w:r>
          </w:p>
        </w:tc>
        <w:tc>
          <w:tcPr>
            <w:tcW w:w="254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66%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Asset Management</w:t>
            </w:r>
          </w:p>
        </w:tc>
        <w:tc>
          <w:tcPr>
            <w:tcW w:w="540" w:type="dxa"/>
            <w:vAlign w:val="bottom"/>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18"/>
                <w:szCs w:val="18"/>
                <w:color w:val="auto"/>
              </w:rPr>
            </w:pPr>
          </w:p>
        </w:tc>
        <w:tc>
          <w:tcPr>
            <w:tcW w:w="2540" w:type="dxa"/>
            <w:vAlign w:val="bottom"/>
            <w:gridSpan w:val="3"/>
          </w:tcPr>
          <w:p>
            <w:pPr>
              <w:jc w:val="right"/>
              <w:ind w:right="1240"/>
              <w:spacing w:after="0"/>
              <w:rPr>
                <w:sz w:val="20"/>
                <w:szCs w:val="20"/>
                <w:color w:val="auto"/>
              </w:rPr>
            </w:pPr>
            <w:r>
              <w:rPr>
                <w:rFonts w:ascii="Arial" w:cs="Arial" w:eastAsia="Arial" w:hAnsi="Arial"/>
                <w:sz w:val="18"/>
                <w:szCs w:val="18"/>
                <w:color w:val="auto"/>
              </w:rPr>
              <w:t>39</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254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(5)</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40" w:type="dxa"/>
            <w:vAlign w:val="bottom"/>
            <w:vMerge w:val="continue"/>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100%</w:t>
            </w:r>
          </w:p>
        </w:tc>
        <w:tc>
          <w:tcPr>
            <w:tcW w:w="2540" w:type="dxa"/>
            <w:vAlign w:val="bottom"/>
            <w:gridSpan w:val="3"/>
          </w:tcPr>
          <w:p>
            <w:pPr>
              <w:jc w:val="right"/>
              <w:ind w:right="108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Economic and market conditions in the U.S. and globally have been adversely impacted since early 2008 through March 2009 by factors including the contraction in worldwide credit markets and the related tightening of lending, volatility in currency and commodity markets and oil prices and write-downs within the financial sector. Global markets showed significant improvement in the last six months of 2009. Overall, these economic and market conditions adversely affected our operating performance in both our Financial Advisory and Asset Management businesses in the early part of 2009, with improvement in the second half of the year.</w:t>
      </w:r>
    </w:p>
    <w:p>
      <w:pPr>
        <w:spacing w:after="0" w:line="12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Lazard operates in a very competitive and rapidly changing environment. New risks and uncertainties emerge from time to time, and it is not possible for Lazard’s management to predict all risks and uncertainties, nor can Lazard assess the impact of all potentially applicable factors on its business or the extent to which any factor, or combination of factors, may cause actual results to differ materially from those contained in any forward-looking statements. See the section entitled “Risk Factors” in this Form 10-K. Furthermore, net income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and revenue in any period may not be indicative of full-year results or the results of any other period and may vary significantly from year to year and quarter to quarter.</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While M&amp;A activity for the year ended December 31, 2009 decreased substantially versus the corresponding prior year for both global and trans-atlantic completed transactions and announced transactions, increased activity in restructuring resulted from a higher level of corporate debt defaults during 2009. According to Moody’s Investors Service, Inc., in the year ended December 31, 2009, a total of 266 issuers defaulted as compared to 105 in 2008. The following table sets forth industry statistics regarding the volume of M&amp;A transactions in 2009 and 2008: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left="136"/>
              <w:spacing w:after="0"/>
              <w:rPr>
                <w:sz w:val="20"/>
                <w:szCs w:val="20"/>
                <w:color w:val="auto"/>
              </w:rPr>
            </w:pPr>
            <w:r>
              <w:rPr>
                <w:rFonts w:ascii="Arial" w:cs="Arial" w:eastAsia="Arial" w:hAnsi="Arial"/>
                <w:sz w:val="14"/>
                <w:szCs w:val="14"/>
                <w:b w:val="1"/>
                <w:bCs w:val="1"/>
                <w:color w:val="auto"/>
                <w:w w:val="87"/>
              </w:rPr>
              <w:t>Year Ended December 31,</w:t>
            </w:r>
          </w:p>
        </w:tc>
        <w:tc>
          <w:tcPr>
            <w:tcW w:w="9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7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jc w:val="right"/>
              <w:ind w:right="319"/>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r>
      <w:tr>
        <w:trPr>
          <w:trHeight w:val="161"/>
        </w:trPr>
        <w:tc>
          <w:tcPr>
            <w:tcW w:w="7720" w:type="dxa"/>
            <w:vAlign w:val="bottom"/>
          </w:tcPr>
          <w:p>
            <w:pPr>
              <w:spacing w:after="0"/>
              <w:rPr>
                <w:sz w:val="14"/>
                <w:szCs w:val="14"/>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2008</w:t>
            </w:r>
          </w:p>
        </w:tc>
        <w:tc>
          <w:tcPr>
            <w:tcW w:w="70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Incr /(Decr)</w:t>
            </w:r>
          </w:p>
        </w:tc>
        <w:tc>
          <w:tcPr>
            <w:tcW w:w="260" w:type="dxa"/>
            <w:vAlign w:val="bottom"/>
          </w:tcPr>
          <w:p>
            <w:pPr>
              <w:spacing w:after="0"/>
              <w:rPr>
                <w:sz w:val="14"/>
                <w:szCs w:val="14"/>
                <w:color w:val="auto"/>
              </w:rPr>
            </w:pPr>
          </w:p>
        </w:tc>
      </w:tr>
      <w:tr>
        <w:trPr>
          <w:trHeight w:val="156"/>
        </w:trPr>
        <w:tc>
          <w:tcPr>
            <w:tcW w:w="7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4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87"/>
              </w:rPr>
              <w:t>($ in billions)</w:t>
            </w: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Global</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$ 1,710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$ 2,809</w:t>
            </w:r>
          </w:p>
        </w:tc>
        <w:tc>
          <w:tcPr>
            <w:tcW w:w="7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Trans-Atlantic</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7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r>
      <w:tr>
        <w:trPr>
          <w:trHeight w:val="282"/>
        </w:trPr>
        <w:tc>
          <w:tcPr>
            <w:tcW w:w="772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8"/>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Global</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7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r>
      <w:tr>
        <w:trPr>
          <w:trHeight w:val="222"/>
        </w:trPr>
        <w:tc>
          <w:tcPr>
            <w:tcW w:w="7720" w:type="dxa"/>
            <w:vAlign w:val="bottom"/>
          </w:tcPr>
          <w:p>
            <w:pPr>
              <w:spacing w:after="0"/>
              <w:rPr>
                <w:sz w:val="20"/>
                <w:szCs w:val="20"/>
                <w:color w:val="auto"/>
              </w:rPr>
            </w:pPr>
            <w:r>
              <w:rPr>
                <w:rFonts w:ascii="Arial" w:cs="Arial" w:eastAsia="Arial" w:hAnsi="Arial"/>
                <w:sz w:val="18"/>
                <w:szCs w:val="18"/>
                <w:color w:val="auto"/>
              </w:rPr>
              <w:t>Trans-Atlantic</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7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Source:Thomson Financial as of January 22, 2010</w:t>
      </w:r>
      <w:r>
        <w:rPr>
          <w:rFonts w:ascii="Arial" w:cs="Arial" w:eastAsia="Arial" w:hAnsi="Arial"/>
          <w:sz w:val="18"/>
          <w:szCs w:val="18"/>
          <w:color w:val="auto"/>
        </w:rPr>
        <w:t>.</w:t>
      </w:r>
    </w:p>
    <w:p>
      <w:pPr>
        <w:spacing w:after="0" w:line="15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While overall M&amp;A industry statistics regarding the number and size of announced transactions declined in 2009 as compared to 2008, we believe that in the current environment we are relatively well positioned as our clients refinance, restructure and position their asset portfolios for growth. Nevertheless, we continue to remain cautious with respect to the overall economic environment and its impact on the M&amp;A business. Generally, during such periods of unfavorable market or economic conditions, the volume and value of M&amp;A transactions may decrease, thereby reducing the demand for our advisory services and increasing competition among financial services companies seeking such engagements.</w:t>
      </w:r>
    </w:p>
    <w:p>
      <w:pPr>
        <w:spacing w:after="0" w:line="10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While we believe that the number and value of corporate defaults may decrease in 2010, we expect that our Restructuring business should continue to be very active over the next several years from the significant level of corporate defaults in 2009, as well as from advising companies during this period of volatility on matters relating to debt and financing restructuring and other on- and off-balance sheet assignments. Our Restructuring assignments normally are executed over a six- to eighteen-month period.</w:t>
      </w:r>
    </w:p>
    <w:p>
      <w:pPr>
        <w:spacing w:after="0" w:line="13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April 2009, governmental officials in New York announced a new policy banning the use of placement agents by funds seeking investment contributions from the New York State and New York City public pension funds. The use of placement agents has also been prohibited or otherwise restricted with respect to investments by public pension funds in Illinois, Ohio and New Mexico, and similar measures are being considered in other jurisdictions and by the SEC. Our Private Fund Advisory Group, which is part of our Financial Advisory segment, acts as placement agent for investment funds, including investment funds that have historically received capital from certain of these affected public pension funds. We are continuing to evaluate the potential impact of these restrictions on our Private Fund Advisory Group.</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shown in the table below, major global market indices at December 31, 2009 improved significantly as compared to such indices at December 31, 2008.</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0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Percentage Change</w:t>
            </w:r>
          </w:p>
        </w:tc>
      </w:tr>
      <w:tr>
        <w:trPr>
          <w:trHeight w:val="149"/>
        </w:trPr>
        <w:tc>
          <w:tcPr>
            <w:tcW w:w="101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101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2009 vs. 2008</w:t>
            </w:r>
          </w:p>
        </w:tc>
        <w:tc>
          <w:tcPr>
            <w:tcW w:w="200" w:type="dxa"/>
            <w:vAlign w:val="bottom"/>
          </w:tcPr>
          <w:p>
            <w:pPr>
              <w:spacing w:after="0"/>
              <w:rPr>
                <w:sz w:val="14"/>
                <w:szCs w:val="14"/>
                <w:color w:val="auto"/>
              </w:rPr>
            </w:pPr>
          </w:p>
        </w:tc>
      </w:tr>
      <w:tr>
        <w:trPr>
          <w:trHeight w:val="210"/>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MSCI World Index</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CAC 40</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DAX</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FTSE 100</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TOPIX 100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MSCI Emerging Market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Dow Jones Industrial Average</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NASDAQ</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r>
    </w:tbl>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assets under management (“AUM”). Accordingly, since market appreciation (depreciation) and foreign currency volatility impact the level of our AUM, such items will impact the level of revenues we receive from our Asset Management business. Since a substantial portion of our AUM is invested in equities, market appreciation reflected in the changes in Lazard’s AUM during the year ended December 31, 2009 generally corresponded to the changes in global market indices. While AUM at December 31, 2009 improved versus AUM at December 31, 2008, our average AUM during 2009 declined as compared to our average AUM during 2008, reflecting significant market depreciation during the second half of 2008 and first quarter of 2009. Such decrease resulted in lower management fee revenues in 2009.</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majority of Lazard’s Financial Advisory net revenue is earned from the successful completion of M&amp;A transactions, strategic advisory matters, restructuring and capital structure advisory services, capital raising and similar transactions. The main driver of Financial Advisory net revenue is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Lazard’s Financial Advisory segment also earns revenue from public and private securities offerings in the form of referral fees for referring opportunities to LFCM Holdings for underwriting and distribution of securities. The referral fees received from LFCM Holdings are generally one-half of the revenue recorded by LFCM Holdings in respect of such activities. Significant fluctuations in Financial Advisory net revenue can occur over the course of any given year. These fluctuations arise because a significant portion of Financial Advisory net revenue is earned upon the successful completion of a transaction, restructuring or capital raising activity, the timing of which is uncertain and is not subject to Lazard’s control.</w:t>
      </w:r>
    </w:p>
    <w:p>
      <w:pPr>
        <w:spacing w:after="0" w:line="11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Lazard’s Asset Management segment principally includes LAM, Lazard Frères Gestion SAS, FPG (through its disposition on September 30, 2009) and, effective July 15, 2009, Edgewater. Asset Management net revenue is derived from fees for investment management and advisory services provided to institutional and private clients. The main driver of Asset Management net revenue is the level of AUM, which is influenced by Lazard’s investment performance, its ability to successfully attract and retain assets, the broader performance of the global equity markets and, to a lesser extent, fixed income markets. As a result, fluctuations in financial markets and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client asset inflows and outflows have a direct effect on Asset Management net revenue and operating income. Asset Management fees are generally based on the level of AUM measured as of the end of a quarter or month, and an increase or reduction in AUM at such dates, due to market price fluctuations, currency fluctuations, net client asset flows or otherwise,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assets that are denominated in currencies other than U.S. dollars, changes in the value of the U.S. dollar relative to foreign currencies will impact the value of Lazard’s AUM. Fees vary with the type of assets managed, with higher fees earned on equity assets, alternative investments (such as hedge funds) and private equity investments, and lower fees earned on fixed income and cash management products.</w:t>
      </w:r>
    </w:p>
    <w:p>
      <w:pPr>
        <w:spacing w:after="0" w:line="10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18"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For hedge funds, incentive fees are calculated based on a specified percentage of a fund’s net appreciation, in some cases in excess of established benchmarks. The Company records incentive fees on traditional products and hedge funds at the end of the relevant performance measurement period, when potential uncertainties regarding the ultimate realizable amounts have been determined. The performance fee measurement period is generally an annual period (unless an account terminates during the year), and therefore such incentive fees are usually recorded in the fourth quarter of Lazard’s fiscal year. These incentive fees received at the end of the measurement period are not subject to reversal or payback. Incentive fees on hedge funds generally are subject to loss carryforward provisions in which losses incurred by the funds in any year are applied against certain future period net appreciation before any incentive fees can be earned.</w:t>
      </w:r>
    </w:p>
    <w:p>
      <w:pPr>
        <w:spacing w:after="0" w:line="91"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recorded until potential uncertainties regarding the ultimate realizable amounts have been determined, including any potential for clawback.</w:t>
      </w:r>
    </w:p>
    <w:p>
      <w:pPr>
        <w:spacing w:after="0" w:line="13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Corporate segment net revenue consists primarily of net interest income, including amounts earned at LFB, and investment gains and losses on the Company’s investment portfolio of LAM-managed equity funds and principal investments in equities, debt securities at LFB and alternative investment funds. Interest expense is also included in Corporate net revenue. Corporate net revenue can fluctuate due to changes in the fair value of investments classified as “trading”, and with respect to “available-for-sale”, when realized, or when a decline is determined to be other than temporary, with respect to “available-for-sale” and “held-to-maturity” investments, as well as due to changes in interest and currency exchange rates and in the levels of cash, investments and indebtedness. Corporate net revenue also includes “equity method” investments, including, in 2009, the write-off of the Company’s investment in the Sapphire warrants (see Note 15 of Notes to Consolidated Financial Statements).</w:t>
      </w:r>
    </w:p>
    <w:p>
      <w:pPr>
        <w:spacing w:after="0" w:line="10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Effective July 1, 2008, as permitted by accounting principles generally accepted in the United States of America (“U.S. GAAP”), the portion of LFB’s corporate debt portfolio that had been previously designated as “trading” was re-designated to “available-for-sale”. During the years ended December 31, 2009 and 2008, the Company recorded net mark-ups and mark-downs of $29 and $(41) million, respectively, in “accumulated other comprehensive income (loss), net of tax” (“AOCI”).</w:t>
      </w:r>
    </w:p>
    <w:p>
      <w:pPr>
        <w:spacing w:after="0" w:line="13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Although Corporate segment net revenue during the year ended December 31, 2009 represented (4)% of Lazard’s net revenue, total assets in Corporate represented 55% of Lazard’s consolidated total assets as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2009, principally attributable to assets associated with LFB, and, to a lesser extent, investments in LAM-managed funds, other securities and cash.</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majority of Lazard’s operating expenses relate to compensation and benefits for employees and managing directors. Our compensation and benefits expense includes amortization of the relevant portion of the restricted stock unit awards (“RSUs”) under the Lazard Ltd 2005 Equity Incentive Plan (“2005 Plan”) and the Lazard Ltd 2008 Incentive Compensation Plan (the “2008 Plan”), with such amortization generally determined on a straight-line basis over the vesting periods and not on the basis of revenue recognition (see Note 17 of Notes to Consolidated Financial Statements). Our compensation expense-to-operating revenue ratio for the years ended December 31, 2009, 2008 and 2007 was 71.6%, 55.6% and 55.8%, respectively, (with such ratios excluding, in 2009, the compensation charges of approximately $87 million related to the acceleration of amortization expense relating to the vesting of RSUs held by Lazard’s former Chairman and Chief Executive Officer as a result of his death in October 2009 and approximately $61 million relating to the accelerated vesting of the unamortized portion of previously awarded deferred cash incentive awards and, in 2008, the compensation charge of approximately $197 million relating to the LAM Merger). Compensation expense in any given year is dependent on many factors, including general economic and market conditions, our operating and financial performance, staffing levels and competitive pay conditions, as well as the composition between current and deferred compensation.</w:t>
      </w:r>
    </w:p>
    <w:p>
      <w:pPr>
        <w:spacing w:after="0" w:line="10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operating expenses also include “non-compensation expense”, amortization of intangible assets related to business acquisitions and, in 2009, restructuring expense. Non-compensation expense includes costs for occupancy and equipment, marketing and business development, technology and information services, professional services, fund administration and outsourced services and other expenses. Amortization of intangibles related to business acquisitions are associated with the acquisitions of Edgewater, GAHL and CWC. Restructuring expense relates to the reduction of headcount in the first quarter of 2009, and includes severance and related benefits expense, the acceleration of unrecognized expense pertaining to RSUs previously granted to individuals who were terminated and certain other costs related to this initiative.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taxes because taxes associated with such income represent obligations of the individual partners. Outside the U.S., Lazard Group operates principally through corporations and is subject to local income taxes. Income taxes shown on Lazard’s consolidated statements of operations are attributable to taxes incurred in non-U.S. entities and to New York City Unincorporated Business Tax (“UBT”) attributable to Lazard’s operations apportioned to New York City.</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records a charge (credit) to noncontrolling interests relating to Edgewater in 2009 and various LAM-related general partnership interests (“GPs”) held directly by certain of our LAM managing directors.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16 of Notes to Consolidated Financial Statements for information regarding Company’s noncontrolling interests.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members’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0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During 2009 and 2008, the Company reported certain charges (the “2009 special items” and the “2008 special item”, respectively, and collectively, “the 2009 and 2008 special items”) that resulted in a significant adverse impact on its operating results. The impact of such special items in 2009 and 2008 on the Company’s consolidated statements of operations are described in more detail in the table below.</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3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80" w:type="dxa"/>
            <w:vAlign w:val="bottom"/>
            <w:gridSpan w:val="5"/>
          </w:tcPr>
          <w:p>
            <w:pPr>
              <w:jc w:val="right"/>
              <w:ind w:right="1400"/>
              <w:spacing w:after="0"/>
              <w:rPr>
                <w:sz w:val="20"/>
                <w:szCs w:val="20"/>
                <w:color w:val="auto"/>
              </w:rPr>
            </w:pPr>
            <w:r>
              <w:rPr>
                <w:rFonts w:ascii="Arial" w:cs="Arial" w:eastAsia="Arial" w:hAnsi="Arial"/>
                <w:sz w:val="14"/>
                <w:szCs w:val="14"/>
                <w:b w:val="1"/>
                <w:bCs w:val="1"/>
                <w:color w:val="auto"/>
              </w:rPr>
              <w:t>December 31, 2009</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December 31, 2008</w:t>
            </w:r>
          </w:p>
        </w:tc>
        <w:tc>
          <w:tcPr>
            <w:tcW w:w="0" w:type="dxa"/>
            <w:vAlign w:val="bottom"/>
          </w:tcPr>
          <w:p>
            <w:pPr>
              <w:spacing w:after="0"/>
              <w:rPr>
                <w:sz w:val="1"/>
                <w:szCs w:val="1"/>
                <w:color w:val="auto"/>
              </w:rPr>
            </w:pPr>
          </w:p>
        </w:tc>
      </w:tr>
      <w:tr>
        <w:trPr>
          <w:trHeight w:val="129"/>
        </w:trPr>
        <w:tc>
          <w:tcPr>
            <w:tcW w:w="36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60" w:type="dxa"/>
            <w:vAlign w:val="bottom"/>
            <w:tcBorders>
              <w:top w:val="single" w:sz="8" w:color="auto"/>
            </w:tcBorders>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w w:val="87"/>
              </w:rPr>
              <w:t>Restructuring</w:t>
            </w:r>
          </w:p>
        </w:tc>
        <w:tc>
          <w:tcPr>
            <w:tcW w:w="1500" w:type="dxa"/>
            <w:vAlign w:val="bottom"/>
            <w:tcBorders>
              <w:top w:val="single" w:sz="8" w:color="auto"/>
            </w:tcBorders>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86"/>
              </w:rPr>
              <w:t>RSU Acceleration</w:t>
            </w:r>
          </w:p>
        </w:tc>
        <w:tc>
          <w:tcPr>
            <w:tcW w:w="10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89"/>
              </w:rPr>
              <w:t>Deferred Cash</w:t>
            </w:r>
          </w:p>
        </w:tc>
        <w:tc>
          <w:tcPr>
            <w:tcW w:w="56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(a)</w:t>
            </w:r>
          </w:p>
        </w:tc>
        <w:tc>
          <w:tcPr>
            <w:tcW w:w="540" w:type="dxa"/>
            <w:vAlign w:val="bottom"/>
          </w:tcPr>
          <w:p>
            <w:pPr>
              <w:spacing w:after="0"/>
              <w:rPr>
                <w:sz w:val="14"/>
                <w:szCs w:val="14"/>
                <w:color w:val="auto"/>
              </w:rPr>
            </w:pP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(b)</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Acceleration (c)</w:t>
            </w:r>
          </w:p>
        </w:tc>
        <w:tc>
          <w:tcPr>
            <w:tcW w:w="560" w:type="dxa"/>
            <w:vAlign w:val="bottom"/>
          </w:tcPr>
          <w:p>
            <w:pPr>
              <w:spacing w:after="0"/>
              <w:rPr>
                <w:sz w:val="14"/>
                <w:szCs w:val="14"/>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LAM Merger</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Compensation</w:t>
            </w:r>
          </w:p>
        </w:tc>
        <w:tc>
          <w:tcPr>
            <w:tcW w:w="10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$86,514</w:t>
            </w:r>
          </w:p>
        </w:tc>
        <w:tc>
          <w:tcPr>
            <w:tcW w:w="4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$60,512</w:t>
            </w:r>
          </w:p>
        </w:tc>
        <w:tc>
          <w:tcPr>
            <w:tcW w:w="5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92"/>
              </w:rPr>
              <w:t>$147,026</w:t>
            </w: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$197,550</w:t>
            </w:r>
          </w:p>
        </w:tc>
        <w:tc>
          <w:tcPr>
            <w:tcW w:w="0" w:type="dxa"/>
            <w:vAlign w:val="bottom"/>
          </w:tcPr>
          <w:p>
            <w:pPr>
              <w:spacing w:after="0"/>
              <w:rPr>
                <w:sz w:val="1"/>
                <w:szCs w:val="1"/>
                <w:color w:val="auto"/>
              </w:rPr>
            </w:pP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4"/>
                <w:szCs w:val="14"/>
                <w:color w:val="auto"/>
              </w:rPr>
              <w:t>Non-Compensation</w:t>
            </w: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49"/>
        </w:trPr>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Restructuring</w:t>
            </w:r>
          </w:p>
        </w:tc>
        <w:tc>
          <w:tcPr>
            <w:tcW w:w="108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$62,550</w:t>
            </w:r>
          </w:p>
        </w:tc>
        <w:tc>
          <w:tcPr>
            <w:tcW w:w="540" w:type="dxa"/>
            <w:vAlign w:val="bottom"/>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62,550</w:t>
            </w:r>
          </w:p>
        </w:tc>
        <w:tc>
          <w:tcPr>
            <w:tcW w:w="560" w:type="dxa"/>
            <w:vAlign w:val="bottom"/>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00" w:type="dxa"/>
            <w:vAlign w:val="bottom"/>
          </w:tcPr>
          <w:p>
            <w:pPr>
              <w:spacing w:after="0" w:line="155" w:lineRule="exact"/>
              <w:rPr>
                <w:sz w:val="20"/>
                <w:szCs w:val="20"/>
                <w:color w:val="auto"/>
              </w:rPr>
            </w:pPr>
            <w:r>
              <w:rPr>
                <w:rFonts w:ascii="Arial" w:cs="Arial" w:eastAsia="Arial" w:hAnsi="Arial"/>
                <w:sz w:val="14"/>
                <w:szCs w:val="14"/>
                <w:color w:val="auto"/>
              </w:rPr>
              <w:t>Operating Income (Loss)</w:t>
            </w:r>
          </w:p>
        </w:tc>
        <w:tc>
          <w:tcPr>
            <w:tcW w:w="2440" w:type="dxa"/>
            <w:vAlign w:val="bottom"/>
            <w:gridSpan w:val="3"/>
          </w:tcPr>
          <w:p>
            <w:pPr>
              <w:jc w:val="right"/>
              <w:ind w:right="500"/>
              <w:spacing w:after="0" w:line="155" w:lineRule="exact"/>
              <w:rPr>
                <w:sz w:val="20"/>
                <w:szCs w:val="20"/>
                <w:color w:val="auto"/>
              </w:rPr>
            </w:pPr>
            <w:r>
              <w:rPr>
                <w:rFonts w:ascii="Arial" w:cs="Arial" w:eastAsia="Arial" w:hAnsi="Arial"/>
                <w:sz w:val="14"/>
                <w:szCs w:val="14"/>
                <w:color w:val="auto"/>
              </w:rPr>
              <w:t>(62,550)</w:t>
            </w:r>
          </w:p>
        </w:tc>
        <w:tc>
          <w:tcPr>
            <w:tcW w:w="150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(86,514)</w:t>
            </w:r>
          </w:p>
        </w:tc>
        <w:tc>
          <w:tcPr>
            <w:tcW w:w="1580" w:type="dxa"/>
            <w:vAlign w:val="bottom"/>
            <w:gridSpan w:val="3"/>
          </w:tcPr>
          <w:p>
            <w:pPr>
              <w:jc w:val="right"/>
              <w:ind w:right="520"/>
              <w:spacing w:after="0" w:line="155" w:lineRule="exact"/>
              <w:rPr>
                <w:sz w:val="20"/>
                <w:szCs w:val="20"/>
                <w:color w:val="auto"/>
              </w:rPr>
            </w:pPr>
            <w:r>
              <w:rPr>
                <w:rFonts w:ascii="Arial" w:cs="Arial" w:eastAsia="Arial" w:hAnsi="Arial"/>
                <w:sz w:val="14"/>
                <w:szCs w:val="14"/>
                <w:color w:val="auto"/>
              </w:rPr>
              <w:t>(60,512)</w:t>
            </w:r>
          </w:p>
        </w:tc>
        <w:tc>
          <w:tcPr>
            <w:tcW w:w="112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w w:val="96"/>
              </w:rPr>
              <w:t>(209,576)</w:t>
            </w:r>
          </w:p>
        </w:tc>
        <w:tc>
          <w:tcPr>
            <w:tcW w:w="11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(199,550)</w:t>
            </w:r>
          </w:p>
        </w:tc>
        <w:tc>
          <w:tcPr>
            <w:tcW w:w="0" w:type="dxa"/>
            <w:vAlign w:val="bottom"/>
          </w:tcPr>
          <w:p>
            <w:pPr>
              <w:spacing w:after="0"/>
              <w:rPr>
                <w:sz w:val="1"/>
                <w:szCs w:val="1"/>
                <w:color w:val="auto"/>
              </w:rPr>
            </w:pPr>
          </w:p>
        </w:tc>
      </w:tr>
      <w:tr>
        <w:trPr>
          <w:trHeight w:val="149"/>
        </w:trPr>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(Benefit)</w:t>
            </w:r>
          </w:p>
        </w:tc>
        <w:tc>
          <w:tcPr>
            <w:tcW w:w="10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(6,401)</w:t>
            </w: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5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(2,566)</w:t>
            </w:r>
          </w:p>
        </w:tc>
        <w:tc>
          <w:tcPr>
            <w:tcW w:w="11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(8,967)</w:t>
            </w: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(7,427)</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4"/>
                <w:szCs w:val="14"/>
                <w:color w:val="auto"/>
              </w:rPr>
              <w:t>Net Income (Loss) Attributable to Lazard Ltd.</w:t>
            </w:r>
          </w:p>
        </w:tc>
        <w:tc>
          <w:tcPr>
            <w:tcW w:w="1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1360" w:type="dxa"/>
            <w:vAlign w:val="bottom"/>
            <w:gridSpan w:val="2"/>
          </w:tcPr>
          <w:p>
            <w:pPr>
              <w:jc w:val="right"/>
              <w:ind w:right="500"/>
              <w:spacing w:after="0" w:line="155" w:lineRule="exact"/>
              <w:rPr>
                <w:sz w:val="20"/>
                <w:szCs w:val="20"/>
                <w:color w:val="auto"/>
              </w:rPr>
            </w:pPr>
            <w:r>
              <w:rPr>
                <w:rFonts w:ascii="Arial" w:cs="Arial" w:eastAsia="Arial" w:hAnsi="Arial"/>
                <w:sz w:val="14"/>
                <w:szCs w:val="14"/>
                <w:color w:val="auto"/>
              </w:rPr>
              <w:t>$(56,149)</w:t>
            </w:r>
          </w:p>
        </w:tc>
        <w:tc>
          <w:tcPr>
            <w:tcW w:w="150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$(86,514)</w:t>
            </w:r>
          </w:p>
        </w:tc>
        <w:tc>
          <w:tcPr>
            <w:tcW w:w="1580" w:type="dxa"/>
            <w:vAlign w:val="bottom"/>
            <w:gridSpan w:val="3"/>
          </w:tcPr>
          <w:p>
            <w:pPr>
              <w:jc w:val="right"/>
              <w:ind w:right="520"/>
              <w:spacing w:after="0" w:line="155" w:lineRule="exact"/>
              <w:rPr>
                <w:sz w:val="20"/>
                <w:szCs w:val="20"/>
                <w:color w:val="auto"/>
              </w:rPr>
            </w:pPr>
            <w:r>
              <w:rPr>
                <w:rFonts w:ascii="Arial" w:cs="Arial" w:eastAsia="Arial" w:hAnsi="Arial"/>
                <w:sz w:val="14"/>
                <w:szCs w:val="14"/>
                <w:color w:val="auto"/>
              </w:rPr>
              <w:t>$(57,946)</w:t>
            </w:r>
          </w:p>
        </w:tc>
        <w:tc>
          <w:tcPr>
            <w:tcW w:w="1120" w:type="dxa"/>
            <w:vAlign w:val="bottom"/>
            <w:gridSpan w:val="2"/>
          </w:tcPr>
          <w:p>
            <w:pPr>
              <w:jc w:val="right"/>
              <w:ind w:right="520"/>
              <w:spacing w:after="0" w:line="155"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(200,609)</w:t>
            </w:r>
          </w:p>
        </w:tc>
        <w:tc>
          <w:tcPr>
            <w:tcW w:w="11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$(192,123)</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Restructuring plan announced in the first quarter of 2009.</w:t>
      </w:r>
    </w:p>
    <w:p>
      <w:pPr>
        <w:ind w:left="340" w:hanging="332"/>
        <w:spacing w:after="0" w:line="22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Acceleration of amortization expense relating to the vesting of RSUs held by Lazard’s former Chairman and Chief Executive Officer as a result of his death in October 2009.</w:t>
      </w:r>
    </w:p>
    <w:p>
      <w:pPr>
        <w:ind w:left="340" w:hanging="332"/>
        <w:spacing w:after="0"/>
        <w:tabs>
          <w:tab w:leader="none" w:pos="3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Accelerated vesting of the unamortized portion of previously awarded deferred cash incentive awards (no portion of which relates to Lazard’s former Chairman and Chief Executive Officer).</w:t>
      </w:r>
    </w:p>
    <w:p>
      <w:pPr>
        <w:spacing w:after="0" w:line="15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 discussion of the Company’s consolidated results of operations for the years ended December 31, 2009, 2008 and 2007 is set forth below, followed by a more detailed discussion of business segment results. For comparability purposes in the discussion that follows, the 2009 and 2008 results are shown in tables below, as applicable, on both an “as reported” U.S. GAAP and “excluding special items” non-U.S. GAAP basis.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2008</w:t>
            </w: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3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center"/>
              <w:ind w:right="260"/>
              <w:spacing w:after="0" w:line="129" w:lineRule="exact"/>
              <w:rPr>
                <w:sz w:val="20"/>
                <w:szCs w:val="20"/>
                <w:color w:val="auto"/>
              </w:rPr>
            </w:pPr>
            <w:r>
              <w:rPr>
                <w:rFonts w:ascii="Arial" w:cs="Arial" w:eastAsia="Arial" w:hAnsi="Arial"/>
                <w:sz w:val="14"/>
                <w:szCs w:val="14"/>
                <w:b w:val="1"/>
                <w:bCs w:val="1"/>
                <w:color w:val="auto"/>
                <w:w w:val="92"/>
              </w:rPr>
              <w:t>U.S. GAAP</w:t>
            </w:r>
          </w:p>
        </w:tc>
        <w:tc>
          <w:tcPr>
            <w:tcW w:w="18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center"/>
              <w:ind w:right="160"/>
              <w:spacing w:after="0" w:line="129" w:lineRule="exact"/>
              <w:rPr>
                <w:sz w:val="20"/>
                <w:szCs w:val="20"/>
                <w:color w:val="auto"/>
              </w:rPr>
            </w:pPr>
            <w:r>
              <w:rPr>
                <w:rFonts w:ascii="Arial" w:cs="Arial" w:eastAsia="Arial" w:hAnsi="Arial"/>
                <w:sz w:val="14"/>
                <w:szCs w:val="14"/>
                <w:b w:val="1"/>
                <w:bCs w:val="1"/>
                <w:color w:val="auto"/>
                <w:w w:val="89"/>
              </w:rPr>
              <w:t>Impact of</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center"/>
              <w:ind w:right="180"/>
              <w:spacing w:after="0" w:line="129" w:lineRule="exact"/>
              <w:rPr>
                <w:sz w:val="20"/>
                <w:szCs w:val="20"/>
                <w:color w:val="auto"/>
              </w:rPr>
            </w:pPr>
            <w:r>
              <w:rPr>
                <w:rFonts w:ascii="Arial" w:cs="Arial" w:eastAsia="Arial" w:hAnsi="Arial"/>
                <w:sz w:val="14"/>
                <w:szCs w:val="14"/>
                <w:b w:val="1"/>
                <w:bCs w:val="1"/>
                <w:color w:val="auto"/>
                <w:w w:val="90"/>
              </w:rPr>
              <w:t>Non-U.S. GAAP</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center"/>
              <w:ind w:right="220"/>
              <w:spacing w:after="0" w:line="129" w:lineRule="exact"/>
              <w:rPr>
                <w:sz w:val="20"/>
                <w:szCs w:val="20"/>
                <w:color w:val="auto"/>
              </w:rPr>
            </w:pPr>
            <w:r>
              <w:rPr>
                <w:rFonts w:ascii="Arial" w:cs="Arial" w:eastAsia="Arial" w:hAnsi="Arial"/>
                <w:sz w:val="14"/>
                <w:szCs w:val="14"/>
                <w:b w:val="1"/>
                <w:bCs w:val="1"/>
                <w:color w:val="auto"/>
                <w:w w:val="92"/>
              </w:rPr>
              <w:t>U.S. GAAP</w:t>
            </w:r>
          </w:p>
        </w:tc>
        <w:tc>
          <w:tcPr>
            <w:tcW w:w="160" w:type="dxa"/>
            <w:vAlign w:val="bottom"/>
            <w:tcBorders>
              <w:right w:val="single" w:sz="8" w:color="CCEEFF"/>
            </w:tcBorders>
            <w:shd w:val="clear" w:color="auto" w:fill="CCEEFF"/>
          </w:tcPr>
          <w:p>
            <w:pPr>
              <w:spacing w:after="0"/>
              <w:rPr>
                <w:sz w:val="11"/>
                <w:szCs w:val="11"/>
                <w:color w:val="auto"/>
              </w:rPr>
            </w:pPr>
          </w:p>
        </w:tc>
        <w:tc>
          <w:tcPr>
            <w:tcW w:w="840" w:type="dxa"/>
            <w:vAlign w:val="bottom"/>
            <w:gridSpan w:val="2"/>
            <w:shd w:val="clear" w:color="auto" w:fill="CCEEFF"/>
          </w:tcPr>
          <w:p>
            <w:pPr>
              <w:jc w:val="center"/>
              <w:ind w:right="240"/>
              <w:spacing w:after="0" w:line="129" w:lineRule="exact"/>
              <w:rPr>
                <w:sz w:val="20"/>
                <w:szCs w:val="20"/>
                <w:color w:val="auto"/>
              </w:rPr>
            </w:pPr>
            <w:r>
              <w:rPr>
                <w:rFonts w:ascii="Arial" w:cs="Arial" w:eastAsia="Arial" w:hAnsi="Arial"/>
                <w:sz w:val="14"/>
                <w:szCs w:val="14"/>
                <w:b w:val="1"/>
                <w:bCs w:val="1"/>
                <w:color w:val="auto"/>
                <w:w w:val="89"/>
              </w:rPr>
              <w:t>Impact of</w:t>
            </w:r>
          </w:p>
        </w:tc>
        <w:tc>
          <w:tcPr>
            <w:tcW w:w="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340"/>
              <w:spacing w:after="0" w:line="129" w:lineRule="exact"/>
              <w:rPr>
                <w:sz w:val="20"/>
                <w:szCs w:val="20"/>
                <w:color w:val="auto"/>
              </w:rPr>
            </w:pPr>
            <w:r>
              <w:rPr>
                <w:rFonts w:ascii="Arial" w:cs="Arial" w:eastAsia="Arial" w:hAnsi="Arial"/>
                <w:sz w:val="14"/>
                <w:szCs w:val="14"/>
                <w:b w:val="1"/>
                <w:bCs w:val="1"/>
                <w:color w:val="auto"/>
                <w:w w:val="90"/>
              </w:rPr>
              <w:t>Non-U.S. GAAP</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center"/>
              <w:ind w:right="160"/>
              <w:spacing w:after="0" w:line="129" w:lineRule="exact"/>
              <w:rPr>
                <w:sz w:val="20"/>
                <w:szCs w:val="20"/>
                <w:color w:val="auto"/>
              </w:rPr>
            </w:pPr>
            <w:r>
              <w:rPr>
                <w:rFonts w:ascii="Arial" w:cs="Arial" w:eastAsia="Arial" w:hAnsi="Arial"/>
                <w:sz w:val="14"/>
                <w:szCs w:val="14"/>
                <w:b w:val="1"/>
                <w:bCs w:val="1"/>
                <w:color w:val="auto"/>
                <w:w w:val="89"/>
              </w:rPr>
              <w:t>U.S. GAAP</w:t>
            </w: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As</w:t>
            </w:r>
          </w:p>
        </w:tc>
        <w:tc>
          <w:tcPr>
            <w:tcW w:w="18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Special</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Excluding</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b w:val="1"/>
                <w:bCs w:val="1"/>
                <w:color w:val="auto"/>
                <w:w w:val="77"/>
              </w:rPr>
              <w:t>As</w:t>
            </w: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Special</w:t>
            </w:r>
          </w:p>
        </w:tc>
        <w:tc>
          <w:tcPr>
            <w:tcW w:w="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Excluding</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2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Items (a)</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b w:val="1"/>
                <w:bCs w:val="1"/>
                <w:color w:val="auto"/>
                <w:w w:val="86"/>
              </w:rPr>
              <w:t>Special Items (b)</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87"/>
              </w:rPr>
              <w:t>Reported</w:t>
            </w:r>
          </w:p>
        </w:tc>
        <w:tc>
          <w:tcPr>
            <w:tcW w:w="160" w:type="dxa"/>
            <w:vAlign w:val="bottom"/>
            <w:tcBorders>
              <w:right w:val="single" w:sz="8" w:color="CCEEFF"/>
            </w:tcBorders>
            <w:shd w:val="clear" w:color="auto" w:fill="CCEEFF"/>
          </w:tcPr>
          <w:p>
            <w:pPr>
              <w:spacing w:after="0"/>
              <w:rPr>
                <w:sz w:val="15"/>
                <w:szCs w:val="15"/>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2"/>
              </w:rPr>
              <w:t>Item (a)</w:t>
            </w:r>
          </w:p>
        </w:tc>
        <w:tc>
          <w:tcPr>
            <w:tcW w:w="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86"/>
              </w:rPr>
              <w:t>Special Item (b)</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b w:val="1"/>
                <w:bCs w:val="1"/>
                <w:color w:val="auto"/>
                <w:w w:val="87"/>
              </w:rPr>
              <w:t>Reported</w:t>
            </w:r>
          </w:p>
        </w:tc>
        <w:tc>
          <w:tcPr>
            <w:tcW w:w="0" w:type="dxa"/>
            <w:vAlign w:val="bottom"/>
          </w:tcPr>
          <w:p>
            <w:pPr>
              <w:spacing w:after="0"/>
              <w:rPr>
                <w:sz w:val="1"/>
                <w:szCs w:val="1"/>
                <w:color w:val="auto"/>
              </w:rPr>
            </w:pPr>
          </w:p>
        </w:tc>
      </w:tr>
      <w:tr>
        <w:trPr>
          <w:trHeight w:val="20"/>
        </w:trPr>
        <w:tc>
          <w:tcPr>
            <w:tcW w:w="3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4"/>
          </w:tcPr>
          <w:p>
            <w:pPr>
              <w:jc w:val="right"/>
              <w:ind w:right="160"/>
              <w:spacing w:after="0" w:line="142" w:lineRule="exact"/>
              <w:rPr>
                <w:sz w:val="20"/>
                <w:szCs w:val="20"/>
                <w:color w:val="auto"/>
              </w:rPr>
            </w:pPr>
            <w:r>
              <w:rPr>
                <w:rFonts w:ascii="Arial" w:cs="Arial" w:eastAsia="Arial" w:hAnsi="Arial"/>
                <w:sz w:val="14"/>
                <w:szCs w:val="14"/>
                <w:b w:val="1"/>
                <w:bCs w:val="1"/>
                <w:color w:val="auto"/>
                <w:w w:val="86"/>
              </w:rPr>
              <w:t>($ in thousands)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Net Revenue</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1,529,963</w:t>
            </w:r>
          </w:p>
        </w:tc>
        <w:tc>
          <w:tcPr>
            <w:tcW w:w="18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1,529,963</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1,554,969</w:t>
            </w:r>
          </w:p>
        </w:tc>
        <w:tc>
          <w:tcPr>
            <w:tcW w:w="16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1,554,969</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1,916,893</w:t>
            </w:r>
          </w:p>
        </w:tc>
        <w:tc>
          <w:tcPr>
            <w:tcW w:w="0" w:type="dxa"/>
            <w:vAlign w:val="bottom"/>
          </w:tcPr>
          <w:p>
            <w:pPr>
              <w:spacing w:after="0"/>
              <w:rPr>
                <w:sz w:val="1"/>
                <w:szCs w:val="1"/>
                <w:color w:val="auto"/>
              </w:rPr>
            </w:pPr>
          </w:p>
        </w:tc>
      </w:tr>
      <w:tr>
        <w:trPr>
          <w:trHeight w:val="264"/>
        </w:trPr>
        <w:tc>
          <w:tcPr>
            <w:tcW w:w="3780" w:type="dxa"/>
            <w:vAlign w:val="bottom"/>
          </w:tcPr>
          <w:p>
            <w:pPr>
              <w:spacing w:after="0"/>
              <w:rPr>
                <w:sz w:val="20"/>
                <w:szCs w:val="20"/>
                <w:color w:val="auto"/>
              </w:rPr>
            </w:pPr>
            <w:r>
              <w:rPr>
                <w:rFonts w:ascii="Arial" w:cs="Arial" w:eastAsia="Arial" w:hAnsi="Arial"/>
                <w:sz w:val="14"/>
                <w:szCs w:val="14"/>
                <w:b w:val="1"/>
                <w:bCs w:val="1"/>
                <w:i w:val="1"/>
                <w:iCs w:val="1"/>
                <w:color w:val="auto"/>
              </w:rPr>
              <w:t>Operating Expenses:</w:t>
            </w: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Compensation and benefits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1,309,231</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147,026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1,162,205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1,128,243</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197,550</w:t>
            </w: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930,693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1,123,058</w:t>
            </w:r>
          </w:p>
        </w:tc>
        <w:tc>
          <w:tcPr>
            <w:tcW w:w="0" w:type="dxa"/>
            <w:vAlign w:val="bottom"/>
          </w:tcPr>
          <w:p>
            <w:pPr>
              <w:spacing w:after="0"/>
              <w:rPr>
                <w:sz w:val="1"/>
                <w:szCs w:val="1"/>
                <w:color w:val="auto"/>
              </w:rPr>
            </w:pPr>
          </w:p>
        </w:tc>
      </w:tr>
      <w:tr>
        <w:trPr>
          <w:trHeight w:val="149"/>
        </w:trPr>
        <w:tc>
          <w:tcPr>
            <w:tcW w:w="3780" w:type="dxa"/>
            <w:vAlign w:val="bottom"/>
          </w:tcPr>
          <w:p>
            <w:pPr>
              <w:ind w:left="440"/>
              <w:spacing w:after="0" w:line="149" w:lineRule="exact"/>
              <w:rPr>
                <w:sz w:val="20"/>
                <w:szCs w:val="20"/>
                <w:color w:val="auto"/>
              </w:rPr>
            </w:pPr>
            <w:r>
              <w:rPr>
                <w:rFonts w:ascii="Arial" w:cs="Arial" w:eastAsia="Arial" w:hAnsi="Arial"/>
                <w:sz w:val="14"/>
                <w:szCs w:val="14"/>
                <w:color w:val="auto"/>
              </w:rPr>
              <w:t>Non-compensation expense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335,180</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335,180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380,101</w:t>
            </w:r>
          </w:p>
        </w:tc>
        <w:tc>
          <w:tcPr>
            <w:tcW w:w="16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2,000</w:t>
            </w:r>
          </w:p>
        </w:tc>
        <w:tc>
          <w:tcPr>
            <w:tcW w:w="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378,101</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336,248</w:t>
            </w: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w w:val="97"/>
              </w:rPr>
              <w:t>Amortization of intangible assets related to acquisitions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4,990</w:t>
            </w:r>
          </w:p>
        </w:tc>
        <w:tc>
          <w:tcPr>
            <w:tcW w:w="18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4,990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4,596</w:t>
            </w:r>
          </w:p>
        </w:tc>
        <w:tc>
          <w:tcPr>
            <w:tcW w:w="16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4,596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21,523</w:t>
            </w:r>
          </w:p>
        </w:tc>
        <w:tc>
          <w:tcPr>
            <w:tcW w:w="0" w:type="dxa"/>
            <w:vAlign w:val="bottom"/>
          </w:tcPr>
          <w:p>
            <w:pPr>
              <w:spacing w:after="0"/>
              <w:rPr>
                <w:sz w:val="1"/>
                <w:szCs w:val="1"/>
                <w:color w:val="auto"/>
              </w:rPr>
            </w:pPr>
          </w:p>
        </w:tc>
      </w:tr>
      <w:tr>
        <w:trPr>
          <w:trHeight w:val="156"/>
        </w:trPr>
        <w:tc>
          <w:tcPr>
            <w:tcW w:w="3780" w:type="dxa"/>
            <w:vAlign w:val="bottom"/>
          </w:tcPr>
          <w:p>
            <w:pPr>
              <w:ind w:left="440"/>
              <w:spacing w:after="0" w:line="149" w:lineRule="exact"/>
              <w:rPr>
                <w:sz w:val="20"/>
                <w:szCs w:val="20"/>
                <w:color w:val="auto"/>
              </w:rPr>
            </w:pPr>
            <w:r>
              <w:rPr>
                <w:rFonts w:ascii="Arial" w:cs="Arial" w:eastAsia="Arial" w:hAnsi="Arial"/>
                <w:sz w:val="14"/>
                <w:szCs w:val="14"/>
                <w:color w:val="auto"/>
              </w:rPr>
              <w:t>Restructuring</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62,550</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62,550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7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Total operating expenses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1,711,951</w:t>
            </w:r>
          </w:p>
        </w:tc>
        <w:tc>
          <w:tcPr>
            <w:tcW w:w="2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209,576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1,502,375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1,512,940</w:t>
            </w: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199,550</w:t>
            </w: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1,313,390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1,480,829</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Operating Income (Loss)</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(181,988)</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(209,576)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27,588</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42,029</w:t>
            </w:r>
          </w:p>
        </w:tc>
        <w:tc>
          <w:tcPr>
            <w:tcW w:w="160" w:type="dxa"/>
            <w:vAlign w:val="bottom"/>
          </w:tcPr>
          <w:p>
            <w:pPr>
              <w:spacing w:after="0"/>
              <w:rPr>
                <w:sz w:val="13"/>
                <w:szCs w:val="13"/>
                <w:color w:val="auto"/>
              </w:rPr>
            </w:pPr>
          </w:p>
        </w:tc>
        <w:tc>
          <w:tcPr>
            <w:tcW w:w="8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(199,550)</w:t>
            </w:r>
          </w:p>
        </w:tc>
        <w:tc>
          <w:tcPr>
            <w:tcW w:w="6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241,579</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436,064</w:t>
            </w: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Provision (benefit) for income taxes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31,727</w:t>
            </w:r>
          </w:p>
        </w:tc>
        <w:tc>
          <w:tcPr>
            <w:tcW w:w="2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(8,967)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40,694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29,691</w:t>
            </w: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(7,427)</w:t>
            </w:r>
          </w:p>
        </w:tc>
        <w:tc>
          <w:tcPr>
            <w:tcW w:w="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37,118</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88,786</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Net Income (Loss)</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(213,715)</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(200,609)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(13,106)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12,338</w:t>
            </w:r>
          </w:p>
        </w:tc>
        <w:tc>
          <w:tcPr>
            <w:tcW w:w="160" w:type="dxa"/>
            <w:vAlign w:val="bottom"/>
          </w:tcPr>
          <w:p>
            <w:pPr>
              <w:spacing w:after="0"/>
              <w:rPr>
                <w:sz w:val="13"/>
                <w:szCs w:val="13"/>
                <w:color w:val="auto"/>
              </w:rPr>
            </w:pPr>
          </w:p>
        </w:tc>
        <w:tc>
          <w:tcPr>
            <w:tcW w:w="8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(192,123)</w:t>
            </w:r>
          </w:p>
        </w:tc>
        <w:tc>
          <w:tcPr>
            <w:tcW w:w="6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204,461</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347,278</w:t>
            </w:r>
          </w:p>
        </w:tc>
        <w:tc>
          <w:tcPr>
            <w:tcW w:w="0" w:type="dxa"/>
            <w:vAlign w:val="bottom"/>
          </w:tcPr>
          <w:p>
            <w:pPr>
              <w:spacing w:after="0"/>
              <w:rPr>
                <w:sz w:val="1"/>
                <w:szCs w:val="1"/>
                <w:color w:val="auto"/>
              </w:rPr>
            </w:pPr>
          </w:p>
        </w:tc>
      </w:tr>
      <w:tr>
        <w:trPr>
          <w:trHeight w:val="149"/>
        </w:trPr>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w w:val="86"/>
              </w:rPr>
              <w:t>Less – Net Income (Loss) Attributable to Noncontrolling Interests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2,832</w:t>
            </w:r>
          </w:p>
        </w:tc>
        <w:tc>
          <w:tcPr>
            <w:tcW w:w="2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2,832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(13,333)</w:t>
            </w:r>
          </w:p>
        </w:tc>
        <w:tc>
          <w:tcPr>
            <w:tcW w:w="16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(13,333)</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5,144</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Net Income (Loss) Attributable to Lazard Group</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(216,547)</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(200,609)</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(15,938)</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25,671</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(192,123)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217,794</w:t>
            </w:r>
          </w:p>
        </w:tc>
        <w:tc>
          <w:tcPr>
            <w:tcW w:w="3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342,134</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i w:val="1"/>
                <w:iCs w:val="1"/>
                <w:color w:val="auto"/>
              </w:rPr>
              <w:t>As a % of Net Revenue:</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ind w:left="440"/>
              <w:spacing w:after="0" w:line="149" w:lineRule="exact"/>
              <w:rPr>
                <w:sz w:val="20"/>
                <w:szCs w:val="20"/>
                <w:color w:val="auto"/>
              </w:rPr>
            </w:pPr>
            <w:r>
              <w:rPr>
                <w:rFonts w:ascii="Arial" w:cs="Arial" w:eastAsia="Arial" w:hAnsi="Arial"/>
                <w:sz w:val="14"/>
                <w:szCs w:val="14"/>
                <w:color w:val="auto"/>
              </w:rPr>
              <w:t>Operating Income (Loss)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w:t>
            </w: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charges related to the 2009 and 2008 special items. See Notes 8, 17, 19 and 23 of Notes to Consolidated Financial Statements.</w:t>
      </w: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 non-U.S. GAAP measure that management believes provides the most meaningful comparison between historical, present and future periods.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table below describes the components of operating revenue, a non-U.S. GAAP measure used by the Company to manage total compensation and benefits expense to managing directors and employees. Management believes operating revenue provides the most meaningful basis for comparison between present, historical and future periods.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9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c>
          <w:tcPr>
            <w:tcW w:w="340" w:type="dxa"/>
            <w:vAlign w:val="bottom"/>
          </w:tcPr>
          <w:p>
            <w:pPr>
              <w:spacing w:after="0"/>
              <w:rPr>
                <w:sz w:val="12"/>
                <w:szCs w:val="12"/>
                <w:color w:val="auto"/>
              </w:rPr>
            </w:pPr>
          </w:p>
        </w:tc>
        <w:tc>
          <w:tcPr>
            <w:tcW w:w="9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3"/>
              </w:rPr>
              <w:t>($ in thousands)</w:t>
            </w: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$1,643,243</w:t>
            </w:r>
          </w:p>
        </w:tc>
        <w:tc>
          <w:tcPr>
            <w:tcW w:w="34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$1,696,382</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$2,053,422</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ind w:left="440"/>
              <w:spacing w:after="0"/>
              <w:rPr>
                <w:sz w:val="20"/>
                <w:szCs w:val="20"/>
                <w:color w:val="auto"/>
              </w:rPr>
            </w:pPr>
            <w:r>
              <w:rPr>
                <w:rFonts w:ascii="Arial" w:cs="Arial" w:eastAsia="Arial" w:hAnsi="Arial"/>
                <w:sz w:val="18"/>
                <w:szCs w:val="18"/>
                <w:color w:val="auto"/>
              </w:rPr>
              <w:t>LFB interest expense (a)</w:t>
            </w:r>
          </w:p>
        </w:tc>
        <w:tc>
          <w:tcPr>
            <w:tcW w:w="1260" w:type="dxa"/>
            <w:vAlign w:val="bottom"/>
            <w:gridSpan w:val="2"/>
          </w:tcPr>
          <w:p>
            <w:pPr>
              <w:jc w:val="right"/>
              <w:ind w:right="212"/>
              <w:spacing w:after="0"/>
              <w:rPr>
                <w:sz w:val="20"/>
                <w:szCs w:val="20"/>
                <w:color w:val="auto"/>
              </w:rPr>
            </w:pPr>
            <w:r>
              <w:rPr>
                <w:rFonts w:ascii="Arial" w:cs="Arial" w:eastAsia="Arial" w:hAnsi="Arial"/>
                <w:sz w:val="18"/>
                <w:szCs w:val="18"/>
                <w:color w:val="auto"/>
              </w:rPr>
              <w:t>(13,815)</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(35,358)</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(34,827)</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Revenue related to noncontrolling interests (b)</w:t>
            </w:r>
          </w:p>
        </w:tc>
        <w:tc>
          <w:tcPr>
            <w:tcW w:w="12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(6,965)</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13,348</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(5,135)</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Operating revenue</w:t>
            </w: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60" w:type="dxa"/>
            <w:vAlign w:val="bottom"/>
            <w:gridSpan w:val="2"/>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1,622,463</w:t>
            </w:r>
          </w:p>
        </w:tc>
        <w:tc>
          <w:tcPr>
            <w:tcW w:w="34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$1,674,372</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$2,013,460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20" w:hanging="452"/>
        <w:spacing w:after="0" w:line="25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interest expense incurred by LFB is excluded from total revenue because LFB is a commercial bank and we consider its interest expense to be a cost directly related to the conduct of its business.</w:t>
      </w:r>
    </w:p>
    <w:p>
      <w:pPr>
        <w:ind w:left="460" w:right="180" w:hanging="452"/>
        <w:spacing w:after="0" w:line="261"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because the Company has no economic interest in such amount. Further, such results are offset by a charge or credit to noncontrolling interests.</w:t>
      </w:r>
    </w:p>
    <w:p>
      <w:pPr>
        <w:spacing w:after="0" w:line="12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Certain key ratios, statistics and headcount information for the years ended December 31, 2009, 2008 and 2007 are set forth below:</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As a % of Net Revenue, By Revenue Category:</w:t>
            </w:r>
          </w:p>
        </w:tc>
        <w:tc>
          <w:tcPr>
            <w:tcW w:w="378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80" w:type="dxa"/>
            <w:vAlign w:val="bottom"/>
            <w:vMerge w:val="continue"/>
          </w:tcPr>
          <w:p>
            <w:pPr>
              <w:spacing w:after="0"/>
              <w:rPr>
                <w:sz w:val="18"/>
                <w:szCs w:val="18"/>
                <w:color w:val="auto"/>
              </w:rPr>
            </w:pPr>
          </w:p>
        </w:tc>
        <w:tc>
          <w:tcPr>
            <w:tcW w:w="37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banking and other advisory fees</w:t>
            </w:r>
          </w:p>
        </w:tc>
        <w:tc>
          <w:tcPr>
            <w:tcW w:w="4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4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rPr>
              <w:t>64%</w:t>
            </w:r>
          </w:p>
        </w:tc>
        <w:tc>
          <w:tcPr>
            <w:tcW w:w="4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20"/>
              <w:spacing w:after="0"/>
              <w:rPr>
                <w:sz w:val="20"/>
                <w:szCs w:val="20"/>
                <w:color w:val="auto"/>
              </w:rPr>
            </w:pPr>
            <w:r>
              <w:rPr>
                <w:rFonts w:ascii="Arial" w:cs="Arial" w:eastAsia="Arial" w:hAnsi="Arial"/>
                <w:sz w:val="18"/>
                <w:szCs w:val="18"/>
                <w:color w:val="auto"/>
              </w:rPr>
              <w:t>Money management fees</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20"/>
              <w:spacing w:after="0"/>
              <w:rPr>
                <w:sz w:val="20"/>
                <w:szCs w:val="20"/>
                <w:color w:val="auto"/>
              </w:rPr>
            </w:pPr>
            <w:r>
              <w:rPr>
                <w:rFonts w:ascii="Arial" w:cs="Arial" w:eastAsia="Arial" w:hAnsi="Arial"/>
                <w:sz w:val="18"/>
                <w:szCs w:val="18"/>
                <w:color w:val="auto"/>
              </w:rPr>
              <w:t>Other</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4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color w:val="auto"/>
              </w:rPr>
              <w:t>(9)</w:t>
            </w:r>
          </w:p>
        </w:tc>
        <w:tc>
          <w:tcPr>
            <w:tcW w:w="4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ind w:left="440"/>
              <w:spacing w:after="0"/>
              <w:rPr>
                <w:sz w:val="20"/>
                <w:szCs w:val="20"/>
                <w:color w:val="auto"/>
              </w:rPr>
            </w:pPr>
            <w:r>
              <w:rPr>
                <w:rFonts w:ascii="Arial" w:cs="Arial" w:eastAsia="Arial" w:hAnsi="Arial"/>
                <w:sz w:val="18"/>
                <w:szCs w:val="18"/>
                <w:color w:val="auto"/>
              </w:rPr>
              <w:t>Net Revenue</w:t>
            </w:r>
          </w:p>
        </w:tc>
        <w:tc>
          <w:tcPr>
            <w:tcW w:w="3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80" w:type="dxa"/>
            <w:vAlign w:val="bottom"/>
            <w:vMerge w:val="continue"/>
          </w:tcPr>
          <w:p>
            <w:pPr>
              <w:spacing w:after="0"/>
              <w:rPr>
                <w:sz w:val="19"/>
                <w:szCs w:val="19"/>
                <w:color w:val="auto"/>
              </w:rPr>
            </w:pPr>
          </w:p>
        </w:tc>
        <w:tc>
          <w:tcPr>
            <w:tcW w:w="378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100%</w:t>
            </w:r>
          </w:p>
        </w:tc>
        <w:tc>
          <w:tcPr>
            <w:tcW w:w="460" w:type="dxa"/>
            <w:vAlign w:val="bottom"/>
          </w:tcPr>
          <w:p>
            <w:pPr>
              <w:spacing w:after="0"/>
              <w:rPr>
                <w:sz w:val="19"/>
                <w:szCs w:val="19"/>
                <w:color w:val="auto"/>
              </w:rPr>
            </w:pPr>
          </w:p>
        </w:tc>
        <w:tc>
          <w:tcPr>
            <w:tcW w:w="1020" w:type="dxa"/>
            <w:vAlign w:val="bottom"/>
            <w:gridSpan w:val="3"/>
          </w:tcPr>
          <w:p>
            <w:pPr>
              <w:jc w:val="right"/>
              <w:ind w:right="232"/>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19"/>
                <w:szCs w:val="19"/>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360" w:type="dxa"/>
            <w:vAlign w:val="bottom"/>
            <w:gridSpan w:val="5"/>
          </w:tcPr>
          <w:p>
            <w:pPr>
              <w:ind w:left="460"/>
              <w:spacing w:after="0"/>
              <w:rPr>
                <w:sz w:val="20"/>
                <w:szCs w:val="20"/>
                <w:color w:val="auto"/>
              </w:rPr>
            </w:pPr>
            <w:r>
              <w:rPr>
                <w:rFonts w:ascii="Arial" w:cs="Arial" w:eastAsia="Arial" w:hAnsi="Arial"/>
                <w:sz w:val="18"/>
                <w:szCs w:val="18"/>
                <w:color w:val="auto"/>
                <w:w w:val="95"/>
              </w:rPr>
              <w:t>See Note 23 of Notes to Consolidated Financial Statements for additional financial information on a geographic basis.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w w:val="93"/>
              </w:rPr>
              <w:t>As of December 31,</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4320" w:type="dxa"/>
            <w:vAlign w:val="bottom"/>
            <w:gridSpan w:val="3"/>
          </w:tcPr>
          <w:p>
            <w:pPr>
              <w:spacing w:after="0"/>
              <w:rPr>
                <w:sz w:val="12"/>
                <w:szCs w:val="12"/>
                <w:color w:val="auto"/>
              </w:rPr>
            </w:pPr>
          </w:p>
        </w:tc>
        <w:tc>
          <w:tcPr>
            <w:tcW w:w="460" w:type="dxa"/>
            <w:vAlign w:val="bottom"/>
          </w:tcPr>
          <w:p>
            <w:pPr>
              <w:jc w:val="right"/>
              <w:ind w:right="26"/>
              <w:spacing w:after="0" w:line="142" w:lineRule="exact"/>
              <w:rPr>
                <w:sz w:val="20"/>
                <w:szCs w:val="20"/>
                <w:color w:val="auto"/>
              </w:rPr>
            </w:pPr>
            <w:r>
              <w:rPr>
                <w:rFonts w:ascii="Arial" w:cs="Arial" w:eastAsia="Arial" w:hAnsi="Arial"/>
                <w:sz w:val="14"/>
                <w:szCs w:val="14"/>
                <w:b w:val="1"/>
                <w:bCs w:val="1"/>
                <w:color w:val="auto"/>
              </w:rPr>
              <w:t>2009</w:t>
            </w:r>
          </w:p>
        </w:tc>
        <w:tc>
          <w:tcPr>
            <w:tcW w:w="1020" w:type="dxa"/>
            <w:vAlign w:val="bottom"/>
            <w:gridSpan w:val="3"/>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58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4580" w:type="dxa"/>
            <w:vAlign w:val="bottom"/>
            <w:vMerge w:val="continue"/>
          </w:tcPr>
          <w:p>
            <w:pPr>
              <w:spacing w:after="0"/>
              <w:rPr>
                <w:sz w:val="17"/>
                <w:szCs w:val="17"/>
                <w:color w:val="auto"/>
              </w:rPr>
            </w:pPr>
          </w:p>
        </w:tc>
        <w:tc>
          <w:tcPr>
            <w:tcW w:w="3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580" w:type="dxa"/>
            <w:vAlign w:val="bottom"/>
          </w:tcPr>
          <w:p>
            <w:pPr>
              <w:ind w:left="220"/>
              <w:spacing w:after="0"/>
              <w:rPr>
                <w:sz w:val="20"/>
                <w:szCs w:val="20"/>
                <w:color w:val="auto"/>
              </w:rPr>
            </w:pPr>
            <w:r>
              <w:rPr>
                <w:rFonts w:ascii="Arial" w:cs="Arial" w:eastAsia="Arial" w:hAnsi="Arial"/>
                <w:sz w:val="18"/>
                <w:szCs w:val="18"/>
                <w:color w:val="auto"/>
              </w:rPr>
              <w:t>Managing Directors:</w:t>
            </w:r>
          </w:p>
        </w:tc>
        <w:tc>
          <w:tcPr>
            <w:tcW w:w="3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4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4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Asset Management</w:t>
            </w:r>
          </w:p>
        </w:tc>
        <w:tc>
          <w:tcPr>
            <w:tcW w:w="4780" w:type="dxa"/>
            <w:vAlign w:val="bottom"/>
            <w:gridSpan w:val="4"/>
          </w:tcPr>
          <w:p>
            <w:pPr>
              <w:jc w:val="right"/>
              <w:spacing w:after="0"/>
              <w:rPr>
                <w:sz w:val="20"/>
                <w:szCs w:val="20"/>
                <w:color w:val="auto"/>
              </w:rPr>
            </w:pPr>
            <w:r>
              <w:rPr>
                <w:rFonts w:ascii="Arial" w:cs="Arial" w:eastAsia="Arial" w:hAnsi="Arial"/>
                <w:sz w:val="18"/>
                <w:szCs w:val="18"/>
                <w:color w:val="auto"/>
              </w:rPr>
              <w:t>56</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56</w:t>
            </w:r>
          </w:p>
        </w:tc>
        <w:tc>
          <w:tcPr>
            <w:tcW w:w="4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4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80" w:type="dxa"/>
            <w:vAlign w:val="bottom"/>
          </w:tcPr>
          <w:p>
            <w:pPr>
              <w:ind w:left="440"/>
              <w:spacing w:after="0"/>
              <w:rPr>
                <w:sz w:val="20"/>
                <w:szCs w:val="20"/>
                <w:color w:val="auto"/>
              </w:rPr>
            </w:pPr>
            <w:r>
              <w:rPr>
                <w:rFonts w:ascii="Arial" w:cs="Arial" w:eastAsia="Arial" w:hAnsi="Arial"/>
                <w:sz w:val="18"/>
                <w:szCs w:val="18"/>
                <w:color w:val="auto"/>
              </w:rPr>
              <w:t>Limited Managing Directors</w:t>
            </w:r>
          </w:p>
        </w:tc>
        <w:tc>
          <w:tcPr>
            <w:tcW w:w="4780" w:type="dxa"/>
            <w:vAlign w:val="bottom"/>
            <w:gridSpan w:val="4"/>
          </w:tcPr>
          <w:p>
            <w:pPr>
              <w:jc w:val="right"/>
              <w:spacing w:after="0"/>
              <w:rPr>
                <w:sz w:val="20"/>
                <w:szCs w:val="20"/>
                <w:color w:val="auto"/>
              </w:rPr>
            </w:pPr>
            <w:r>
              <w:rPr>
                <w:rFonts w:ascii="Arial" w:cs="Arial" w:eastAsia="Arial" w:hAnsi="Arial"/>
                <w:sz w:val="18"/>
                <w:szCs w:val="18"/>
                <w:color w:val="auto"/>
              </w:rPr>
              <w:t>3</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tcPr>
          <w:p>
            <w:pPr>
              <w:ind w:left="220"/>
              <w:spacing w:after="0"/>
              <w:rPr>
                <w:sz w:val="20"/>
                <w:szCs w:val="20"/>
                <w:color w:val="auto"/>
              </w:rPr>
            </w:pPr>
            <w:r>
              <w:rPr>
                <w:rFonts w:ascii="Arial" w:cs="Arial" w:eastAsia="Arial" w:hAnsi="Arial"/>
                <w:sz w:val="18"/>
                <w:szCs w:val="18"/>
                <w:color w:val="auto"/>
              </w:rPr>
              <w:t>Other Employees:</w:t>
            </w:r>
          </w:p>
        </w:tc>
        <w:tc>
          <w:tcPr>
            <w:tcW w:w="3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4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4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4320" w:type="dxa"/>
            <w:vAlign w:val="bottom"/>
            <w:gridSpan w:val="3"/>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1,091</w:t>
            </w:r>
          </w:p>
        </w:tc>
        <w:tc>
          <w:tcPr>
            <w:tcW w:w="560" w:type="dxa"/>
            <w:vAlign w:val="bottom"/>
            <w:gridSpan w:val="2"/>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1,187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4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780" w:type="dxa"/>
            <w:vAlign w:val="bottom"/>
            <w:vMerge w:val="restart"/>
          </w:tcPr>
          <w:p>
            <w:pPr>
              <w:jc w:val="right"/>
              <w:ind w:right="2472"/>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58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80" w:firstLine="456"/>
        <w:spacing w:after="0" w:line="332" w:lineRule="auto"/>
        <w:rPr>
          <w:sz w:val="20"/>
          <w:szCs w:val="20"/>
          <w:color w:val="auto"/>
        </w:rPr>
      </w:pPr>
      <w:r>
        <w:rPr>
          <w:rFonts w:ascii="Arial" w:cs="Arial" w:eastAsia="Arial" w:hAnsi="Arial"/>
          <w:sz w:val="16"/>
          <w:szCs w:val="16"/>
          <w:color w:val="auto"/>
        </w:rPr>
        <w:t>During 2009, we continued to hire key professionals on a selective basis, and to redeploy employees into areas where we saw potential for growth. As described above, to further optimize our mix of personnel we also reduced staff in other areas, including the back office.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83"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As reflected in the table of consolidated results of operations above, charges related to the 2009 and 2008 special items had a significant impact on the Company’s reported operating results. Lazard management believes that comparisons between years are most meaningful after excluding the impact of such items.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2009 versus December 31, 2008</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reported a net loss attributable to Lazard Group of $217 million for the year ended December 31, 2009, a decrease of $243 million, as compared to net income of $26 million in 2008. Such decrease was, in part, the result of the 2009 special items, which in the aggregate served to reduce net income attributable to Lazard Group by $201 million. Partially offsetting such items was the impact in 2008 of the 2008 special item, which reduced net income attributable to Lazard Group in that year by $192 million. Excluding the after-tax impact of the 2009 and 2008 special items, net loss attributable to Lazard Group in the year ended December 31, 2009 was $16 million, a decrease of $234 million, as compared to 2008. Such reduction in net income attributable to Lazard Group in 2009 was primarily affected by higher amounts relating to compensation and benefits expense due to (i) a change in the Company’s compensation policy, which resulted in an increase in the cash component of compensation (which is expensed currently), and a decrease in the aggregate amount of compensation amortizable over future periods, and (ii) an increased amount of amortization expense related to previously granted equity-based incentive compensation and the current year portion of the previously awarded deferred cash incentive awards, as well as an increased amount of net income attributable to noncontrolling interests, partially offset by reductions in non-compensation expense. The change in the Company’s compensation policy was designed to reduce future amortization expense associated with the equity-based compensation component, to allow greater flexibility in the future to address competitive conditions, to more closely align the current pay cycle with reported compensation and revenues, and to maintain significant retention mechanisms by focusing stock grant awards at the more senior levels, where they are more highly effective and valued.</w:t>
      </w:r>
    </w:p>
    <w:p>
      <w:pPr>
        <w:spacing w:after="0" w:line="10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Net revenue decreased $25 million, or 2%, for the year ended December 31, 2009, as compared to 2008, with operating revenue decreasing $52 million, or 3%, as compared to 2008. Fees from investment banking and other advisory activities decreased $35 million, or 4%, as compared to 2008, principally reflecting a change in the composition of advisory activities as a $288 million, or 35%, decline in M&amp;A and Strategic Advisory revenue, was partially offset by a $257 million, or 216%, increase in Restructuring revenue, which includes fees for advising on distressed asset sales. Money management fees, including incentive fees, in 2009 decreased $40 million, or 7%, as compared to 2008, due to a $19 billion, or 15%, decline in average AUM for the year ended December 31, 2009 versus 2008, primarily as the result of market depreciation experienced in 2008 and the first quarter of 2009, partially offset by higher incentive fees earned in 2009. Interest income decreased $47 million, or 58%, primarily due to a lower interest rate environment, combined with lower average cash balances and receivables from banks. Other revenue increased $69 million in the year ended December 31, 2009, as compared to 2008, principally due to investment income of $18 million in the Company’s investment portfolio, versus an aggregate loss of $53 million in LFB’s corporate debt portfolio (redesignated as “available-for-sale” effective July 1, 2008) and the Company’s investment portfolio in 2008. With respect to the latter, during 2009, the Company had in place a hedging strategy to minimize its risks associated with volatility in the equity markets. Partially offsetting the increase in other revenue in 2009 was a $13 million write-off relating to the Company’s investment in warrants of Sapphire Industrials Corp., (“Sapphire”), a special purpose acquisition company sponsored by Lazard. Interest expense for the year ended December 31, 2009 decreased $28 million, or 20%, primarily related to the Company’s May 2008 repurchase of $437 million aggregate principal amount of its 6.12% senior notes in connection with the remarketing of such notes, the partial repurchases of other senior notes, as well as a lower interest rate environment and reduced levels of LFB’s customer deposits.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Compensation and benefits expense for the year ended December 31, 2009 increased $181 million, as compared to 2008. Compensation and benefits expense in 2009 included special items aggregating $147 million, whereas the 2008 special item included a charge of approximately $197 million. When excluding the 2009 and 2008 special items, compensation and benefits expense increased $232 million, reflecting a change in the Company’s compensation policy as previously described, and the impact of an increase in the amortization expense associated with previously granted equity-based incentive awards and the current year portion of the previously awarded deferred cash incentive awards. Compensation and benefits expense, excluding the 2009 and 2008 special items, was 71.6% and 55.6% of operating revenue in the years ended December 31, 2009 and 2008, respectively.</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Non-compensation expense for the year ended December 31, 2009 decreased $45 million, or 12%, as compared to 2008. Factors contributing to the decrease were (i) charges in 2008 comprised of the $12 million provision for losses from counterparty defaults related primarily to the bankruptcy filing of one of our prime brokers and the $2 million charge relating to the 2008 special item, (ii) lower spending on travel and other business development activities, lower consulting and recruiting fees and, (iii) the strengthening of the U.S. dollar versus foreign currencies. The ratio of non-compensation expense to operating revenue was 20.7% for the year ended December 31, 2009, as compared to 22.7% of operating revenue for 2008.</w:t>
      </w:r>
    </w:p>
    <w:p>
      <w:pPr>
        <w:spacing w:after="0" w:line="102"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Amortization of intangible assets for the year ended December 31, 2009 was essentially unchanged principally due to lower amortization of intangibles related to the acquisitions of GAHL and CWC, partially offset by the increase related to the Edgewater Acquisition.</w:t>
      </w:r>
    </w:p>
    <w:p>
      <w:pPr>
        <w:spacing w:after="0" w:line="7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As announced in the first quarter of 2009, we continued to redeploy our banking professionals into growth areas and reduced staffing in other areas to further optimize our mix of personnel. As a result, the 2009 special items include a pre-tax restructuring charge of $63 million in connection with severance and benefit payments, the acceleration of unrecognized expense pertaining to RSUs previously granted to individuals who were terminated and certain other costs related to the restructuring initiative.</w:t>
      </w:r>
    </w:p>
    <w:p>
      <w:pPr>
        <w:spacing w:after="0" w:line="13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Operating loss for the year ended December 31, 2009 was $182 million, a decrease of $224 million as compared to an operating income of $42 million in 2008 (with such amounts including the impact of the 2009 and 2008 special items) and, as a percentage of net revenue, was (12)% as compared to operating income of 3% in 2008. Excluding the impact of the 2009 and 2008 special items, operating income in 2009 was $28 million, a decline of $214 million, or 89%, as compared to operating income in 2008 of $242 million, and, as a percentage of net revenue, was 2% in 2009, as compared to 16% in 2008.</w:t>
      </w:r>
    </w:p>
    <w:p>
      <w:pPr>
        <w:spacing w:after="0" w:line="9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provision for income taxes for the year ended December 31, 2009 was $32 million, an increase of $2 million, as compared to a tax provision of $30 million in 2008. When excluding the tax benefits of $9 million and $7 million relating to the 2009 and 2008 special items, respectively, the income tax provision in 2009 increased $4 million, principally due to valuation allowance changes affecting the provision for income taxes. The Company’s effective tax rate was (17.4)% for the year ended December 31, 2009, as compared to 70.6% in 2008. When excluding the 2009 and 2008 special items, the effective tax rate was 147.5% in 2009, as compared to 15.4% in 2008.</w:t>
      </w:r>
    </w:p>
    <w:p>
      <w:pPr>
        <w:spacing w:after="0" w:line="12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Net income attributable to noncontrolling interests for the year ended December 31, 2009 increased $16 million as compared to 2008, principally due to the Edgewater acquisition in 2009 and LAM GP-related revenue.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2008 versus December 31, 2007</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reported net income attributable to Lazard Group of $26 million for the year ended December 31, 2008, a decline of $316 million as compared to net income of $342 million in 2007. Such decline was in part the result of the 2008 special item, which reduced net income in 2008 by $192 million. Net income was also adversely impacted by an 18% decline in Financial Advisory net revenue as a result of a slowdown in global M&amp;A activity and a 15% decline in Asset Management net revenue due principally to the decline in equity markets. These revenue decreases were partially offset by reduced compensation and benefits, down 17%</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when excluding the impact of the 2008 special item, and lower provisions for income taxes and net income attributable to noncontrolling interests. When excluding the impact of the 2008 special item, the Company’s net income in 2008 was $218 million, or 36% lower than 2007. As described above, the Company acquired GAHL and CWC during the third quarter of 2007. Accordingly, results for the year ended December 31, 2008 and 2007 include the results of such acquired businesses from the respective acquisition dates.</w:t>
      </w:r>
    </w:p>
    <w:p>
      <w:pPr>
        <w:spacing w:after="0" w:line="13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Net revenue decreased $362 million, or 19%, for the year ended December 31, 2008, as compared to 2007, with operating revenue decreasing $339 million, or 17%, as compared to 2007. Fees from investment banking and other advisory activities decreased $206 million, or 17%, versus 2007. Our investment banking fees reflect fees from M&amp;A and Strategic Advisory, Restructuring and Corporate Finance assignments encompassing general strategic and transaction-specific advice to public and private companies, governments and other parties, and includes various corporate finance services. Money management fees, including incentive fees, decreased $59 million, or 9%, as compared to the prior year due to a $8 billion, or 6%, decrease in average AUM for the year ended December 31, 2008 versus 2007, primarily as the result of market and foreign exchange depreciation, as well as lower incentive fees earned in 2008. Interest income decreased $7 million, or 8%, due to lower average cash balances and a lower interest rate environment. Other revenue decreased $85 million, or 81%, in the year ended December 31, 2008 versus 2007. The decline in other revenue as compared to 2007 reflects a $93 million decrease in investment income due to losses and markdowns in the first quarter of 2008 in LFB’s corporate debt portfolio held as in integral part of its asset-liability management program, net unrealized losses in the Company’s investment portfolio, the writedown of private equity investments (primarily in the fourth quarter), and a reduction in LAM GP-related revenues (which are, to the extent held directly by certain of our LAM managing directors or employees of the Company, fully offset in net income attributable to noncontrolling interests), partially offset by a $20 million gain from the repurchase of a portion of the Company’s senior notes and $15 million in gains from foreign currency transactions (consisting of a $24 million gain in the Corporate segment, partially offset by an aggregate loss of $9 million in the Asset Management and Financial Advisory segments). Other revenue in 2007 included $14 million of unrealized gains on private equity investments and a $9 million gain in connection with the Company’s interest in the net proceeds related to the sale of a portion of LFCM Holdings’ ownership interest in Panmure Gordon &amp; Co. plc (“PG&amp;C”) (see Note 21 of Notes to Consolidated Financial Statements). Interest expense for the year ended December 31, 2008 increased $5 million, or 4%, primarily related to the Company’s June 2007 issuance of $600 million aggregate principal amount of its 6.85% senior notes, partially offset by a reduction in interest expense related to the Company’s May 2008 repurchase of $437 million aggregate principal amount of its 6.12% senior notes in connection with the remarketing of such notes.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Compensation and benefits expense for the year ended December 31, 2008 increased by $5 million, as compared to 2007, including the 2008 special item. When excluding such charge, compensation and benefits expense in 2008 decreased $192 million, or 17%. Such decrease reflected lower incentive compensation and was consistent with the decrease in operating revenue, which more than offset the additional amortization of an increased amount of RSUs granted and additional compensation associated with the strategic headcount growth of managing directors and business segment professionals. Compensation and benefits expense, including the charge relating to the 2008 special item, was 67.4% of operating revenue in 2008. However, when excluding the 2008 special item, such expense represented 55.6% of operating revenue in 2008, as compared to 55.8% in 2007.</w:t>
      </w:r>
    </w:p>
    <w:p>
      <w:pPr>
        <w:spacing w:after="0" w:line="10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Non-compensation expense for the year ended December 31, 2008 increased $44 million, as compared to 2007, including the $2 million charge relating to the 2008 special item. Apart from such charge, non-compensation expense increased $42 million, or 12%. Factors contributing to the increase include (i) the impact of investments in our business and operating expenses related to companies acquired in the third quarter of 2007, (ii) the $12 million provision for losses from counterparty defaults from one of our prime brokers, (iii) increased business development expenses for travel and market related data, and (iv) fees for outsourced services. The ratio of non-compensation expense to operating revenue was 22.7% in 2008, or 22.6% when excluding the 2008 special item, as compared to 16.7% of operating revenue for 2007, with such increased percentage primarily attributable to the decline in operating revenues in 2008 as well as the provision for losses from counterparty defaults described above.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Amortization of intangible assets for the year ended December 31, 2008 amounted to $5 million, a decrease of $17 million as compared to the prior year, due to lower expense related to the acquisitions of GAHL and CWC in 2007.</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Operating income for the year ended December 31, 2008 decreased $394 million, as compared to 2007, including the 2008 special item of $199 million, and, as a percentage of net revenue, operating income was 3% and 23% in 2008 and 2007, respectively. When excluding the 2008 special item, operating income decreased $194 million, and, as a percentage of net revenue, operating income was 16% and 23% in 2008 and 2007, respectively.</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provision for income taxes for the year ended December 31, 2008 decreased $59 million, including the $7 million tax benefit relating to the 2008 special item. The remaining decrease of $52 million as compared to 2007 was principally due to lower levels of income in 2008. The Company’s effective tax rate was 70.6% for the year ended December 31, 2008, as compared to 20.4% in 2007. When excluding the impact of the 2008 special item, the Company’s effective tax rate was 15.4% in 2008.</w:t>
      </w:r>
    </w:p>
    <w:p>
      <w:pPr>
        <w:spacing w:after="0" w:line="13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Net income attributable to noncontrolling interests for the year ended December 31, 2008 decreased by $18 million as compared to 2007, which, in 2008 included a $13 million credit related to various LAM GPs held directly by certain of our LAM managing directors for which there is an offsetting amount included in “revenue-other”, as compared to a $5 million charge recorded in 2007.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following is a discussion of net revenue and operating income for the Company’s business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facilities management and senior management activities. Such support costs are allocated to the relevant segments based on various statistical drivers such as, among other items, headcount, square footage and transactional volume. As reflected in the tables below, each segment’s operating results are presented, as applicable, on an “as reported” and “excluding special items” basis (see Note 23 of 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operating results of the Financial Advisory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Year Ended</w:t>
            </w: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Year Ended</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Year Ended</w:t>
            </w:r>
          </w:p>
        </w:tc>
      </w:tr>
      <w:tr>
        <w:trPr>
          <w:trHeight w:val="161"/>
        </w:trPr>
        <w:tc>
          <w:tcPr>
            <w:tcW w:w="5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December 31, 2009</w:t>
            </w: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December 31, 2008</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December 31, 2007</w:t>
            </w:r>
          </w:p>
        </w:tc>
      </w:tr>
      <w:tr>
        <w:trPr>
          <w:trHeight w:val="129"/>
        </w:trPr>
        <w:tc>
          <w:tcPr>
            <w:tcW w:w="50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Non-</w:t>
            </w:r>
          </w:p>
        </w:tc>
        <w:tc>
          <w:tcPr>
            <w:tcW w:w="40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149"/>
        </w:trPr>
        <w:tc>
          <w:tcPr>
            <w:tcW w:w="5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U.S. GAAP</w:t>
            </w: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504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U.S. GAAP</w:t>
            </w:r>
          </w:p>
        </w:tc>
        <w:tc>
          <w:tcPr>
            <w:tcW w:w="30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Impact of</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Excluding</w:t>
            </w:r>
          </w:p>
        </w:tc>
        <w:tc>
          <w:tcPr>
            <w:tcW w:w="400" w:type="dxa"/>
            <w:vAlign w:val="bottom"/>
          </w:tcPr>
          <w:p>
            <w:pPr>
              <w:spacing w:after="0"/>
              <w:rPr>
                <w:sz w:val="12"/>
                <w:szCs w:val="12"/>
                <w:color w:val="auto"/>
              </w:rPr>
            </w:pPr>
          </w:p>
        </w:tc>
        <w:tc>
          <w:tcPr>
            <w:tcW w:w="17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U.S. GAAP</w:t>
            </w: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U.S. GAAP</w:t>
            </w:r>
          </w:p>
        </w:tc>
      </w:tr>
      <w:tr>
        <w:trPr>
          <w:trHeight w:val="149"/>
        </w:trPr>
        <w:tc>
          <w:tcPr>
            <w:tcW w:w="504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As</w:t>
            </w:r>
          </w:p>
        </w:tc>
        <w:tc>
          <w:tcPr>
            <w:tcW w:w="30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Special</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Special</w:t>
            </w:r>
          </w:p>
        </w:tc>
        <w:tc>
          <w:tcPr>
            <w:tcW w:w="400" w:type="dxa"/>
            <w:vAlign w:val="bottom"/>
          </w:tcPr>
          <w:p>
            <w:pPr>
              <w:spacing w:after="0"/>
              <w:rPr>
                <w:sz w:val="12"/>
                <w:szCs w:val="12"/>
                <w:color w:val="auto"/>
              </w:rPr>
            </w:pPr>
          </w:p>
        </w:tc>
        <w:tc>
          <w:tcPr>
            <w:tcW w:w="17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77"/>
              </w:rPr>
              <w:t>As</w:t>
            </w: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7"/>
              </w:rPr>
              <w:t>As</w:t>
            </w:r>
          </w:p>
        </w:tc>
      </w:tr>
      <w:tr>
        <w:trPr>
          <w:trHeight w:val="161"/>
        </w:trPr>
        <w:tc>
          <w:tcPr>
            <w:tcW w:w="50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Item (a)</w:t>
            </w:r>
          </w:p>
        </w:tc>
        <w:tc>
          <w:tcPr>
            <w:tcW w:w="5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Item (b)</w:t>
            </w:r>
          </w:p>
        </w:tc>
        <w:tc>
          <w:tcPr>
            <w:tcW w:w="4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6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200" w:type="dxa"/>
            <w:vAlign w:val="bottom"/>
          </w:tcPr>
          <w:p>
            <w:pPr>
              <w:spacing w:after="0"/>
              <w:rPr>
                <w:sz w:val="14"/>
                <w:szCs w:val="14"/>
                <w:color w:val="auto"/>
              </w:rPr>
            </w:pPr>
          </w:p>
        </w:tc>
      </w:tr>
      <w:tr>
        <w:trPr>
          <w:trHeight w:val="142"/>
        </w:trPr>
        <w:tc>
          <w:tcPr>
            <w:tcW w:w="5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auto"/>
              </w:rPr>
              <w:t>($ in</w:t>
            </w:r>
          </w:p>
        </w:tc>
        <w:tc>
          <w:tcPr>
            <w:tcW w:w="1500" w:type="dxa"/>
            <w:vAlign w:val="bottom"/>
            <w:gridSpan w:val="2"/>
          </w:tcPr>
          <w:p>
            <w:pPr>
              <w:jc w:val="right"/>
              <w:ind w:right="865"/>
              <w:spacing w:after="0" w:line="142" w:lineRule="exact"/>
              <w:rPr>
                <w:sz w:val="20"/>
                <w:szCs w:val="20"/>
                <w:color w:val="auto"/>
              </w:rPr>
            </w:pPr>
            <w:r>
              <w:rPr>
                <w:rFonts w:ascii="Arial" w:cs="Arial" w:eastAsia="Arial" w:hAnsi="Arial"/>
                <w:sz w:val="14"/>
                <w:szCs w:val="14"/>
                <w:b w:val="1"/>
                <w:bCs w:val="1"/>
                <w:color w:val="auto"/>
                <w:w w:val="71"/>
              </w:rPr>
              <w:t>thousands)</w:t>
            </w:r>
          </w:p>
        </w:tc>
        <w:tc>
          <w:tcPr>
            <w:tcW w:w="6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M&amp;A and Strategic Advisory</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$526,225</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$526,225</w:t>
            </w:r>
          </w:p>
        </w:tc>
        <w:tc>
          <w:tcPr>
            <w:tcW w:w="21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$ 814,660</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$ 969,409</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Restructuring</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376,710</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376,710</w:t>
            </w:r>
          </w:p>
        </w:tc>
        <w:tc>
          <w:tcPr>
            <w:tcW w:w="2100" w:type="dxa"/>
            <w:vAlign w:val="bottom"/>
            <w:gridSpan w:val="3"/>
          </w:tcPr>
          <w:p>
            <w:pPr>
              <w:jc w:val="right"/>
              <w:ind w:right="600"/>
              <w:spacing w:after="0"/>
              <w:rPr>
                <w:sz w:val="20"/>
                <w:szCs w:val="20"/>
                <w:color w:val="auto"/>
              </w:rPr>
            </w:pPr>
            <w:r>
              <w:rPr>
                <w:rFonts w:ascii="Arial" w:cs="Arial" w:eastAsia="Arial" w:hAnsi="Arial"/>
                <w:sz w:val="18"/>
                <w:szCs w:val="18"/>
                <w:color w:val="auto"/>
              </w:rPr>
              <w:t>119,283</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127,175</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Capital Markets and Other Advisory</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83,885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83,885</w:t>
            </w:r>
          </w:p>
        </w:tc>
        <w:tc>
          <w:tcPr>
            <w:tcW w:w="4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88,970</w:t>
            </w:r>
          </w:p>
        </w:tc>
        <w:tc>
          <w:tcPr>
            <w:tcW w:w="6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143,593</w:t>
            </w:r>
          </w:p>
        </w:tc>
        <w:tc>
          <w:tcPr>
            <w:tcW w:w="200" w:type="dxa"/>
            <w:vAlign w:val="bottom"/>
            <w:shd w:val="clear" w:color="auto" w:fill="CCEEFF"/>
          </w:tcPr>
          <w:p>
            <w:pPr>
              <w:spacing w:after="0"/>
              <w:rPr>
                <w:sz w:val="18"/>
                <w:szCs w:val="18"/>
                <w:color w:val="auto"/>
              </w:rPr>
            </w:pPr>
          </w:p>
        </w:tc>
      </w:tr>
      <w:tr>
        <w:trPr>
          <w:trHeight w:val="221"/>
        </w:trPr>
        <w:tc>
          <w:tcPr>
            <w:tcW w:w="5040" w:type="dxa"/>
            <w:vAlign w:val="bottom"/>
          </w:tcPr>
          <w:p>
            <w:pPr>
              <w:ind w:left="440"/>
              <w:spacing w:after="0"/>
              <w:rPr>
                <w:sz w:val="20"/>
                <w:szCs w:val="20"/>
                <w:color w:val="auto"/>
              </w:rPr>
            </w:pPr>
            <w:r>
              <w:rPr>
                <w:rFonts w:ascii="Arial" w:cs="Arial" w:eastAsia="Arial" w:hAnsi="Arial"/>
                <w:sz w:val="18"/>
                <w:szCs w:val="18"/>
                <w:color w:val="auto"/>
              </w:rPr>
              <w:t>Net Revenue</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986,820</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986,820</w:t>
            </w:r>
          </w:p>
        </w:tc>
        <w:tc>
          <w:tcPr>
            <w:tcW w:w="2100" w:type="dxa"/>
            <w:vAlign w:val="bottom"/>
            <w:gridSpan w:val="3"/>
          </w:tcPr>
          <w:p>
            <w:pPr>
              <w:jc w:val="right"/>
              <w:ind w:right="600"/>
              <w:spacing w:after="0"/>
              <w:rPr>
                <w:sz w:val="20"/>
                <w:szCs w:val="20"/>
                <w:color w:val="auto"/>
              </w:rPr>
            </w:pPr>
            <w:r>
              <w:rPr>
                <w:rFonts w:ascii="Arial" w:cs="Arial" w:eastAsia="Arial" w:hAnsi="Arial"/>
                <w:sz w:val="18"/>
                <w:szCs w:val="18"/>
                <w:color w:val="auto"/>
              </w:rPr>
              <w:t>1,022,913</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1,240,177</w:t>
            </w:r>
          </w:p>
        </w:tc>
      </w:tr>
      <w:tr>
        <w:trPr>
          <w:trHeight w:val="218"/>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(c)</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998,727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$ 48,533</w:t>
            </w:r>
          </w:p>
        </w:tc>
        <w:tc>
          <w:tcPr>
            <w:tcW w:w="5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950,194</w:t>
            </w:r>
          </w:p>
        </w:tc>
        <w:tc>
          <w:tcPr>
            <w:tcW w:w="4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796,970</w:t>
            </w:r>
          </w:p>
        </w:tc>
        <w:tc>
          <w:tcPr>
            <w:tcW w:w="6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920,705</w:t>
            </w:r>
          </w:p>
        </w:tc>
        <w:tc>
          <w:tcPr>
            <w:tcW w:w="200" w:type="dxa"/>
            <w:vAlign w:val="bottom"/>
            <w:shd w:val="clear" w:color="auto" w:fill="CCEEFF"/>
          </w:tcPr>
          <w:p>
            <w:pPr>
              <w:spacing w:after="0"/>
              <w:rPr>
                <w:sz w:val="18"/>
                <w:szCs w:val="18"/>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Operating Income (Loss)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(11,907)</w:t>
            </w:r>
          </w:p>
        </w:tc>
        <w:tc>
          <w:tcPr>
            <w:tcW w:w="1460" w:type="dxa"/>
            <w:vAlign w:val="bottom"/>
            <w:gridSpan w:val="3"/>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(48,533)</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$ 36,626</w:t>
            </w:r>
          </w:p>
        </w:tc>
        <w:tc>
          <w:tcPr>
            <w:tcW w:w="2100" w:type="dxa"/>
            <w:vAlign w:val="bottom"/>
            <w:gridSpan w:val="3"/>
          </w:tcPr>
          <w:p>
            <w:pPr>
              <w:jc w:val="right"/>
              <w:ind w:right="600"/>
              <w:spacing w:after="0"/>
              <w:rPr>
                <w:sz w:val="20"/>
                <w:szCs w:val="20"/>
                <w:color w:val="auto"/>
              </w:rPr>
            </w:pPr>
            <w:r>
              <w:rPr>
                <w:rFonts w:ascii="Arial" w:cs="Arial" w:eastAsia="Arial" w:hAnsi="Arial"/>
                <w:sz w:val="18"/>
                <w:szCs w:val="18"/>
                <w:color w:val="auto"/>
              </w:rPr>
              <w:t>$ 225,943</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$ 319,472</w:t>
            </w:r>
          </w:p>
        </w:tc>
      </w:tr>
      <w:tr>
        <w:trPr>
          <w:trHeight w:val="20"/>
        </w:trPr>
        <w:tc>
          <w:tcPr>
            <w:tcW w:w="50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3"/>
        </w:trPr>
        <w:tc>
          <w:tcPr>
            <w:tcW w:w="50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Operating Income As A Percentage Of</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8"/>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0"/>
        </w:trPr>
        <w:tc>
          <w:tcPr>
            <w:tcW w:w="50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7"/>
        </w:trPr>
        <w:tc>
          <w:tcPr>
            <w:tcW w:w="504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As of December 31,</w:t>
            </w: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5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96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2"/>
                <w:szCs w:val="12"/>
                <w:color w:val="auto"/>
              </w:rPr>
            </w:pPr>
          </w:p>
        </w:tc>
        <w:tc>
          <w:tcPr>
            <w:tcW w:w="5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Headcount (d):</w:t>
            </w: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Managing Directors</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5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Limited Managing Directors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Other Employees: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Business segment professionals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0" w:type="dxa"/>
            <w:vAlign w:val="bottom"/>
          </w:tcPr>
          <w:p>
            <w:pPr>
              <w:spacing w:after="0"/>
              <w:rPr>
                <w:sz w:val="18"/>
                <w:szCs w:val="18"/>
                <w:color w:val="auto"/>
              </w:rPr>
            </w:pPr>
          </w:p>
        </w:tc>
      </w:tr>
      <w:tr>
        <w:trPr>
          <w:trHeight w:val="223"/>
        </w:trPr>
        <w:tc>
          <w:tcPr>
            <w:tcW w:w="8700" w:type="dxa"/>
            <w:vAlign w:val="bottom"/>
            <w:gridSpan w:val="2"/>
          </w:tcPr>
          <w:p>
            <w:pPr>
              <w:ind w:left="880"/>
              <w:spacing w:after="0"/>
              <w:rPr>
                <w:sz w:val="20"/>
                <w:szCs w:val="20"/>
                <w:color w:val="auto"/>
              </w:rPr>
            </w:pPr>
            <w:r>
              <w:rPr>
                <w:rFonts w:ascii="Arial" w:cs="Arial" w:eastAsia="Arial" w:hAnsi="Arial"/>
                <w:sz w:val="18"/>
                <w:szCs w:val="18"/>
                <w:color w:val="auto"/>
              </w:rPr>
              <w:t>All other professionals and support staff</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5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9"/>
                <w:szCs w:val="19"/>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860" w:hanging="452"/>
        <w:spacing w:after="0" w:line="25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portion of the 2009 special items attributable to the Financial Advisory segment (see Note 23 of Notes to Consolidated Financial Statements).</w:t>
      </w: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32" w:lineRule="exact"/>
        <w:rPr>
          <w:rFonts w:ascii="Arial" w:cs="Arial" w:eastAsia="Arial" w:hAnsi="Arial"/>
          <w:sz w:val="16"/>
          <w:szCs w:val="16"/>
          <w:color w:val="auto"/>
        </w:rPr>
      </w:pPr>
    </w:p>
    <w:p>
      <w:pPr>
        <w:ind w:left="460" w:right="200" w:hanging="452"/>
        <w:spacing w:after="0" w:line="281"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indirect support costs (including compensation and benefits expense and other operating expenses related thereto), and, in 2009, 2008 and 2007, $146, $3,470 and $21,523, respectively, of amortization of intangible assets related to the business acquisitions in 2007.</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Excludes headcount related to indirect support functions, with such headcount being included in the Corporate segment.</w:t>
      </w:r>
    </w:p>
    <w:p>
      <w:pPr>
        <w:spacing w:after="0" w:line="15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Net revenue trends in Financial Advisory for M&amp;A and Strategic Advisory and Restructuring are generally correlated to the volume of completed industry-wide M&amp;A transactions and restructurings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significant non-public assignments. Certain Lazard client statistics and global industry statistics are set forth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860" w:type="dxa"/>
            <w:vAlign w:val="bottom"/>
          </w:tcPr>
          <w:p>
            <w:pPr>
              <w:spacing w:after="0"/>
              <w:rPr>
                <w:sz w:val="12"/>
                <w:szCs w:val="12"/>
                <w:color w:val="auto"/>
              </w:rPr>
            </w:pPr>
          </w:p>
        </w:tc>
        <w:tc>
          <w:tcPr>
            <w:tcW w:w="54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114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2008</w:t>
            </w:r>
          </w:p>
        </w:tc>
        <w:tc>
          <w:tcPr>
            <w:tcW w:w="860" w:type="dxa"/>
            <w:vAlign w:val="bottom"/>
          </w:tcPr>
          <w:p>
            <w:pPr>
              <w:spacing w:after="0"/>
              <w:rPr>
                <w:sz w:val="12"/>
                <w:szCs w:val="12"/>
                <w:color w:val="auto"/>
              </w:rPr>
            </w:pPr>
          </w:p>
        </w:tc>
        <w:tc>
          <w:tcPr>
            <w:tcW w:w="5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Lazard Statistics:</w:t>
            </w: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Number of Clients:</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w:t>
            </w:r>
          </w:p>
        </w:tc>
      </w:tr>
      <w:tr>
        <w:trPr>
          <w:trHeight w:val="216"/>
        </w:trPr>
        <w:tc>
          <w:tcPr>
            <w:tcW w:w="7860" w:type="dxa"/>
            <w:vAlign w:val="bottom"/>
          </w:tcPr>
          <w:p>
            <w:pPr>
              <w:ind w:left="440"/>
              <w:spacing w:after="0"/>
              <w:rPr>
                <w:sz w:val="20"/>
                <w:szCs w:val="20"/>
                <w:color w:val="auto"/>
              </w:rPr>
            </w:pPr>
            <w:r>
              <w:rPr>
                <w:rFonts w:ascii="Arial" w:cs="Arial" w:eastAsia="Arial" w:hAnsi="Arial"/>
                <w:sz w:val="18"/>
                <w:szCs w:val="18"/>
                <w:color w:val="auto"/>
              </w:rPr>
              <w:t>With Fees Greater than $1 million</w:t>
            </w:r>
          </w:p>
        </w:tc>
        <w:tc>
          <w:tcPr>
            <w:tcW w:w="540" w:type="dxa"/>
            <w:vAlign w:val="bottom"/>
          </w:tcPr>
          <w:p>
            <w:pPr>
              <w:jc w:val="right"/>
              <w:spacing w:after="0"/>
              <w:rPr>
                <w:sz w:val="20"/>
                <w:szCs w:val="20"/>
                <w:color w:val="auto"/>
              </w:rPr>
            </w:pPr>
            <w:r>
              <w:rPr>
                <w:rFonts w:ascii="Arial" w:cs="Arial" w:eastAsia="Arial" w:hAnsi="Arial"/>
                <w:sz w:val="18"/>
                <w:szCs w:val="18"/>
                <w:color w:val="auto"/>
              </w:rPr>
              <w:t>256</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8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222</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Revenue from Top 10 Clients (a)</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20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22"/>
        </w:trPr>
        <w:tc>
          <w:tcPr>
            <w:tcW w:w="7860" w:type="dxa"/>
            <w:vAlign w:val="bottom"/>
          </w:tcPr>
          <w:p>
            <w:pPr>
              <w:spacing w:after="0"/>
              <w:rPr>
                <w:sz w:val="20"/>
                <w:szCs w:val="20"/>
                <w:color w:val="auto"/>
              </w:rPr>
            </w:pPr>
            <w:r>
              <w:rPr>
                <w:rFonts w:ascii="Arial" w:cs="Arial" w:eastAsia="Arial" w:hAnsi="Arial"/>
                <w:sz w:val="18"/>
                <w:szCs w:val="18"/>
                <w:color w:val="auto"/>
              </w:rPr>
              <w:t>Number of M&amp;A Transactions Completed Greater than $1 billion (b)</w:t>
            </w: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8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20" w:hanging="452"/>
        <w:spacing w:after="0" w:line="25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were no individual clients that constituted more than 10% of our Financial Advisory segment net revenue in the years ended December 31, 2009, 2008 or 2007.</w:t>
      </w: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Source: Thomson Financial as of January 22, 2010.</w:t>
      </w:r>
    </w:p>
    <w:p>
      <w:pPr>
        <w:spacing w:after="0" w:line="15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The offices that generate Financial Advisory net revenue are located in the U.S., Europe (principally in the U.K., France, Italy, Spain and Germany) and the rest of the world (principally in Australia).</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54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2008</w:t>
            </w:r>
          </w:p>
        </w:tc>
        <w:tc>
          <w:tcPr>
            <w:tcW w:w="860" w:type="dxa"/>
            <w:vAlign w:val="bottom"/>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20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50%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Europe</w:t>
            </w:r>
          </w:p>
        </w:tc>
        <w:tc>
          <w:tcPr>
            <w:tcW w:w="51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8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45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538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2000" w:type="dxa"/>
            <w:vAlign w:val="bottom"/>
            <w:gridSpan w:val="3"/>
          </w:tcPr>
          <w:p>
            <w:pPr>
              <w:jc w:val="right"/>
              <w:ind w:right="72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4560" w:type="dxa"/>
            <w:vAlign w:val="bottom"/>
            <w:vMerge w:val="restart"/>
          </w:tcPr>
          <w:p>
            <w:pPr>
              <w:jc w:val="right"/>
              <w:ind w:right="1972"/>
              <w:spacing w:after="0"/>
              <w:rPr>
                <w:sz w:val="20"/>
                <w:szCs w:val="20"/>
                <w:color w:val="auto"/>
              </w:rPr>
            </w:pPr>
            <w:r>
              <w:rPr>
                <w:rFonts w:ascii="Arial" w:cs="Arial" w:eastAsia="Arial" w:hAnsi="Arial"/>
                <w:sz w:val="18"/>
                <w:szCs w:val="18"/>
                <w:color w:val="auto"/>
              </w:rPr>
              <w:t>49</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net revenue and operating income margins.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77"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As reflected in the table of operating results of the Financial Advisory segment above, the portion of the 2009 special item attributable to the Financial Advisory segment had a significant impact on the segment’s reported operating results for such year. Lazard management believes that comparisons between years are most meaningful after excluding the impact of such item.</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Year Ended December 31, 2009 versus December 31, 2008</w:t>
      </w:r>
    </w:p>
    <w:p>
      <w:pPr>
        <w:spacing w:after="0" w:line="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For the year ended December 31, 2009, Financial Advisory net revenue decreased $36 million, or 4%, as compared to 2008, reflecting decreases in M&amp;A and Strategic Advisory revenue of $288 million, or 35%, and Capital Markets and Other Advisory net revenue of $5 million, or 6%, which were substantially offset by Restructuring revenue (including fees for advising on distressed asset sales), which increased $257 million, or 216%.</w:t>
      </w:r>
    </w:p>
    <w:p>
      <w:pPr>
        <w:spacing w:after="0" w:line="9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decrease in M&amp;A and Strategic Advisory revenue for the year ended December 31, 2009 was principally due to the adverse economic and market conditions described above, which resulted in lower average fees per transaction for M&amp;A and Strategic Advisory clients, as well as those clients generating fee revenues greater than $1 million. However, throughout 2009, M&amp;A and Strategic Advisory quarterly revenue improved sequentially, with revenue in the second half of 2009 up 28%, as compared to the first half of 2009. Our major clients, which in the aggregate represented 25% of our M&amp;A and Strategic Advisory revenue for the year, included Acciona, Anheuser-Busch InBev, Barclays, Caisse d’Epargne, Republic of Ecuador, SFGI-FPIM, GlaxoSmithKline, Haas Trusts, IBM and Saint-Gobain.</w:t>
      </w:r>
    </w:p>
    <w:p>
      <w:pPr>
        <w:spacing w:after="0" w:line="13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Restructuring revenue is derived from various activities including bankruptcy assignments, global debt and financing restructurings, distressed asset sales and advice on complex on- and off-balance sheet assignments, such as retiree health care obligations. Restructuring revenue during the year ended December 31, 2009 increased significantly as compared to 2008 due to the significant increases in defaults and in-court and out-of-court restructurings. Notable assignments completed in 2009 included Cemex, Charter Communications, Lehman Brothers, Nortel Networks and the UAW.</w:t>
      </w:r>
    </w:p>
    <w:p>
      <w:pPr>
        <w:spacing w:after="0" w:line="9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decrease in Capital Markets and Other Advisory net revenue reflected decreases in the value of fund closings by our Private Fund Advisory Group and private placements by our Capital Markets Group, as well as declines in Equity Capital Markets transactions, all of which have been impacted by the uncertainty of the financial markets during 2009. Transactions in the year ended December 31, 2009 included Gores III and Triton III, Lehman Brothers and Sterling Group III in our Private Fund Advisory Group, and Danone on their rights offering.</w:t>
      </w:r>
    </w:p>
    <w:p>
      <w:pPr>
        <w:spacing w:after="0" w:line="13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Operating expenses for the year ended December 31, 2009 increased $202 million, or 25%, as compared to 2008. Excluding the impact of the portion of the 2009 special item attributable to the Financial Advisory segment, operating expenses increased $153 million, or 19%, as compared to 2008. Contributing to the increase was the change in the Company’s compensation policy as previously described, an increase in the amortization expense associated with previously granted equity-based incentive awards and the current year portion of the previously awarded deferred cash incentive awards, which were partially offset by lower salaries and benefits due to the impact of the staff reductions associated with the restructuring program implemented during the first quarter of 2009,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strengthening of the U.S. dollar versus foreign currencies, and lower costs related to travel and other business development expenses, including recruiting, technology expenses and amortization of intangible assets.</w:t>
      </w:r>
    </w:p>
    <w:p>
      <w:pPr>
        <w:spacing w:after="0" w:line="118"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Financial Advisory operating loss for 2009 was $12 million, a decrease of $238 million as compared to 2008, and represented (1)% of segment net revenues for 2009, as compared to 22% in 2008. Excluding the impact of the portion of the 2009 special item attributable to the Financial Advisory segment, operating income decreased $189 million and represented 4% of segment net revenues in 2009, as compared to 22% in 2008.</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Year Ended December 31, 2008 versus December 31, 2007</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2008, Financial Advisory net revenue decreased $217 million, or 18%, as compared to 2007, with M&amp;A and Strategic Advisory revenue decreasing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$155 million, or 16%, and Restructuring revenue decreasing $8 million, or 6%, while Capital Markets and Other Advisory net revenue decreased $55 million,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38%.</w:t>
      </w:r>
    </w:p>
    <w:p>
      <w:pPr>
        <w:spacing w:after="0" w:line="151"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decrease in M&amp;A and Strategic Advisory revenue in 2008 was principally due to the adverse economic and market conditions described above, and resulted in lower average fees per transaction and the result of both a lower number of M&amp;A transactions completed greater than $1 billion which typically generate significant fees, as well as a lower number of clients generating fee revenues greater than $1 million. Our major clients, which in the aggregate represented 25% of our M&amp;A and Strategic Advisory revenue for the year, included APP Pharmaceuticals, Bear Stearns, Gaz de France, InBev, International Paper, Penn National Gaming, Resolution Life, Royal Bank of Scotland, Trane and Zinefix.</w:t>
      </w:r>
    </w:p>
    <w:p>
      <w:pPr>
        <w:spacing w:after="0" w:line="10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Restructuring revenue for 2008 ended slightly lower than 2007. Notable assignments completed in the fourth quarter included Lehman Brothers, Metaldyne, Reliant Energy and Sprint Nextel. Restructuring assignments that we were involved with in North America included Charter Communications, CIFG Assurance, Fannie Mae, Hawaiian Telcom, Nortel, Pilgrim’s Pride, Smurfit-Stone Container, Tarragon Corporation, Tribune Co. and The Trustees of Bernard L. Madoff Investment Securities and in Europe, Premiere, Vita Group, Belvedere, Ineos and Olympic Airways.</w:t>
      </w:r>
    </w:p>
    <w:p>
      <w:pPr>
        <w:spacing w:after="0" w:line="9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decrease in Capital Markets and Other Advisory net revenue reflected decreases in the value of fund closings by our Private Fund Advisory Group, private placements by our Capital Markets Group and declines in Equity Capital Markets transactions, all of which have been negatively impacted by the deterioration of the financial markets during 2008. Our Alternative Capital Finance Group served as a placement agent on a number of RD Offerings, including RDs for H&amp;R Block, Clean Energy Fuels and Orient-Express.</w:t>
      </w:r>
    </w:p>
    <w:p>
      <w:pPr>
        <w:spacing w:after="0" w:line="13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Operating expenses for the year ended December 31, 2008 decreased $124 million, or 13%, as compared to 2007, primarily due to decreased compensation expense consistent with lower operating revenue and reduced amortization of intangible assets associated with the 2007 acquisitions. Such decreases were partially offset by increases related to the amortization of an increased amount of RSUs, increased costs from the strategic headcount growth of senior bankers and relating to companies acquired in 2007 and other new offices, as well as increases in business development expenses for travel and market related data.</w:t>
      </w:r>
    </w:p>
    <w:p>
      <w:pPr>
        <w:spacing w:after="0" w:line="8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Financial Advisory operating income for 2008 decreased $94 million, or 29%, as compared to 2007 and represented 22% and 26% of segment net revenue for 2008 and 2007, respectively.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86"/>
              </w:rPr>
              <w:t>As of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5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 in millions)</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AUM:</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International Equities</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32,268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50,535</w:t>
            </w:r>
          </w:p>
        </w:tc>
        <w:tc>
          <w:tcPr>
            <w:tcW w:w="20" w:type="dxa"/>
            <w:vAlign w:val="bottom"/>
          </w:tcPr>
          <w:p>
            <w:pPr>
              <w:spacing w:after="0"/>
              <w:rPr>
                <w:sz w:val="18"/>
                <w:szCs w:val="18"/>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Equities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31,553</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47,814</w:t>
            </w:r>
          </w:p>
        </w:tc>
        <w:tc>
          <w:tcPr>
            <w:tcW w:w="20" w:type="dxa"/>
            <w:vAlign w:val="bottom"/>
          </w:tcPr>
          <w:p>
            <w:pPr>
              <w:spacing w:after="0"/>
              <w:rPr>
                <w:sz w:val="18"/>
                <w:szCs w:val="18"/>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U.S. Equities</w:t>
            </w:r>
          </w:p>
        </w:tc>
        <w:tc>
          <w:tcPr>
            <w:tcW w:w="2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16,003</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13,177</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20,927</w:t>
            </w:r>
          </w:p>
        </w:tc>
        <w:tc>
          <w:tcPr>
            <w:tcW w:w="20" w:type="dxa"/>
            <w:vAlign w:val="bottom"/>
          </w:tcPr>
          <w:p>
            <w:pPr>
              <w:spacing w:after="0"/>
              <w:rPr>
                <w:sz w:val="19"/>
                <w:szCs w:val="19"/>
                <w:color w:val="auto"/>
              </w:rPr>
            </w:pPr>
          </w:p>
        </w:tc>
      </w:tr>
      <w:tr>
        <w:trPr>
          <w:trHeight w:val="216"/>
        </w:trPr>
        <w:tc>
          <w:tcPr>
            <w:tcW w:w="5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Equities</w:t>
            </w:r>
          </w:p>
        </w:tc>
        <w:tc>
          <w:tcPr>
            <w:tcW w:w="2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106,603</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69,730</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119,276</w:t>
            </w:r>
          </w:p>
        </w:tc>
        <w:tc>
          <w:tcPr>
            <w:tcW w:w="20" w:type="dxa"/>
            <w:vAlign w:val="bottom"/>
          </w:tcPr>
          <w:p>
            <w:pPr>
              <w:spacing w:after="0"/>
              <w:rPr>
                <w:sz w:val="18"/>
                <w:szCs w:val="18"/>
                <w:color w:val="auto"/>
              </w:rPr>
            </w:pPr>
          </w:p>
        </w:tc>
      </w:tr>
      <w:tr>
        <w:trPr>
          <w:trHeight w:val="221"/>
        </w:trPr>
        <w:tc>
          <w:tcPr>
            <w:tcW w:w="5860" w:type="dxa"/>
            <w:vAlign w:val="bottom"/>
            <w:gridSpan w:val="2"/>
          </w:tcPr>
          <w:p>
            <w:pPr>
              <w:spacing w:after="0"/>
              <w:rPr>
                <w:sz w:val="20"/>
                <w:szCs w:val="20"/>
                <w:color w:val="auto"/>
              </w:rPr>
            </w:pPr>
            <w:r>
              <w:rPr>
                <w:rFonts w:ascii="Arial" w:cs="Arial" w:eastAsia="Arial" w:hAnsi="Arial"/>
                <w:sz w:val="18"/>
                <w:szCs w:val="18"/>
                <w:color w:val="auto"/>
              </w:rPr>
              <w:t>European and International Fixed Income</w:t>
            </w: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13,763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12,690</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10,255</w:t>
            </w:r>
          </w:p>
        </w:tc>
      </w:tr>
      <w:tr>
        <w:trPr>
          <w:trHeight w:val="218"/>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Fixed Income</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20" w:type="dxa"/>
            <w:vAlign w:val="bottom"/>
          </w:tcPr>
          <w:p>
            <w:pPr>
              <w:spacing w:after="0"/>
              <w:rPr>
                <w:sz w:val="18"/>
                <w:szCs w:val="18"/>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U.S. Fixed Income</w:t>
            </w:r>
          </w:p>
        </w:tc>
        <w:tc>
          <w:tcPr>
            <w:tcW w:w="2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20" w:type="dxa"/>
            <w:vAlign w:val="bottom"/>
          </w:tcPr>
          <w:p>
            <w:pPr>
              <w:spacing w:after="0"/>
              <w:rPr>
                <w:sz w:val="19"/>
                <w:szCs w:val="19"/>
                <w:color w:val="auto"/>
              </w:rPr>
            </w:pPr>
          </w:p>
        </w:tc>
      </w:tr>
      <w:tr>
        <w:trPr>
          <w:trHeight w:val="216"/>
        </w:trPr>
        <w:tc>
          <w:tcPr>
            <w:tcW w:w="5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Fixed Income</w:t>
            </w:r>
          </w:p>
        </w:tc>
        <w:tc>
          <w:tcPr>
            <w:tcW w:w="2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18,056</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15,824</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14,233</w:t>
            </w:r>
          </w:p>
        </w:tc>
        <w:tc>
          <w:tcPr>
            <w:tcW w:w="20" w:type="dxa"/>
            <w:vAlign w:val="bottom"/>
          </w:tcPr>
          <w:p>
            <w:pPr>
              <w:spacing w:after="0"/>
              <w:rPr>
                <w:sz w:val="18"/>
                <w:szCs w:val="18"/>
                <w:color w:val="auto"/>
              </w:rPr>
            </w:pPr>
          </w:p>
        </w:tc>
      </w:tr>
      <w:tr>
        <w:trPr>
          <w:trHeight w:val="221"/>
        </w:trPr>
        <w:tc>
          <w:tcPr>
            <w:tcW w:w="5860" w:type="dxa"/>
            <w:vAlign w:val="bottom"/>
            <w:gridSpan w:val="2"/>
          </w:tcPr>
          <w:p>
            <w:pPr>
              <w:spacing w:after="0"/>
              <w:rPr>
                <w:sz w:val="20"/>
                <w:szCs w:val="20"/>
                <w:color w:val="auto"/>
              </w:rPr>
            </w:pPr>
            <w:r>
              <w:rPr>
                <w:rFonts w:ascii="Arial" w:cs="Arial" w:eastAsia="Arial" w:hAnsi="Arial"/>
                <w:sz w:val="18"/>
                <w:szCs w:val="18"/>
                <w:color w:val="auto"/>
              </w:rPr>
              <w:t>Alternative Investments</w:t>
            </w: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3,936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3,196</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3,577</w:t>
            </w:r>
          </w:p>
        </w:tc>
      </w:tr>
      <w:tr>
        <w:trPr>
          <w:trHeight w:val="218"/>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(a)</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20" w:type="dxa"/>
            <w:vAlign w:val="bottom"/>
          </w:tcPr>
          <w:p>
            <w:pPr>
              <w:spacing w:after="0"/>
              <w:rPr>
                <w:sz w:val="18"/>
                <w:szCs w:val="18"/>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Cash Management</w:t>
            </w:r>
          </w:p>
        </w:tc>
        <w:tc>
          <w:tcPr>
            <w:tcW w:w="2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w:t>
            </w:r>
          </w:p>
        </w:tc>
        <w:tc>
          <w:tcPr>
            <w:tcW w:w="20" w:type="dxa"/>
            <w:vAlign w:val="bottom"/>
          </w:tcPr>
          <w:p>
            <w:pPr>
              <w:spacing w:after="0"/>
              <w:rPr>
                <w:sz w:val="19"/>
                <w:szCs w:val="19"/>
                <w:color w:val="auto"/>
              </w:rPr>
            </w:pPr>
          </w:p>
        </w:tc>
      </w:tr>
      <w:tr>
        <w:trPr>
          <w:trHeight w:val="216"/>
        </w:trPr>
        <w:tc>
          <w:tcPr>
            <w:tcW w:w="5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AUM</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129,543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91,109</w:t>
            </w:r>
          </w:p>
        </w:tc>
        <w:tc>
          <w:tcPr>
            <w:tcW w:w="3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141,413</w:t>
            </w:r>
          </w:p>
        </w:tc>
        <w:tc>
          <w:tcPr>
            <w:tcW w:w="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120" w:hanging="452"/>
        <w:spacing w:after="0" w:line="25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December 31, 2009, includes $0.6 billion related to the July 15, 2009 Edgewater Acquisition and excludes, as of December 31, 2009, the AUM of FPG and the related investment company for which Lazard may have earned carried interests (which amounted to $1.4 billion and $1.3 billion of AUM at December 31, 2008 and 2007, respectively) due to the sale of FPG effective September 30, 2009.</w:t>
      </w:r>
    </w:p>
    <w:p>
      <w:pPr>
        <w:spacing w:after="0" w:line="12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Average AUM for the years ended December 31, 2009, 2008 and 2007 is set forth below. Average AUM is based on an average of quarterly ending balances for the respective periods.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7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r>
      <w:tr>
        <w:trPr>
          <w:trHeight w:val="142"/>
        </w:trPr>
        <w:tc>
          <w:tcPr>
            <w:tcW w:w="48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70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2009</w:t>
            </w:r>
          </w:p>
        </w:tc>
        <w:tc>
          <w:tcPr>
            <w:tcW w:w="102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84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2007</w:t>
            </w:r>
          </w:p>
        </w:tc>
      </w:tr>
      <w:tr>
        <w:trPr>
          <w:trHeight w:val="142"/>
        </w:trPr>
        <w:tc>
          <w:tcPr>
            <w:tcW w:w="48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9"/>
              </w:rPr>
              <w:t>$ in millions)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Average AUM</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$ 103,988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$ 122,828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$ 130,827</w:t>
            </w:r>
          </w:p>
        </w:tc>
      </w:tr>
      <w:tr>
        <w:trPr>
          <w:trHeight w:val="20"/>
        </w:trPr>
        <w:tc>
          <w:tcPr>
            <w:tcW w:w="48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Total AUM at December 31, 2009 increased $38.4 billion, or 42%, as compared to that at December 31, 2008. While average AUM for the year ended December 31, 2009 was 15% lower than the average AUM for 2008, average AUM increased sequentially by quarter during 2009. International, Global and U.S. equities represented 25%, 45% and 12% of total AUM at December 31, 2009, respectively, versus 27%, 35% and 14% of total AUM at December 31, 2008, respectively.</w:t>
      </w:r>
    </w:p>
    <w:p>
      <w:pPr>
        <w:spacing w:after="0" w:line="13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Total AUM at December 31, 2008 decreased $50.3 billion, or 36%, as compared to that at December 31, 2007. Average AUM for the year ended December 31, 2008 decreased $8 billion, or 6%, as compared to the average AUM in 2007, with average AUM decreasing sequentially by quarter during 2008. International, Global and U.S. equities represented 27%, 35% and 14% of total AUM at December 31, 2008, respectively, versus 36%, 34% and 15% of total AUM at December 31, 2007, respectively.</w:t>
      </w:r>
    </w:p>
    <w:p>
      <w:pPr>
        <w:spacing w:after="0" w:line="13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of December 31, 2009, approximately 89% of our AUM was managed on behalf of institutional clients, including corporations, labor unions, public pension funds, insurance companies and banks, and through sub-advisory relationships, mutual fund sponsors, broker-dealers and registered advisors versus 85% of December 31, 2008, and, as of December 31, 2009, 11% of our AUM was managed on behalf of individual client relationships, which are principally with family offices and high-net worth individuals, versus 15% at December 31, 2008.</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for the years ended December 31, 2009, 2008 and 2007.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8"/>
              </w:rPr>
              <w:t>Year Ended December 31,</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580" w:type="dxa"/>
            <w:vAlign w:val="bottom"/>
          </w:tcPr>
          <w:p>
            <w:pPr>
              <w:jc w:val="right"/>
              <w:ind w:right="118"/>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70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5"/>
              </w:rPr>
              <w:t>in millions)</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AUM—Beginning of Year</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91,109</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141,413</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$ 110,437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Net Flows(a)</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10,253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1,371</w:t>
            </w:r>
          </w:p>
        </w:tc>
        <w:tc>
          <w:tcPr>
            <w:tcW w:w="4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16,745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Acquisitions/(Dispositions)(b)</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6"/>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Market and Foreign Exchange Appreciation (Depreciation)</w:t>
            </w: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29,012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(51,675)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AUM—End of Year</w:t>
            </w:r>
          </w:p>
        </w:tc>
        <w:tc>
          <w:tcPr>
            <w:tcW w:w="2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129,543</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91,109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141,413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1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20" w:hanging="452"/>
        <w:spacing w:after="0" w:line="25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inflows of $30,984, $25,923 and $42,031 and outflows of $20,731, $24,552 and $25,286 for the years ended December 31, 2009, 2008 and 2007, respectively.</w:t>
      </w:r>
    </w:p>
    <w:p>
      <w:pPr>
        <w:ind w:left="460" w:right="60" w:hanging="452"/>
        <w:spacing w:after="0" w:line="261"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AUM and unfunded fee-earning commitments related to the Edgewater Acquisition, offset by the disposition of private equity AUM related to the sale of FPG.</w:t>
      </w:r>
    </w:p>
    <w:p>
      <w:pPr>
        <w:spacing w:after="0" w:line="12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Inflows, which principally occurred in the second half of 2009, were in a broad range of products, with emphasis on Emerging Markets and Global Thematic Equity products due to increased investments in existing accounts as well as new accounts gained. Outflows occurred most significantly in U.S. Mid Cap and Small Cap Equity and European and U.K. Equity products.</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Consistent with the industry as a whole, we experienced market appreciation subsequent to the first quarter of 2009, which was the principal contributor to the increase in AUM. During the year ended December 31, 2009, equity products experienced the most significant market appreciation, with such increase slightly better than the global market indices previously described. As of December 31, 2009, AUM denominated in foreign currencies represented approximately 45% of our total AUM, as compared to 50% at December 31, 2008. Foreign denominated AUM declines in value with the strengthening of the U.S. dollar and increases in value as the U.S. dollar weakens.</w:t>
      </w:r>
    </w:p>
    <w:p>
      <w:pPr>
        <w:spacing w:after="0" w:line="129"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Inflows during the year ended December 31, 2008 occurred across all products (principally Global Equities, International Equities, European and International Fixed Income and Alternative Investment products) due to contributions to existing accounts as well as new accounts gained. The majority of the inflows occurred in the first half of 2008 as investors in the second half of the year delayed funding new mandates or increasing funding of existing mandates. Outflows occurred relatively evenly throughout the year also across all products due to withdrawals from existing accounts and, to a lesser degree, accounts lost.</w:t>
      </w:r>
    </w:p>
    <w:p>
      <w:pPr>
        <w:spacing w:after="0" w:line="8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Significant market depreciation was experienced in 2008, including the impact of the strengthening U.S. dollar versus foreign currencies particularly in the second half of 2008, with these factors being the principal contributors to the decrease in AUM. Equity products experienced the most significant decrease, with International and Global Equity products experiencing market depreciation of approximately 40% and U.S. Equity experiencing market depreciation of approximately 30%. Such decreases were generally consistent with global market indices as described above.</w:t>
      </w:r>
    </w:p>
    <w:p>
      <w:pPr>
        <w:spacing w:after="0" w:line="99"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As of February 19, 2010, AUM was $125.9 billion, a $3.6 billion decrease since December 31, 2009. The change in AUM since December 31, 2009 was due to market depreciation of $4.3 billion and net inflows of $0.7 billion. Market depreciation since December 31, 2009 was approximately 3% of AUM at December 31, 2009, which was generally consistent with the decline in global market indices during that period.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following table summarizes the operating results of the Asset Management segment for the years ended December 31, 2009, 2008 and 2007. Operating results for the years ended December 31, 2009 and 2008 are shown before and after the charges related to the 2009 and 2008 special items.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Year Ended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December 31, 2009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December 31, 2008</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December 31, 2007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Non-</w:t>
            </w:r>
          </w:p>
        </w:tc>
        <w:tc>
          <w:tcPr>
            <w:tcW w:w="5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Non-</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U.S. GAAP</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U.S. GAAP</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U.S. GAAP</w:t>
            </w:r>
          </w:p>
        </w:tc>
        <w:tc>
          <w:tcPr>
            <w:tcW w:w="46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Impact of</w:t>
            </w:r>
          </w:p>
        </w:tc>
        <w:tc>
          <w:tcPr>
            <w:tcW w:w="1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Excluding</w:t>
            </w:r>
          </w:p>
        </w:tc>
        <w:tc>
          <w:tcPr>
            <w:tcW w:w="52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U.S. GAAP</w:t>
            </w:r>
          </w:p>
        </w:tc>
        <w:tc>
          <w:tcPr>
            <w:tcW w:w="42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Impact of</w:t>
            </w:r>
          </w:p>
        </w:tc>
        <w:tc>
          <w:tcPr>
            <w:tcW w:w="9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Excluding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U.S. GAAP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As</w:t>
            </w:r>
          </w:p>
        </w:tc>
        <w:tc>
          <w:tcPr>
            <w:tcW w:w="46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1"/>
              </w:rPr>
              <w:t>Special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Special</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As</w:t>
            </w:r>
          </w:p>
        </w:tc>
        <w:tc>
          <w:tcPr>
            <w:tcW w:w="42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Special</w:t>
            </w:r>
          </w:p>
        </w:tc>
        <w:tc>
          <w:tcPr>
            <w:tcW w:w="80" w:type="dxa"/>
            <w:vAlign w:val="bottom"/>
          </w:tcPr>
          <w:p>
            <w:pPr>
              <w:spacing w:after="0"/>
              <w:rPr>
                <w:sz w:val="12"/>
                <w:szCs w:val="12"/>
                <w:color w:val="auto"/>
              </w:rPr>
            </w:pPr>
          </w:p>
        </w:tc>
        <w:tc>
          <w:tcPr>
            <w:tcW w:w="8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Special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Item (a)</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Item (b)</w:t>
            </w:r>
          </w:p>
        </w:tc>
        <w:tc>
          <w:tcPr>
            <w:tcW w:w="52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Reported</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Item (a)</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0"/>
              </w:rPr>
              <w:t>Item (b)</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7"/>
              </w:rPr>
              <w:t>Reported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rPr>
              <w:t>($ in thousands)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420"/>
              <w:spacing w:after="0" w:line="149" w:lineRule="exact"/>
              <w:rPr>
                <w:sz w:val="20"/>
                <w:szCs w:val="20"/>
                <w:color w:val="auto"/>
              </w:rPr>
            </w:pPr>
            <w:r>
              <w:rPr>
                <w:rFonts w:ascii="Arial" w:cs="Arial" w:eastAsia="Arial" w:hAnsi="Arial"/>
                <w:sz w:val="14"/>
                <w:szCs w:val="14"/>
                <w:color w:val="auto"/>
              </w:rPr>
              <w:t>Management Fees</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8"/>
              </w:rPr>
              <w:t>488,636</w:t>
            </w: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488,636</w:t>
            </w:r>
          </w:p>
        </w:tc>
        <w:tc>
          <w:tcPr>
            <w:tcW w:w="62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568,436</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568,436</w:t>
            </w:r>
          </w:p>
        </w:tc>
        <w:tc>
          <w:tcPr>
            <w:tcW w:w="280" w:type="dxa"/>
            <w:vAlign w:val="bottom"/>
          </w:tcPr>
          <w:p>
            <w:pPr>
              <w:spacing w:after="0"/>
              <w:rPr>
                <w:sz w:val="12"/>
                <w:szCs w:val="12"/>
                <w:color w:val="auto"/>
              </w:rPr>
            </w:pPr>
          </w:p>
        </w:tc>
        <w:tc>
          <w:tcPr>
            <w:tcW w:w="38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595,725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Incentive Fees</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74,795</w:t>
            </w:r>
          </w:p>
        </w:tc>
        <w:tc>
          <w:tcPr>
            <w:tcW w:w="46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74,795</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34,961</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34,961</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67,032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ind w:left="420"/>
              <w:spacing w:after="0" w:line="149" w:lineRule="exact"/>
              <w:rPr>
                <w:sz w:val="20"/>
                <w:szCs w:val="20"/>
                <w:color w:val="auto"/>
              </w:rPr>
            </w:pPr>
            <w:r>
              <w:rPr>
                <w:rFonts w:ascii="Arial" w:cs="Arial" w:eastAsia="Arial" w:hAnsi="Arial"/>
                <w:sz w:val="14"/>
                <w:szCs w:val="14"/>
                <w:color w:val="auto"/>
              </w:rPr>
              <w:t>Other Income</w:t>
            </w: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31,257</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31,257</w:t>
            </w:r>
          </w:p>
        </w:tc>
        <w:tc>
          <w:tcPr>
            <w:tcW w:w="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24,732</w:t>
            </w: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24,732</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56,859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Sub-total</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594,688</w:t>
            </w:r>
          </w:p>
        </w:tc>
        <w:tc>
          <w:tcPr>
            <w:tcW w:w="46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594,688</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628,129</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628,129</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719,616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ind w:left="420"/>
              <w:spacing w:after="0" w:line="149" w:lineRule="exact"/>
              <w:rPr>
                <w:sz w:val="20"/>
                <w:szCs w:val="20"/>
                <w:color w:val="auto"/>
              </w:rPr>
            </w:pPr>
            <w:r>
              <w:rPr>
                <w:rFonts w:ascii="Arial" w:cs="Arial" w:eastAsia="Arial" w:hAnsi="Arial"/>
                <w:sz w:val="14"/>
                <w:szCs w:val="14"/>
                <w:color w:val="auto"/>
              </w:rPr>
              <w:t>Noncontrolling Interest Revenue</w:t>
            </w:r>
          </w:p>
        </w:tc>
        <w:tc>
          <w:tcPr>
            <w:tcW w:w="140" w:type="dxa"/>
            <w:vAlign w:val="bottom"/>
          </w:tcPr>
          <w:p>
            <w:pPr>
              <w:spacing w:after="0"/>
              <w:rPr>
                <w:sz w:val="13"/>
                <w:szCs w:val="13"/>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6,964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6,964</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(13,348)</w:t>
            </w: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(13,348)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Revenue</w:t>
            </w: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601,652</w:t>
            </w:r>
          </w:p>
        </w:tc>
        <w:tc>
          <w:tcPr>
            <w:tcW w:w="10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601,652</w:t>
            </w:r>
          </w:p>
        </w:tc>
        <w:tc>
          <w:tcPr>
            <w:tcW w:w="5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614,781</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614,781</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724,751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Operating Expenses (c)</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504,452</w:t>
            </w:r>
          </w:p>
        </w:tc>
        <w:tc>
          <w:tcPr>
            <w:tcW w:w="100" w:type="dxa"/>
            <w:vAlign w:val="bottom"/>
          </w:tcPr>
          <w:p>
            <w:pPr>
              <w:spacing w:after="0"/>
              <w:rPr>
                <w:sz w:val="12"/>
                <w:szCs w:val="12"/>
                <w:color w:val="auto"/>
              </w:rPr>
            </w:pPr>
          </w:p>
        </w:tc>
        <w:tc>
          <w:tcPr>
            <w:tcW w:w="460" w:type="dxa"/>
            <w:vAlign w:val="bottom"/>
          </w:tcPr>
          <w:p>
            <w:pPr>
              <w:ind w:left="400"/>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7,508</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496,944</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678,170</w:t>
            </w:r>
          </w:p>
        </w:tc>
        <w:tc>
          <w:tcPr>
            <w:tcW w:w="140" w:type="dxa"/>
            <w:vAlign w:val="bottom"/>
          </w:tcPr>
          <w:p>
            <w:pPr>
              <w:spacing w:after="0"/>
              <w:rPr>
                <w:sz w:val="12"/>
                <w:szCs w:val="12"/>
                <w:color w:val="auto"/>
              </w:rPr>
            </w:pPr>
          </w:p>
        </w:tc>
        <w:tc>
          <w:tcPr>
            <w:tcW w:w="1000" w:type="dxa"/>
            <w:vAlign w:val="bottom"/>
            <w:gridSpan w:val="2"/>
          </w:tcPr>
          <w:p>
            <w:pPr>
              <w:ind w:left="420"/>
              <w:spacing w:after="0" w:line="149" w:lineRule="exact"/>
              <w:rPr>
                <w:sz w:val="20"/>
                <w:szCs w:val="20"/>
                <w:color w:val="auto"/>
              </w:rPr>
            </w:pPr>
            <w:r>
              <w:rPr>
                <w:rFonts w:ascii="Arial" w:cs="Arial" w:eastAsia="Arial" w:hAnsi="Arial"/>
                <w:sz w:val="14"/>
                <w:szCs w:val="14"/>
                <w:color w:val="auto"/>
                <w:w w:val="89"/>
              </w:rPr>
              <w:t>$ 197,550</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480,620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539,800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 (Loss)</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97,200</w:t>
            </w:r>
          </w:p>
        </w:tc>
        <w:tc>
          <w:tcPr>
            <w:tcW w:w="10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5"/>
                <w:szCs w:val="5"/>
                <w:color w:val="auto"/>
                <w:w w:val="70"/>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(7,508)</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104,708</w:t>
            </w:r>
          </w:p>
        </w:tc>
        <w:tc>
          <w:tcPr>
            <w:tcW w:w="62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(63,389)</w:t>
            </w:r>
          </w:p>
        </w:tc>
        <w:tc>
          <w:tcPr>
            <w:tcW w:w="144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(197,550)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134,161</w:t>
            </w:r>
          </w:p>
        </w:tc>
        <w:tc>
          <w:tcPr>
            <w:tcW w:w="2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184,951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760" w:type="dxa"/>
            <w:vAlign w:val="bottom"/>
            <w:gridSpan w:val="2"/>
          </w:tcPr>
          <w:p>
            <w:pPr>
              <w:spacing w:after="0" w:line="151" w:lineRule="exact"/>
              <w:rPr>
                <w:sz w:val="20"/>
                <w:szCs w:val="20"/>
                <w:color w:val="auto"/>
              </w:rPr>
            </w:pPr>
            <w:r>
              <w:rPr>
                <w:rFonts w:ascii="Arial" w:cs="Arial" w:eastAsia="Arial" w:hAnsi="Arial"/>
                <w:sz w:val="14"/>
                <w:szCs w:val="14"/>
                <w:color w:val="auto"/>
              </w:rPr>
              <w:t>Operating Income (Loss), As A Percentage of Net</w:t>
            </w:r>
          </w:p>
        </w:tc>
        <w:tc>
          <w:tcPr>
            <w:tcW w:w="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6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Revenue</w:t>
            </w:r>
          </w:p>
        </w:tc>
        <w:tc>
          <w:tcPr>
            <w:tcW w:w="1820" w:type="dxa"/>
            <w:vAlign w:val="bottom"/>
            <w:gridSpan w:val="2"/>
          </w:tcPr>
          <w:p>
            <w:pPr>
              <w:jc w:val="right"/>
              <w:ind w:right="1400"/>
              <w:spacing w:after="0" w:line="159" w:lineRule="exact"/>
              <w:rPr>
                <w:sz w:val="20"/>
                <w:szCs w:val="20"/>
                <w:color w:val="auto"/>
              </w:rPr>
            </w:pPr>
            <w:r>
              <w:rPr>
                <w:rFonts w:ascii="Arial" w:cs="Arial" w:eastAsia="Arial" w:hAnsi="Arial"/>
                <w:sz w:val="14"/>
                <w:szCs w:val="14"/>
                <w:color w:val="auto"/>
              </w:rPr>
              <w:t>16%</w:t>
            </w:r>
          </w:p>
        </w:tc>
        <w:tc>
          <w:tcPr>
            <w:tcW w:w="11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17%</w:t>
            </w:r>
          </w:p>
        </w:tc>
        <w:tc>
          <w:tcPr>
            <w:tcW w:w="2240" w:type="dxa"/>
            <w:vAlign w:val="bottom"/>
            <w:gridSpan w:val="2"/>
          </w:tcPr>
          <w:p>
            <w:pPr>
              <w:jc w:val="right"/>
              <w:ind w:right="1420"/>
              <w:spacing w:after="0" w:line="159" w:lineRule="exact"/>
              <w:rPr>
                <w:sz w:val="20"/>
                <w:szCs w:val="20"/>
                <w:color w:val="auto"/>
              </w:rPr>
            </w:pPr>
            <w:r>
              <w:rPr>
                <w:rFonts w:ascii="Arial" w:cs="Arial" w:eastAsia="Arial" w:hAnsi="Arial"/>
                <w:sz w:val="14"/>
                <w:szCs w:val="14"/>
                <w:color w:val="auto"/>
              </w:rPr>
              <w:t>(10)%</w:t>
            </w:r>
          </w:p>
        </w:tc>
        <w:tc>
          <w:tcPr>
            <w:tcW w:w="980" w:type="dxa"/>
            <w:vAlign w:val="bottom"/>
            <w:gridSpan w:val="3"/>
          </w:tcPr>
          <w:p>
            <w:pPr>
              <w:jc w:val="right"/>
              <w:ind w:right="132"/>
              <w:spacing w:after="0" w:line="159" w:lineRule="exact"/>
              <w:rPr>
                <w:sz w:val="20"/>
                <w:szCs w:val="20"/>
                <w:color w:val="auto"/>
              </w:rPr>
            </w:pPr>
            <w:r>
              <w:rPr>
                <w:rFonts w:ascii="Arial" w:cs="Arial" w:eastAsia="Arial" w:hAnsi="Arial"/>
                <w:sz w:val="14"/>
                <w:szCs w:val="14"/>
                <w:color w:val="auto"/>
              </w:rPr>
              <w:t>22%</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w w:val="78"/>
              </w:rPr>
              <w:t>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6"/>
              </w:rPr>
              <w:t>As of December 31,</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20" w:type="dxa"/>
            <w:vAlign w:val="bottom"/>
            <w:gridSpan w:val="2"/>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2009</w:t>
            </w:r>
          </w:p>
        </w:tc>
        <w:tc>
          <w:tcPr>
            <w:tcW w:w="1160" w:type="dxa"/>
            <w:vAlign w:val="bottom"/>
            <w:gridSpan w:val="4"/>
          </w:tcPr>
          <w:p>
            <w:pPr>
              <w:jc w:val="right"/>
              <w:ind w:right="440"/>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Headcount(d):</w:t>
            </w:r>
          </w:p>
        </w:tc>
        <w:tc>
          <w:tcPr>
            <w:tcW w:w="3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Managing Directors</w:t>
            </w: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56</w:t>
            </w:r>
          </w:p>
        </w:tc>
        <w:tc>
          <w:tcPr>
            <w:tcW w:w="1160" w:type="dxa"/>
            <w:vAlign w:val="bottom"/>
            <w:gridSpan w:val="4"/>
          </w:tcPr>
          <w:p>
            <w:pPr>
              <w:jc w:val="right"/>
              <w:ind w:right="440"/>
              <w:spacing w:after="0" w:line="149" w:lineRule="exact"/>
              <w:rPr>
                <w:sz w:val="20"/>
                <w:szCs w:val="20"/>
                <w:color w:val="auto"/>
              </w:rPr>
            </w:pPr>
            <w:r>
              <w:rPr>
                <w:rFonts w:ascii="Arial" w:cs="Arial" w:eastAsia="Arial" w:hAnsi="Arial"/>
                <w:sz w:val="14"/>
                <w:szCs w:val="14"/>
                <w:color w:val="auto"/>
              </w:rPr>
              <w:t>56</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Limited Managing Directors</w:t>
            </w:r>
          </w:p>
        </w:tc>
        <w:tc>
          <w:tcPr>
            <w:tcW w:w="3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4"/>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Other Employees:</w:t>
            </w: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Business segment professionals</w:t>
            </w:r>
          </w:p>
        </w:tc>
        <w:tc>
          <w:tcPr>
            <w:tcW w:w="3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299</w:t>
            </w:r>
          </w:p>
        </w:tc>
        <w:tc>
          <w:tcPr>
            <w:tcW w:w="1160" w:type="dxa"/>
            <w:vAlign w:val="bottom"/>
            <w:gridSpan w:val="4"/>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327</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gridSpan w:val="2"/>
          </w:tcPr>
          <w:p>
            <w:pPr>
              <w:ind w:left="880"/>
              <w:spacing w:after="0" w:line="149" w:lineRule="exact"/>
              <w:rPr>
                <w:sz w:val="20"/>
                <w:szCs w:val="20"/>
                <w:color w:val="auto"/>
              </w:rPr>
            </w:pPr>
            <w:r>
              <w:rPr>
                <w:rFonts w:ascii="Arial" w:cs="Arial" w:eastAsia="Arial" w:hAnsi="Arial"/>
                <w:sz w:val="14"/>
                <w:szCs w:val="14"/>
                <w:color w:val="auto"/>
                <w:w w:val="93"/>
              </w:rPr>
              <w:t>All other professionals and support staff functions</w:t>
            </w: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20" w:type="dxa"/>
            <w:vAlign w:val="bottom"/>
            <w:gridSpan w:val="2"/>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273</w:t>
            </w:r>
          </w:p>
        </w:tc>
        <w:tc>
          <w:tcPr>
            <w:tcW w:w="460" w:type="dxa"/>
            <w:vAlign w:val="bottom"/>
            <w:gridSpan w:val="2"/>
          </w:tcPr>
          <w:p>
            <w:pPr>
              <w:spacing w:after="0"/>
              <w:rPr>
                <w:sz w:val="12"/>
                <w:szCs w:val="12"/>
                <w:color w:val="auto"/>
              </w:rPr>
            </w:pPr>
          </w:p>
        </w:tc>
        <w:tc>
          <w:tcPr>
            <w:tcW w:w="7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301</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3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w:t>
            </w:r>
          </w:p>
        </w:tc>
        <w:tc>
          <w:tcPr>
            <w:tcW w:w="460" w:type="dxa"/>
            <w:vAlign w:val="bottom"/>
            <w:gridSpan w:val="2"/>
            <w:shd w:val="clear" w:color="auto" w:fill="CCEEFF"/>
          </w:tcPr>
          <w:p>
            <w:pPr>
              <w:spacing w:after="0"/>
              <w:rPr>
                <w:sz w:val="12"/>
                <w:szCs w:val="12"/>
                <w:color w:val="auto"/>
              </w:rPr>
            </w:pPr>
          </w:p>
        </w:tc>
        <w:tc>
          <w:tcPr>
            <w:tcW w:w="7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685</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0" w:lineRule="exact"/>
        <w:rPr>
          <w:sz w:val="20"/>
          <w:szCs w:val="20"/>
          <w:color w:val="auto"/>
        </w:rPr>
      </w:pPr>
    </w:p>
    <w:p>
      <w:pPr>
        <w:ind w:left="460" w:right="160" w:hanging="452"/>
        <w:spacing w:after="0" w:line="25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the portion of the 2009 and 2008 special items attributable to the Asset Management segment (see Note 23 of Notes to Consolidated Financial Statements).</w:t>
      </w: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Excludes headcount related to indirect support functions, with such headcount being included in the Corporate segment.</w:t>
      </w:r>
    </w:p>
    <w:p>
      <w:pPr>
        <w:spacing w:after="0" w:line="151"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Our top ten clients accounted for 23%, 25% and 27% of our total AUM at December 31, 2009, 2008 and 2007, respectively, and there were no individual clients that constituted more than 10% of our Asset Management segment net revenue during any of the years ended December 31, 2009, 2008 and 2007.</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geographical distribution of Asset Management net revenue is set forth below in percentage terms: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940" w:type="dxa"/>
            <w:vAlign w:val="bottom"/>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19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52%</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Europe</w:t>
            </w:r>
          </w:p>
        </w:tc>
        <w:tc>
          <w:tcPr>
            <w:tcW w:w="5640" w:type="dxa"/>
            <w:vAlign w:val="bottom"/>
            <w:gridSpan w:val="3"/>
          </w:tcPr>
          <w:p>
            <w:pPr>
              <w:jc w:val="right"/>
              <w:ind w:right="240"/>
              <w:spacing w:after="0"/>
              <w:rPr>
                <w:sz w:val="20"/>
                <w:szCs w:val="20"/>
                <w:color w:val="auto"/>
              </w:rPr>
            </w:pPr>
            <w:r>
              <w:rPr>
                <w:rFonts w:ascii="Arial" w:cs="Arial" w:eastAsia="Arial" w:hAnsi="Arial"/>
                <w:sz w:val="18"/>
                <w:szCs w:val="18"/>
                <w:color w:val="auto"/>
              </w:rPr>
              <w:t>36</w:t>
            </w:r>
          </w:p>
        </w:tc>
        <w:tc>
          <w:tcPr>
            <w:tcW w:w="1940" w:type="dxa"/>
            <w:vAlign w:val="bottom"/>
            <w:gridSpan w:val="3"/>
          </w:tcPr>
          <w:p>
            <w:pPr>
              <w:jc w:val="right"/>
              <w:ind w:right="940"/>
              <w:spacing w:after="0"/>
              <w:rPr>
                <w:sz w:val="20"/>
                <w:szCs w:val="20"/>
                <w:color w:val="auto"/>
              </w:rPr>
            </w:pPr>
            <w:r>
              <w:rPr>
                <w:rFonts w:ascii="Arial" w:cs="Arial" w:eastAsia="Arial" w:hAnsi="Arial"/>
                <w:sz w:val="18"/>
                <w:szCs w:val="18"/>
                <w:color w:val="auto"/>
              </w:rPr>
              <w:t>37</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0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5640" w:type="dxa"/>
            <w:vAlign w:val="bottom"/>
            <w:gridSpan w:val="3"/>
          </w:tcPr>
          <w:p>
            <w:pPr>
              <w:jc w:val="right"/>
              <w:ind w:right="100"/>
              <w:spacing w:after="0"/>
              <w:rPr>
                <w:sz w:val="20"/>
                <w:szCs w:val="20"/>
                <w:color w:val="auto"/>
              </w:rPr>
            </w:pPr>
            <w:r>
              <w:rPr>
                <w:rFonts w:ascii="Arial" w:cs="Arial" w:eastAsia="Arial" w:hAnsi="Arial"/>
                <w:sz w:val="18"/>
                <w:szCs w:val="18"/>
                <w:color w:val="auto"/>
              </w:rPr>
              <w:t>100%</w:t>
            </w:r>
          </w:p>
        </w:tc>
        <w:tc>
          <w:tcPr>
            <w:tcW w:w="1940" w:type="dxa"/>
            <w:vAlign w:val="bottom"/>
            <w:gridSpan w:val="3"/>
          </w:tcPr>
          <w:p>
            <w:pPr>
              <w:jc w:val="right"/>
              <w:ind w:right="800"/>
              <w:spacing w:after="0"/>
              <w:rPr>
                <w:sz w:val="20"/>
                <w:szCs w:val="20"/>
                <w:color w:val="auto"/>
              </w:rPr>
            </w:pPr>
            <w:r>
              <w:rPr>
                <w:rFonts w:ascii="Arial" w:cs="Arial" w:eastAsia="Arial" w:hAnsi="Arial"/>
                <w:sz w:val="18"/>
                <w:szCs w:val="18"/>
                <w:color w:val="auto"/>
              </w:rPr>
              <w:t>100%</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5080" w:type="dxa"/>
            <w:vAlign w:val="bottom"/>
            <w:vMerge w:val="restart"/>
          </w:tcPr>
          <w:p>
            <w:pPr>
              <w:jc w:val="right"/>
              <w:ind w:right="2492"/>
              <w:spacing w:after="0"/>
              <w:rPr>
                <w:sz w:val="20"/>
                <w:szCs w:val="20"/>
                <w:color w:val="auto"/>
              </w:rPr>
            </w:pPr>
            <w:r>
              <w:rPr>
                <w:rFonts w:ascii="Arial" w:cs="Arial" w:eastAsia="Arial" w:hAnsi="Arial"/>
                <w:sz w:val="18"/>
                <w:szCs w:val="18"/>
                <w:color w:val="auto"/>
              </w:rPr>
              <w:t>54</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7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As reflected in the table of operating results of the Asset Management segment above, the portion of the 2009 and 2008 special items attributable to the Asset Management segment had a significant impact on the segment’s reported operating results for such years. Lazard management believes that comparisons between years are most meaningful after excluding the impact of such items.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2009 versus December 31, 2008</w:t>
      </w:r>
    </w:p>
    <w:p>
      <w:pPr>
        <w:spacing w:after="0" w:line="7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Asset Management net revenue in the year ended December 31, 2009 declined $13 million, or 2%, as compared to 2008. Management fees for 2009 decreased $80 million, or 14%, as compared to 2008, driven by a 15% decrease in average AUM. This decrease was due largely to the decline in equity markets, which was partially offset by the impact of a change in the mix of investment products and levels of management fees on certain products. However, consistent with the sequential increase in quarterly average AUM described above, management fee revenue was 44% higher in the second half of 2009 as compared to the first half of 2009. Incentive fees in 2009 increased $40 million, or 114%, as compared to 2008, relating to both alternative and traditional long-only investment strategies. Other revenue increased $27 million, or 236%, as compared to 2008, principally as a result of higher revenue from noncontrolling interests, foreign exchange remeasurement gains and investment income.</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Operating expenses for 2009 decreased by $174 million, or 26%, as compared to 2008. Excluding the 2009 and 2008 special items, operating expenses in 2009 increased $16 million, or 3%, principally due to the change in the Company’s compensation policy as previously described. Also impacting the increase was an increase in the current year portion of amortization expense associated with previously awarded deferred cash incentive awards, higher fees for outsourced services and an increase in the amortization of intangible assets relating to the Edgewater Acquisition, partially offset by decreased compensation related to reduced headcount, and declines in business development expenses for travel and market-related data and professional fees.</w:t>
      </w:r>
    </w:p>
    <w:p>
      <w:pPr>
        <w:spacing w:after="0" w:line="10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Asset Management operating income for the year ended December 31, 2009 was $97 million, an increase of $160 million, as compared to an operating loss of $63 million in 2008, and represented 16% of segment net revenue in 2009, as compared to (10)% in 2008. When excluding the impact of the 2009 and 2008 special items, operating income in 2009 decreased $29 million, or 22%, when compared to 2008, and represented 17% of segment net revenue in 2009 as compared to 22% for 2008.</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Year Ended December 31, 2008 versus December 31, 2007</w:t>
      </w:r>
    </w:p>
    <w:p>
      <w:pPr>
        <w:spacing w:after="0" w:line="77"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Asset Management net revenue in 2008 declined $110 million, or 15%, as compared to 2007. Management fees for 2008 decreased $27 million, or 5%, versus 2007 driven by a 6% decrease in average AUM due largely to market depreciation primarily during the second half of 2008 as well as the impact of a change in the mix of investment products and levels of management fees on certain products. Incentive fees decreased $32 million, or 48%, for 2008, as compared to 2007, with the decrease principally in alternative investment strategies. Other income decreased $51 million, or 82%, as compared to 2007 principally as a result of lower revenue from noncontrolling interests, other investment losses and foreign currency transaction losses.</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Operating expenses for 2008 increased $138 million, as compared to 2007. When excluding the 2008 special item of approximately $197 million, operating expenses in 2008 decreased $59 million, or 11%, versus 2007, due principally to decreased compensation related to lower operating revenue, partially offset by increases in outsourced services as a result of LAM outsourcing a portion of its operations, business development expenses for travel and market related data as well as for amortization of an increased amount of RSUs granted.</w:t>
      </w:r>
    </w:p>
    <w:p>
      <w:pPr>
        <w:spacing w:after="0" w:line="13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Including the 2008 special item of approximately $197 million, Asset Management had an operating loss of $63 million, a decline of $248 million as compared to operating income of $185 million in 2007. Excluding the impact of the 2008 special item, Asset Management had operating income in 2008 of $134 million, a decline of $51 million, or 27%, as compared to 2007, with operating income as a percentage of segment net revenue being 22% for 2008, as compared to 26% for 2007.</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results of the Corporate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Year Ended</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4"/>
          </w:tcPr>
          <w:p>
            <w:pPr>
              <w:jc w:val="center"/>
              <w:ind w:left="112"/>
              <w:spacing w:after="0"/>
              <w:rPr>
                <w:sz w:val="20"/>
                <w:szCs w:val="20"/>
                <w:color w:val="auto"/>
              </w:rPr>
            </w:pPr>
            <w:r>
              <w:rPr>
                <w:rFonts w:ascii="Arial" w:cs="Arial" w:eastAsia="Arial" w:hAnsi="Arial"/>
                <w:sz w:val="14"/>
                <w:szCs w:val="14"/>
                <w:b w:val="1"/>
                <w:bCs w:val="1"/>
                <w:color w:val="auto"/>
                <w:w w:val="88"/>
              </w:rPr>
              <w:t>Year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December 31, 2009</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1"/>
              </w:rPr>
              <w:t>December 31, 2008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4"/>
              </w:rPr>
              <w:t>December 31, 2007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12"/>
              <w:spacing w:after="0" w:line="129" w:lineRule="exact"/>
              <w:rPr>
                <w:sz w:val="20"/>
                <w:szCs w:val="20"/>
                <w:color w:val="auto"/>
              </w:rPr>
            </w:pPr>
            <w:r>
              <w:rPr>
                <w:rFonts w:ascii="Arial" w:cs="Arial" w:eastAsia="Arial" w:hAnsi="Arial"/>
                <w:sz w:val="14"/>
                <w:szCs w:val="14"/>
                <w:b w:val="1"/>
                <w:bCs w:val="1"/>
                <w:color w:val="auto"/>
                <w:w w:val="87"/>
              </w:rPr>
              <w:t>Non-</w:t>
            </w:r>
          </w:p>
        </w:tc>
        <w:tc>
          <w:tcPr>
            <w:tcW w:w="5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32"/>
              <w:spacing w:after="0" w:line="129" w:lineRule="exact"/>
              <w:rPr>
                <w:sz w:val="20"/>
                <w:szCs w:val="20"/>
                <w:color w:val="auto"/>
              </w:rPr>
            </w:pPr>
            <w:r>
              <w:rPr>
                <w:rFonts w:ascii="Arial" w:cs="Arial" w:eastAsia="Arial" w:hAnsi="Arial"/>
                <w:sz w:val="14"/>
                <w:szCs w:val="14"/>
                <w:b w:val="1"/>
                <w:bCs w:val="1"/>
                <w:color w:val="auto"/>
                <w:w w:val="87"/>
              </w:rPr>
              <w:t>Non-</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Impact</w:t>
            </w:r>
          </w:p>
        </w:tc>
        <w:tc>
          <w:tcPr>
            <w:tcW w:w="11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U.S. GAAP</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U.S. GAAP</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of</w:t>
            </w:r>
          </w:p>
        </w:tc>
        <w:tc>
          <w:tcPr>
            <w:tcW w:w="11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Excluding</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Impact of</w:t>
            </w:r>
          </w:p>
        </w:tc>
        <w:tc>
          <w:tcPr>
            <w:tcW w:w="160" w:type="dxa"/>
            <w:vAlign w:val="bottom"/>
          </w:tcPr>
          <w:p>
            <w:pPr>
              <w:spacing w:after="0"/>
              <w:rPr>
                <w:sz w:val="12"/>
                <w:szCs w:val="12"/>
                <w:color w:val="auto"/>
              </w:rPr>
            </w:pPr>
          </w:p>
        </w:tc>
        <w:tc>
          <w:tcPr>
            <w:tcW w:w="9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Excluding</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U.S. GAAP</w:t>
            </w:r>
          </w:p>
        </w:tc>
        <w:tc>
          <w:tcPr>
            <w:tcW w:w="38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1"/>
              </w:rPr>
              <w:t>Special</w:t>
            </w:r>
          </w:p>
        </w:tc>
        <w:tc>
          <w:tcPr>
            <w:tcW w:w="60" w:type="dxa"/>
            <w:vAlign w:val="bottom"/>
          </w:tcPr>
          <w:p>
            <w:pPr>
              <w:spacing w:after="0"/>
              <w:rPr>
                <w:sz w:val="12"/>
                <w:szCs w:val="12"/>
                <w:color w:val="auto"/>
              </w:rPr>
            </w:pPr>
          </w:p>
        </w:tc>
        <w:tc>
          <w:tcPr>
            <w:tcW w:w="1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1"/>
              </w:rPr>
              <w:t>Special</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U.S. GAAP</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1"/>
              </w:rPr>
              <w:t>Special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Special</w:t>
            </w:r>
          </w:p>
        </w:tc>
        <w:tc>
          <w:tcPr>
            <w:tcW w:w="260" w:type="dxa"/>
            <w:vAlign w:val="bottom"/>
          </w:tcPr>
          <w:p>
            <w:pPr>
              <w:spacing w:after="0"/>
              <w:rPr>
                <w:sz w:val="12"/>
                <w:szCs w:val="12"/>
                <w:color w:val="auto"/>
              </w:rPr>
            </w:pPr>
          </w:p>
        </w:tc>
        <w:tc>
          <w:tcPr>
            <w:tcW w:w="860" w:type="dxa"/>
            <w:vAlign w:val="bottom"/>
            <w:gridSpan w:val="4"/>
          </w:tcPr>
          <w:p>
            <w:pPr>
              <w:jc w:val="center"/>
              <w:ind w:left="92"/>
              <w:spacing w:after="0" w:line="149" w:lineRule="exact"/>
              <w:rPr>
                <w:sz w:val="20"/>
                <w:szCs w:val="20"/>
                <w:color w:val="auto"/>
              </w:rPr>
            </w:pPr>
            <w:r>
              <w:rPr>
                <w:rFonts w:ascii="Arial" w:cs="Arial" w:eastAsia="Arial" w:hAnsi="Arial"/>
                <w:sz w:val="14"/>
                <w:szCs w:val="14"/>
                <w:b w:val="1"/>
                <w:bCs w:val="1"/>
                <w:color w:val="auto"/>
                <w:w w:val="92"/>
              </w:rPr>
              <w:t>U.S. GAAP</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As Reported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Items (a)</w:t>
            </w:r>
          </w:p>
        </w:tc>
        <w:tc>
          <w:tcPr>
            <w:tcW w:w="5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Items (b)</w:t>
            </w:r>
          </w:p>
        </w:tc>
        <w:tc>
          <w:tcPr>
            <w:tcW w:w="50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As Reported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Item (a)</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4"/>
              </w:rPr>
              <w:t>Item (b)</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6"/>
              </w:rPr>
              <w:t>As Reported</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10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2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28,191</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28,191</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62,969</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62,969</w:t>
            </w:r>
          </w:p>
        </w:tc>
        <w:tc>
          <w:tcPr>
            <w:tcW w:w="2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67,493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(108,521)</w:t>
            </w: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(108,521)</w:t>
            </w:r>
          </w:p>
        </w:tc>
        <w:tc>
          <w:tcPr>
            <w:tcW w:w="22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0"/>
              </w:rPr>
              <w:t>(139,620)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(139,620)</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(136,016)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Interest Income (Expense)</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(80,330)</w:t>
            </w: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(80,330)</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(76,651)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(76,651)</w:t>
            </w:r>
          </w:p>
        </w:tc>
        <w:tc>
          <w:tcPr>
            <w:tcW w:w="2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(68,523)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Other Revenue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21,821</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21,821</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(6,074)</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(6,074)</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20,488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Revenue (Expense)</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(58,509)</w:t>
            </w: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(58,509)</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(82,725)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(82,725)</w:t>
            </w:r>
          </w:p>
        </w:tc>
        <w:tc>
          <w:tcPr>
            <w:tcW w:w="2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(48,035)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208,772</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w w:val="86"/>
              </w:rPr>
              <w:t>$ 153,535</w:t>
            </w:r>
          </w:p>
        </w:tc>
        <w:tc>
          <w:tcPr>
            <w:tcW w:w="5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55,237</w:t>
            </w:r>
          </w:p>
        </w:tc>
        <w:tc>
          <w:tcPr>
            <w:tcW w:w="5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37,800</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2,000</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35,800</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4"/>
          </w:tcPr>
          <w:p>
            <w:pPr>
              <w:jc w:val="right"/>
              <w:spacing w:after="0" w:line="149" w:lineRule="exact"/>
              <w:rPr>
                <w:sz w:val="20"/>
                <w:szCs w:val="20"/>
                <w:color w:val="auto"/>
              </w:rPr>
            </w:pPr>
            <w:r>
              <w:rPr>
                <w:rFonts w:ascii="Arial" w:cs="Arial" w:eastAsia="Arial" w:hAnsi="Arial"/>
                <w:sz w:val="14"/>
                <w:szCs w:val="14"/>
                <w:color w:val="auto"/>
              </w:rPr>
              <w:t>20,324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Loss</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(267,281)</w:t>
            </w:r>
          </w:p>
        </w:tc>
        <w:tc>
          <w:tcPr>
            <w:tcW w:w="146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(153,535)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(113,746)</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0"/>
              </w:rPr>
              <w:t>(120,525)</w:t>
            </w:r>
          </w:p>
        </w:tc>
        <w:tc>
          <w:tcPr>
            <w:tcW w:w="4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(2,000)</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(118,525)</w:t>
            </w:r>
          </w:p>
        </w:tc>
        <w:tc>
          <w:tcPr>
            <w:tcW w:w="54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(68,359)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7"/>
          </w:tcPr>
          <w:p>
            <w:pPr>
              <w:ind w:left="20"/>
              <w:spacing w:after="0"/>
              <w:rPr>
                <w:sz w:val="20"/>
                <w:szCs w:val="20"/>
                <w:color w:val="auto"/>
              </w:rPr>
            </w:pPr>
            <w:r>
              <w:rPr>
                <w:rFonts w:ascii="Arial" w:cs="Arial" w:eastAsia="Arial" w:hAnsi="Arial"/>
                <w:sz w:val="14"/>
                <w:szCs w:val="14"/>
                <w:b w:val="1"/>
                <w:bCs w:val="1"/>
                <w:color w:val="auto"/>
                <w:w w:val="86"/>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Headcount (c):</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420"/>
              <w:spacing w:after="0" w:line="149" w:lineRule="exact"/>
              <w:rPr>
                <w:sz w:val="20"/>
                <w:szCs w:val="20"/>
                <w:color w:val="auto"/>
              </w:rPr>
            </w:pPr>
            <w:r>
              <w:rPr>
                <w:rFonts w:ascii="Arial" w:cs="Arial" w:eastAsia="Arial" w:hAnsi="Arial"/>
                <w:sz w:val="14"/>
                <w:szCs w:val="14"/>
                <w:color w:val="auto"/>
              </w:rPr>
              <w:t>Managing Directors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Limited Managing Directors</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420"/>
              <w:spacing w:after="0" w:line="149" w:lineRule="exact"/>
              <w:rPr>
                <w:sz w:val="20"/>
                <w:szCs w:val="20"/>
                <w:color w:val="auto"/>
              </w:rPr>
            </w:pPr>
            <w:r>
              <w:rPr>
                <w:rFonts w:ascii="Arial" w:cs="Arial" w:eastAsia="Arial" w:hAnsi="Arial"/>
                <w:sz w:val="14"/>
                <w:szCs w:val="14"/>
                <w:color w:val="auto"/>
              </w:rPr>
              <w:t>Other Employees: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Business segment professionals</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40" w:type="dxa"/>
            <w:vAlign w:val="bottom"/>
          </w:tcPr>
          <w:p>
            <w:pPr>
              <w:ind w:left="860"/>
              <w:spacing w:after="0" w:line="149" w:lineRule="exact"/>
              <w:rPr>
                <w:sz w:val="20"/>
                <w:szCs w:val="20"/>
                <w:color w:val="auto"/>
              </w:rPr>
            </w:pPr>
            <w:r>
              <w:rPr>
                <w:rFonts w:ascii="Arial" w:cs="Arial" w:eastAsia="Arial" w:hAnsi="Arial"/>
                <w:sz w:val="14"/>
                <w:szCs w:val="14"/>
                <w:color w:val="auto"/>
                <w:w w:val="91"/>
              </w:rPr>
              <w:t>All other professionals and support staff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607</w:t>
            </w:r>
          </w:p>
        </w:tc>
        <w:tc>
          <w:tcPr>
            <w:tcW w:w="220" w:type="dxa"/>
            <w:vAlign w:val="bottom"/>
          </w:tcPr>
          <w:p>
            <w:pPr>
              <w:spacing w:after="0"/>
              <w:rPr>
                <w:sz w:val="13"/>
                <w:szCs w:val="13"/>
                <w:color w:val="auto"/>
              </w:rPr>
            </w:pPr>
          </w:p>
        </w:tc>
        <w:tc>
          <w:tcPr>
            <w:tcW w:w="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640</w:t>
            </w:r>
          </w:p>
        </w:tc>
        <w:tc>
          <w:tcPr>
            <w:tcW w:w="100" w:type="dxa"/>
            <w:vAlign w:val="bottom"/>
          </w:tcPr>
          <w:p>
            <w:pPr>
              <w:spacing w:after="0"/>
              <w:rPr>
                <w:sz w:val="13"/>
                <w:szCs w:val="13"/>
                <w:color w:val="auto"/>
              </w:rPr>
            </w:pPr>
          </w:p>
        </w:tc>
        <w:tc>
          <w:tcPr>
            <w:tcW w:w="2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633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624</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656</w:t>
            </w:r>
          </w:p>
        </w:tc>
        <w:tc>
          <w:tcPr>
            <w:tcW w:w="1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820" w:hanging="452"/>
        <w:spacing w:after="0" w:line="25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portion of the 2009 and 2008 special items attributable to the Corporate segment (see Note 23 of Notes to Consolidated Financial Statements).</w:t>
      </w:r>
    </w:p>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headcount related to support functions.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77"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As reflected in the table of operating results of the Corporate segment above, the 2009 and 2008 special items had a significant impact on the segment’s reported operating results in such years. Lazard management believes that comparisons between years are most meaningful after excluding the impact such item.</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Year Ended December 31, 2009 versus December 31, 2008</w:t>
      </w:r>
    </w:p>
    <w:p>
      <w:pPr>
        <w:spacing w:after="0" w:line="7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Net interest expense in the year ended December 31, 2009 increased $4 million, or 5%, as compared to 2008. During 2009, interest income declined $35 million due to a lower interest rate environment, a decrease in the balance of interest earning assets at LFB as well as lower average cash balances. Average cash decreased as a result of the share repurchases of Class A common stock as well as the repurchase of a portion of the Company’s outstanding 6.85% and 7.125% senior notes. The decrease in interest income was substantially offset by lower interest expense in 2009 of $31 million, principally as a result of the reduction in interest expense related to the Company’s May 2008 purchase of $437 million aggregate principal amount of its 6.12% senior notes in connection with the remarketing of such notes and by the above-mentioned repurchases of senior notes, as well as a lower interest rate environment and reduced levels of LFB’s customer deposits.</w:t>
      </w:r>
    </w:p>
    <w:p>
      <w:pPr>
        <w:spacing w:after="0" w:line="10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Other revenue increased $28 million in the year ended December 31, 2009, as compared to 2008, principally due to investment income in 2009 of $18 million in the Company’s investment portfolio, versus an aggregate loss of $53 million in 2008 in LFB’s corporate debt portfolio (redesignated as “available-for-sale” effective July 1, 2008) and the Company’s investment portfolio. With respect to the latter, during 2009, the Company had in place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 hedging strategy to minimize its risks associated with volatility in the equity markets. Other factors contributing to the increase were revenues from various other investments of $7 million in 2009 versus losses of $5 million in 2008, partially offset by (i) a $13 million charge relating to the write-off of the Company’s investment in warrants of Sapphire, (ii) a $20 million gain in 2008 on the repurchase of a portion of the Company’s senior notes and (iii) a $24 million gain in 2008 from a foreign currency transaction.</w:t>
      </w:r>
    </w:p>
    <w:p>
      <w:pPr>
        <w:spacing w:after="0" w:line="13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Operating expenses for 2009 increased $171 million, as compared to 2008, principally due to the 2009 special items attributable to the Corporate segment. When excluding the impact of the 2009 and 2008 special items, operating expenses increased $19 million, or 54%, in 2009. Factors contributing to the increase were principally due to the change in the Company’s compensation policy described above, as well as an increase in the amortization expense associated with the current year portion of previously awarded deferred cash incentive awards, which were partially offset by the $12 million provision for counterparty defaults in 2008.</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Year Ended December 31, 2008 versus December 31, 2007</w:t>
      </w:r>
    </w:p>
    <w:p>
      <w:pPr>
        <w:spacing w:after="0" w:line="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Net interest expense in the year ended December 31, 2008 increased $8 million, or 12%, as compared to 2007. Lower interest income was the principal contributing factor to the decline, due to lower average cash balances and a lower interest rate environment. Average cash decreased as a result of the share repurchases of Lazard Ltd’s Class A common stock as well as the repurchase of a portion of the Company’s outstanding 6.85% and 7.125% senior notes. Interest expense increased principally as a result of the June 2007 issuance of the aforementioned 6.85% senior notes, partially offset by the reduction in interest expense related to the Company’s May 2008 purchase of $437 million aggregate principal amount of its 6.12% senior notes in connection with the remarketing of such notes and by the repayment of certain senior and subordinated notes in June 2007.</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Other revenue declined $27 million in the year ended December 31, 2008, as compared to 2007, due to the extraordinary disruption and volatility in the equity and credit markets during 2008 which adversely impacted investment income. The decline in other revenue as compared to 2007 reflects a $60 million decrease in investment income due to losses and markdowns in the first quarter of 2008 of LFB’s corporate debt portfolio held as an integral part of its asset-liability management program, net unrealized losses in the Company’s investment portfolio, and a $12 million write-down of private equity investments (primarily in the fourth quarter of 2008), partially offset by a $20 million gain from the repurchase of a portion of the Company’s senior notes and a $24 million gain from a foreign currency transaction. Other revenue in 2007 included $14 million of unrealized gains on private equity investments and a $9 million gain in connection with the Company’s share in the net proceeds related to the sale of a portion of LFCM Holdings’ ownership interest in PG&amp;C (see Note 21 of Notes to Consolidated Financial Statements.)</w:t>
      </w:r>
    </w:p>
    <w:p>
      <w:pPr>
        <w:spacing w:after="0" w:line="10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Operating expenses for 2008 increased $17 million, as compared to 2007, including the $2 million charge relating to the 2008 special item attributable to the Corporate segment, and increases in other operating expenses in 2008 of $15 million, or 76%, as compared to 2007. The increase in operating expenses in 2008 was principally due to a provision of $12 million for losses from counterparty defaults primarily relating to the bankruptcy of one of our prime brokers and in professional fees for legal expenses related to various corporate activities during 2008. Decreases in compensation and benefits resulting from lower operating revenue were offset by increases in various other expense categories.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Company’s cash flows are influenced by the timing of the receipt of Financial Advisory and Asset Management fees, the timing of distributions to members and payments of incentive compensation to managing directors and employees. M&amp;A, Strategic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Lazard Group traditionally pays a significant portion of its incentive compensation during the first four months of each calendar year with respect to the prior year’s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2009</w:t>
            </w: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 in millions)</w:t>
            </w: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1"/>
              </w:rPr>
              <w:t>(213.7)</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9000" w:type="dxa"/>
            <w:vAlign w:val="bottom"/>
            <w:gridSpan w:val="2"/>
          </w:tcPr>
          <w:p>
            <w:pPr>
              <w:ind w:left="440"/>
              <w:spacing w:after="0"/>
              <w:rPr>
                <w:sz w:val="20"/>
                <w:szCs w:val="20"/>
                <w:color w:val="auto"/>
              </w:rPr>
            </w:pPr>
            <w:r>
              <w:rPr>
                <w:rFonts w:ascii="Arial" w:cs="Arial" w:eastAsia="Arial" w:hAnsi="Arial"/>
                <w:sz w:val="18"/>
                <w:szCs w:val="18"/>
                <w:color w:val="auto"/>
              </w:rPr>
              <w:t>Noncash charges (a)</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390.6</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292.4</w:t>
            </w: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0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271.4</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602.6</w:t>
            </w:r>
          </w:p>
        </w:tc>
        <w:tc>
          <w:tcPr>
            <w:tcW w:w="0" w:type="dxa"/>
            <w:vAlign w:val="bottom"/>
          </w:tcPr>
          <w:p>
            <w:pPr>
              <w:spacing w:after="0"/>
              <w:rPr>
                <w:sz w:val="1"/>
                <w:szCs w:val="1"/>
                <w:color w:val="auto"/>
              </w:rPr>
            </w:pPr>
          </w:p>
        </w:tc>
      </w:tr>
      <w:tr>
        <w:trPr>
          <w:trHeight w:val="217"/>
        </w:trPr>
        <w:tc>
          <w:tcPr>
            <w:tcW w:w="9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 (c)</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(96.6)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16"/>
        </w:trPr>
        <w:tc>
          <w:tcPr>
            <w:tcW w:w="9000" w:type="dxa"/>
            <w:vAlign w:val="bottom"/>
            <w:gridSpan w:val="2"/>
          </w:tcPr>
          <w:p>
            <w:pPr>
              <w:ind w:left="440"/>
              <w:spacing w:after="0"/>
              <w:rPr>
                <w:sz w:val="20"/>
                <w:szCs w:val="20"/>
                <w:color w:val="auto"/>
              </w:rPr>
            </w:pPr>
            <w:r>
              <w:rPr>
                <w:rFonts w:ascii="Arial" w:cs="Arial" w:eastAsia="Arial" w:hAnsi="Arial"/>
                <w:sz w:val="18"/>
                <w:szCs w:val="18"/>
                <w:color w:val="auto"/>
              </w:rPr>
              <w:t>Financing activities (d)</w:t>
            </w:r>
          </w:p>
        </w:tc>
        <w:tc>
          <w:tcPr>
            <w:tcW w:w="12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w w:val="91"/>
              </w:rPr>
              <w:t>(207.4)</w:t>
            </w: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(480.9)</w:t>
            </w: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0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8"/>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Year</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907.3</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1,000.6</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899.7</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907.3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7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900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1100" w:type="dxa"/>
            <w:vAlign w:val="bottom"/>
          </w:tcPr>
          <w:p>
            <w:pPr>
              <w:spacing w:after="0"/>
              <w:rPr>
                <w:sz w:val="10"/>
                <w:szCs w:val="10"/>
                <w:color w:val="auto"/>
              </w:rPr>
            </w:pPr>
          </w:p>
        </w:tc>
        <w:tc>
          <w:tcPr>
            <w:tcW w:w="7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900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371.4</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 benefit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9000" w:type="dxa"/>
            <w:vAlign w:val="bottom"/>
            <w:gridSpan w:val="2"/>
          </w:tcPr>
          <w:p>
            <w:pPr>
              <w:ind w:left="440"/>
              <w:spacing w:after="0"/>
              <w:rPr>
                <w:sz w:val="20"/>
                <w:szCs w:val="20"/>
                <w:color w:val="auto"/>
              </w:rPr>
            </w:pPr>
            <w:r>
              <w:rPr>
                <w:rFonts w:ascii="Arial" w:cs="Arial" w:eastAsia="Arial" w:hAnsi="Arial"/>
                <w:sz w:val="18"/>
                <w:szCs w:val="18"/>
                <w:color w:val="auto"/>
              </w:rPr>
              <w:t>Amortization of intangible assets related to business acquisitions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Non-cash portion of charge related to 2008 special item</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9000" w:type="dxa"/>
            <w:vAlign w:val="bottom"/>
            <w:gridSpan w:val="2"/>
          </w:tcPr>
          <w:p>
            <w:pPr>
              <w:ind w:left="440"/>
              <w:spacing w:after="0"/>
              <w:rPr>
                <w:sz w:val="20"/>
                <w:szCs w:val="20"/>
                <w:color w:val="auto"/>
              </w:rPr>
            </w:pPr>
            <w:r>
              <w:rPr>
                <w:rFonts w:ascii="Arial" w:cs="Arial" w:eastAsia="Arial" w:hAnsi="Arial"/>
                <w:sz w:val="18"/>
                <w:szCs w:val="18"/>
                <w:color w:val="auto"/>
              </w:rPr>
              <w:t>Gain on extinguishment of debt</w:t>
            </w:r>
          </w:p>
        </w:tc>
        <w:tc>
          <w:tcPr>
            <w:tcW w:w="12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100" w:hanging="452"/>
        <w:spacing w:after="0" w:line="283"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net changes in operating assets and liabilities relating to increases and decreases between years in both the “deposits and other payables” and “receivables-net” captions on the statements of cash flows and relates primarily to LFB. Included within the “receivables-net” caption on the statements of cash flows are amounts related to LFB’s short-term inter-bank deposits, which represent substantially all of the separately identified amount recorded as “receivables—net: banks” on the Company’s statements of financial condition. The level of these inter-bank deposits is primarily driven by the level of LFB customer and bank-related interest-bearing time and demand deposits, which can fluctuate significantly on a daily basis. As the amount of such deposits change, there is generally a corresponding, but indirect, impact on the level of short-term inter-bank deposits.</w:t>
      </w:r>
    </w:p>
    <w:p>
      <w:pPr>
        <w:spacing w:after="0" w:line="1" w:lineRule="exact"/>
        <w:rPr>
          <w:rFonts w:ascii="Arial" w:cs="Arial" w:eastAsia="Arial" w:hAnsi="Arial"/>
          <w:sz w:val="16"/>
          <w:szCs w:val="16"/>
          <w:color w:val="auto"/>
        </w:rPr>
      </w:pPr>
    </w:p>
    <w:p>
      <w:pPr>
        <w:ind w:left="460" w:right="38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Principally relates to the Edgewater Acquisition and our equity method investment in Sapphire (see Notes 9 and 15 of Notes to Consolidated Financial Statements), purchases and proceeds from sales and maturities of “available-for-sale” and “held-to maturity” securities and the purchase of our equity method investment in Merchant Bankers Asociados.</w:t>
      </w:r>
    </w:p>
    <w:p>
      <w:pPr>
        <w:spacing w:after="0" w:line="1" w:lineRule="exact"/>
        <w:rPr>
          <w:rFonts w:ascii="Arial" w:cs="Arial" w:eastAsia="Arial" w:hAnsi="Arial"/>
          <w:sz w:val="18"/>
          <w:szCs w:val="18"/>
          <w:color w:val="auto"/>
        </w:rPr>
      </w:pPr>
    </w:p>
    <w:p>
      <w:pPr>
        <w:ind w:left="460" w:right="60" w:hanging="452"/>
        <w:spacing w:after="0" w:line="29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Primarily includes distributions to members and noncontrolling interest holders, repurchases of common membership interests from LAZ-MD Holdings and shares of Class A common stock and activity related to borrowings, including, in 2008, the Company’s purchase of $437 million aggregate principal amount of its 6.12% senior notes in connection with the remarketing and the concurrent settlement of the purchase contract component of the equity security units (“ESUs”), which resulted in Lazard Group issuing 14,582,750 common membership interests for aggregate proceeds of $438 million, as well as the repurchase in 2008 and 2009 of a portion of the Company’s outstanding 6.85% and 7.125% senior notes.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agreements and equity offerings.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Net revenue, operating income (loss) and cash receipts fluctuate significantly between quarters. In the case of Financial Advisory, fee receipts are principally dependent upon the successful completion of client transactions, the occurrence and timing of which is irregular and not subject to Lazard’s control. In the case of Asset Management, incentive fees earned on AUM are generally not earned until the end of the applicable measurement period, which is generally the fourth quarter of Lazard’s fiscal year, with the respective receivable collected in the first quarter of the following year.</w:t>
      </w:r>
    </w:p>
    <w:p>
      <w:pPr>
        <w:spacing w:after="0" w:line="9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Liquidity is significantly impacted by incentive compensation payments, a significant portion of which historically have been made during the first four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3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consolidated statements of operations.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regularly monitor our liquidity position, including cash levels, credit lines, principal investment commitments, interest and principal payments on debt, capital expenditures and matters relating to liquidity and to compliance with regulatory net capital requirements. At December 31, 2009, Lazard had approximately $1.1 billion of cash and liquid securities, including $148 million of U.S. government debt and agencies securities and $82 million of investments in marketable equity securities and public and private asset management funds. We maintain lines of credit in excess of anticipated liquidity requirements. As of December 31, 2009, Lazard had approximately $262 million in unused lines of credit available to it, including a $150 million senior revolving credit facility with a group of lenders that matures in May 2010 (the “Credit Facility”) (see “—Financing” below) and an aggregate of $89 million of unused lines of credit available to LFB and Edgewater. In addition, LFB has access to the Eurosystem Covered Bond Purchase Program of the Banque de France.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Over the past several years, Lazard has entered into several financing agreements designed to strengthen both its capital base and liquidity. Each of these agreements is discussed in more detail in our consolidated financial statements and related notes included elsewhere in this Form 10-K. The table below sets forth our corporate indebtedness as of December 31, 2009 and 2008.</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9"/>
              </w:rPr>
              <w:t>Maturity</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86"/>
              </w:rPr>
              <w:t>As of December 31,</w:t>
            </w: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Increase</w:t>
            </w:r>
          </w:p>
        </w:tc>
      </w:tr>
      <w:tr>
        <w:trPr>
          <w:trHeight w:val="142"/>
        </w:trPr>
        <w:tc>
          <w:tcPr>
            <w:tcW w:w="11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Date</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6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3"/>
              </w:rPr>
              <w:t>(Decrease)</w:t>
            </w:r>
          </w:p>
        </w:tc>
        <w:tc>
          <w:tcPr>
            <w:tcW w:w="10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0" w:type="dxa"/>
            <w:vAlign w:val="bottom"/>
            <w:gridSpan w:val="6"/>
          </w:tcPr>
          <w:p>
            <w:pPr>
              <w:jc w:val="center"/>
              <w:ind w:right="46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7.125%</w:t>
            </w:r>
          </w:p>
        </w:tc>
        <w:tc>
          <w:tcPr>
            <w:tcW w:w="64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4"/>
              </w:rPr>
              <w:t>2015</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  538.5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538.5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6.85%(a)</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2017</w:t>
            </w: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548.4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549.3</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3.25%(b)</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2016</w:t>
            </w:r>
          </w:p>
        </w:tc>
        <w:tc>
          <w:tcPr>
            <w:tcW w:w="440" w:type="dxa"/>
            <w:vAlign w:val="bottom"/>
            <w:gridSpan w:val="2"/>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4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7620" w:type="dxa"/>
            <w:vAlign w:val="bottom"/>
            <w:gridSpan w:val="2"/>
          </w:tcPr>
          <w:p>
            <w:pPr>
              <w:spacing w:after="0"/>
              <w:rPr>
                <w:sz w:val="20"/>
                <w:szCs w:val="20"/>
                <w:color w:val="auto"/>
              </w:rPr>
            </w:pPr>
            <w:r>
              <w:rPr>
                <w:rFonts w:ascii="Arial" w:cs="Arial" w:eastAsia="Arial" w:hAnsi="Arial"/>
                <w:sz w:val="18"/>
                <w:szCs w:val="18"/>
                <w:color w:val="auto"/>
              </w:rPr>
              <w:t>Total Senior and Subordinated Debt</w:t>
            </w:r>
          </w:p>
        </w:tc>
        <w:tc>
          <w:tcPr>
            <w:tcW w:w="540" w:type="dxa"/>
            <w:vAlign w:val="bottom"/>
          </w:tcPr>
          <w:p>
            <w:pPr>
              <w:spacing w:after="0"/>
              <w:rPr>
                <w:sz w:val="19"/>
                <w:szCs w:val="19"/>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1,236.9</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1,237.8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r>
      <w:tr>
        <w:trPr>
          <w:trHeight w:val="20"/>
        </w:trPr>
        <w:tc>
          <w:tcPr>
            <w:tcW w:w="1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40" w:hanging="452"/>
        <w:spacing w:after="0" w:line="25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the year ended December 31, 2009, the Company repurchased $0.9 million principal amount of its 6.85% Senior Notes due in 2017, and recognized an aggregate gain of $0.3 million in “revenue-other”.</w:t>
      </w:r>
    </w:p>
    <w:p>
      <w:pPr>
        <w:jc w:val="both"/>
        <w:ind w:left="460" w:right="220" w:hanging="452"/>
        <w:spacing w:after="0" w:line="302"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Convertible into shares of Class A common stock at an effective conversion price of $57 per share. One third in principal amount became convertible on and after July 1, 2008, an additional one third in principal amount became convertible on and after July 1, 2009, and a final one third in principal amount will become convertible on and after July 1, 2010, with no principal amounts convertible after June 30, 2011.</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Lazard has not had an outstanding balance under its Credit Facility since June 30, 2006. We believe that our cash flows from operating activities, along with the use of our credit lines as needed, should be sufficient for us to fund our current obligations for the next 12 months and beyond.</w:t>
      </w:r>
    </w:p>
    <w:p>
      <w:pPr>
        <w:spacing w:after="0" w:line="127"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 owing to the lending bank group, the Credit Facility includes financial condition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December 31, 2009 Lazard Group was in compliance with such ratios, with its Consolidated Leverage Ratio being 2.76 to</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1.00 and its Consolidated Interest Coverage Ratio being 5.35 to 1.00. Notwithstanding such compliance, no amounts were outstanding under the Credit Facility as of December 31, 2009.</w:t>
      </w:r>
    </w:p>
    <w:p>
      <w:pPr>
        <w:spacing w:after="0" w:line="12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In addition, the Credit Facility, indenture and supplemental indentures relating to Lazard Group’s senior notes, as well as its $150 Million Subordinated Convertible Note, contain certain other covenants (none of which relate to financial condition), events of default and other customary provisions. At December 31, 2009,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Group’s senior debt is currently rated BBB– (stable outlook) by both Standard &amp; Poor’s and Fitch Ratings and Bal by Moody’s Investors Service.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On February 2, 2010, Moody’s announced that they had placed the ratings of Lazard Group on review for possible downgrade.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14 of Notes to Consolidated Financial Statements for additional information regarding senior and subordinated debt.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Equity</w:t>
      </w:r>
    </w:p>
    <w:p>
      <w:pPr>
        <w:spacing w:after="0" w:line="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At December 31, 2009, total members’ equity was $283 million as compared to $127 million at December 31, 2008, including $128 million and $21 million of noncontrolling interests on the respective dates. The increase in members’ equity of $156 million in the year ended December 31, 2009 was principally due to (i) amortization of RSUs and deferred stock units (“DSUs”) amounting to $358 million, (ii) increases in AOCI (including noncontrolling interests’ portion thereof) of $63 million, (iii) common membership interests issued in connection with business acquisitions of $32 million, and (iv) adjustments related to business acquisitions and related amortization of $11 million, with these items partially offset by (i) a net loss of $214 million, (ii) purchases of Lazard Ltd Class A common stock of $50 million, (iii) acquisitions of (net of distributions) to members and noncontrolling interests of $17 million, (iv) $13 million principally for withholding taxes related to the delivery of Lazard Ltd Class A common stock in connection with the settlement of vested RSUs, and (v) the repurchase of common membership interests from LAZ-MD Holdings of $13 million. The increases in AOCI described above are due primarily to (i) net positive foreign currency translation adjustments of $63 million and (ii) net mark-ups of $29 million related to securities designated as “available-for-sale”, with these items partially offset by adjustments to employee benefit plans of $30 million.</w:t>
      </w:r>
    </w:p>
    <w:p>
      <w:pPr>
        <w:spacing w:after="0" w:line="10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the year ended December 31, 2009, the Company repurchased 1,984,997 shares of Class A common stock and 500,924 Lazard Group common membership interests for an aggregate cost of approximately $64 million. At December 31, 2009, $63 million of the initial $500 million share purchase authorization was unused and expired. On January 27, 2010, the Board of Directors of Lazard Ltd authorized, on a cumulative basis, a new share repurchase program permitting the repurchase of up to $200 million in aggregate cost of its Class A common stock and Lazard Group common membership interests through December 31, 2011 (see Note 16 of Notes to Consolidated Financial Statements for information regarding the share repurchase program).</w:t>
      </w:r>
    </w:p>
    <w:p>
      <w:pPr>
        <w:spacing w:after="0" w:line="102" w:lineRule="exact"/>
        <w:rPr>
          <w:sz w:val="20"/>
          <w:szCs w:val="20"/>
          <w:color w:val="auto"/>
        </w:rPr>
      </w:pPr>
    </w:p>
    <w:p>
      <w:pPr>
        <w:ind w:right="100" w:firstLine="456"/>
        <w:spacing w:after="0" w:line="305" w:lineRule="auto"/>
        <w:rPr>
          <w:sz w:val="20"/>
          <w:szCs w:val="20"/>
          <w:color w:val="auto"/>
        </w:rPr>
      </w:pPr>
      <w:r>
        <w:rPr>
          <w:rFonts w:ascii="Arial" w:cs="Arial" w:eastAsia="Arial" w:hAnsi="Arial"/>
          <w:sz w:val="15"/>
          <w:szCs w:val="15"/>
          <w:color w:val="auto"/>
        </w:rPr>
        <w:t>At December 31, 2008, total members’ equity was $127 million as compared to $25 million at December 31, 2007, including $21 million and $52 million of noncontrolling interests on the respective dates. The increase in members’ equity of $102 million in the year ended December 31, 2009 was principally due to</w:t>
      </w:r>
    </w:p>
    <w:p>
      <w:pPr>
        <w:ind w:right="380" w:firstLine="8"/>
        <w:spacing w:after="0" w:line="300" w:lineRule="auto"/>
        <w:tabs>
          <w:tab w:leader="none" w:pos="21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to the issuance on May 15, 2008 of 14,582,750 common membership interests in connection with the settlement of the $438 million of purchase contracts forming part of the ESUs (see Note 16 of Notes to Consolidated Financial Statements), (ii) amortization of RSUs and DSUs amounting to $235 million,</w:t>
      </w:r>
    </w:p>
    <w:p>
      <w:pPr>
        <w:ind w:right="60" w:firstLine="8"/>
        <w:spacing w:after="0" w:line="288" w:lineRule="auto"/>
        <w:tabs>
          <w:tab w:leader="none" w:pos="307"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common membership interests issued in connection with business acquisitions of $18 million, (iv) net income of $12 million, and (v) adjustments related to business acquisitions and related amortization of $4 million, with these items partially offset by (i) purchases of Lazard Ltd Class A common stock of $277 million, (ii) distributions to members and noncontrolling interests of $145 million, (iii) decreases in AOCI (including noncontrolling interests’ portion thereof) of $177 million, (iv) $4 million principally for withholding taxes related to the delivery of Lazard Ltd Class A common stock in connection with the settlement of vested RSUs, and (v) the repurchase of common membership interests from LAZ-MD Holdings of $3 million. The decreases in AOCI described above are due primarily to (i) net negative foreign currency translation adjustments of $152 million and (ii) net mark-downs of $41 million related to securities designated as “available-for-sale”, with these items partially offset by adjustments to employee benefit plans of $14 million.</w:t>
      </w:r>
    </w:p>
    <w:p>
      <w:pPr>
        <w:spacing w:after="0" w:line="10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September 3, 2008, certain selling shareholders of Lazard Ltd (which include current and former managing directors of Lazard and certain of our executive officers) and their permitted transferees (the “2008 Selling Shareholders”) sold 6,442,721 shares, of Class A common stock to the public. Pursuant to the underwriting agreement and the pricing agreement, the underwriters had the option to purchase up to an additional 715,858 shares of Class A common stock (together with the offering of 6,442,721 shares of Class A common stock (the “2008 Secondary Offering”)) from the 2008 Selling Shareholders. To the extent that this option was not exercised in full, Lazard Group agreed to separately purchase from the 2008 Selling Shareholders, at the public offering price less the underwriting discount, all of those shares covered by the option and not purchased pursuant to the option. Pursuant to that separate purchase agreement, Lazard Group purchased 68,238 shares of Class A common stock for an aggregate cost of $2.43 million ($35.61 per share). In addition, pursuant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to the underwriting agreement, Lazard Group also separately purchased 715,858 shares of Class A common stock from the 2008 Selling Shareholders for an aggregate cost of $25.49 million ($35.61 per share). The shares of Class A common stock described in this paragraph purchased by Lazard Group were purchased as part of the share repurchase program (see Note 16 of Notes to Consolidated Financial Statements). In the aggregate, the 2008 Selling Shareholders sold a total of 7,874,437 shares of Class A common stock (including 1,472,906 shares of Class A common stock previously exchanged for LAZ-MD Holdings exchangeable interests and 6,401,531 shares of Class A common stock exchanged for LAZ-MD Holdings interests simultaneously with the 2008 Secondary Offering).</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June 2009, pursuant to a Prospectus Supplement dated June 2, 2009, certain selling shareholders of Lazard Ltd (which include current and former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managing directors of Lazard and certain of our executive officers) and their permitted transferees (the “June 2009 Selling Shareholders”) sold 4,000,000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Class A common stock at a price of $26.00 per share (the “June 2009 Secondary Offering”). Separately, in connection with the June 2009 Secondary Offering,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Lazard Group agreed to purchase from the June 2009 Selling Shareholders 1,700,000 shares of Class A common stock for an aggregate cost of $44.20 million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($26.00 per share), with such purchase being part of the share repurchase program. In the aggregate, the June 2009 Selling Shareholders sold a total of 5,700,000</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shares of Class A common stock (including 2,110,754 shares of Class A common stock previously received upon the exchange of a like number of LAZ-MD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Holdings exchangeable interests and 3,589,246 shares of Class A common stock received upon a simultaneous exchange of a like number of LAZ-MD Holdings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exchangeable interests).</w:t>
      </w:r>
    </w:p>
    <w:p>
      <w:pPr>
        <w:spacing w:after="0" w:line="15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September 2009, pursuant to a Prospectus Supplement dated September 8, 2009, certain selling shareholders of Lazard Ltd (which include current and former managing directors of Lazard and certain of our executive officers) and their permitted transferees (the “September 2009 Selling Shareholders”) sold 5,215,921 shares of Class A common stock (including 2,411,001 shares of Class A common stock previously received upon the exchange of a like number of LAZ-MD Holdings exchangeable interests and 2,804,920 shares of Class A common stock received upon a simultaneous exchange of a like number of LAZ-MD Holdings exchangeable interests) at a price of $37.00 per share (the “September 2009 Secondary Offering”, together with the June 2009 Secondary Offering, the “2009 Secondary Offerings”).</w:t>
      </w:r>
    </w:p>
    <w:p>
      <w:pPr>
        <w:spacing w:after="0" w:line="13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the simultaneous exchanges that occurred in connection with the 2008 Secondary Offering and 2009 Secondary Offerings (collectively, the “2008 and 2009 Secondary Offerings”), during 2008 and 2009 Lazard Ltd issued 2,910,657 and 7,523,236 shares of Class A common stock, respectively, in connection with the exchange of a like number of common membership interests of Lazard Group (received from members of LAZ-MD Holdings in exchange for a like number of LAZ-MD Holdings exchangeable interests).</w:t>
      </w:r>
    </w:p>
    <w:p>
      <w:pPr>
        <w:spacing w:after="0" w:line="13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Lazard Ltd did not receive any proceeds from the sale of common stock in the 2008 and 2009 Secondary Offerings or the above-mentioned exchanges of shares. See Note 16 of Notes to Financial Statements for additional information regarding the 2008 and 2009 Secondary Offerings and share exchanges.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83"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affiliates. See Note 22 of Notes to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1-Business—Regulation” included in this Form 10-K.</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December 31, 2009: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10"/>
          </w:tcPr>
          <w:p>
            <w:pPr>
              <w:jc w:val="right"/>
              <w:ind w:right="100"/>
              <w:spacing w:after="0"/>
              <w:rPr>
                <w:sz w:val="20"/>
                <w:szCs w:val="20"/>
                <w:color w:val="auto"/>
              </w:rPr>
            </w:pPr>
            <w:r>
              <w:rPr>
                <w:rFonts w:ascii="Arial" w:cs="Arial" w:eastAsia="Arial" w:hAnsi="Arial"/>
                <w:sz w:val="14"/>
                <w:szCs w:val="14"/>
                <w:b w:val="1"/>
                <w:bCs w:val="1"/>
                <w:color w:val="auto"/>
                <w:w w:val="88"/>
              </w:rPr>
              <w:t>Contractual Obligations Payment Due by Period</w:t>
            </w: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82"/>
              </w:rPr>
              <w:t>Less than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right="79"/>
              <w:spacing w:after="0" w:line="129" w:lineRule="exact"/>
              <w:rPr>
                <w:sz w:val="20"/>
                <w:szCs w:val="20"/>
                <w:color w:val="auto"/>
              </w:rPr>
            </w:pPr>
            <w:r>
              <w:rPr>
                <w:rFonts w:ascii="Arial" w:cs="Arial" w:eastAsia="Arial" w:hAnsi="Arial"/>
                <w:sz w:val="14"/>
                <w:szCs w:val="14"/>
                <w:b w:val="1"/>
                <w:bCs w:val="1"/>
                <w:color w:val="auto"/>
                <w:w w:val="92"/>
              </w:rPr>
              <w:t>More than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55"/>
              <w:spacing w:after="0"/>
              <w:rPr>
                <w:sz w:val="20"/>
                <w:szCs w:val="20"/>
                <w:color w:val="auto"/>
              </w:rPr>
            </w:pPr>
            <w:r>
              <w:rPr>
                <w:rFonts w:ascii="Arial" w:cs="Arial" w:eastAsia="Arial" w:hAnsi="Arial"/>
                <w:sz w:val="14"/>
                <w:szCs w:val="14"/>
                <w:b w:val="1"/>
                <w:bCs w:val="1"/>
                <w:color w:val="auto"/>
                <w:w w:val="86"/>
              </w:rPr>
              <w:t>1-3 Years</w:t>
            </w:r>
          </w:p>
        </w:tc>
        <w:tc>
          <w:tcPr>
            <w:tcW w:w="100" w:type="dxa"/>
            <w:vAlign w:val="bottom"/>
          </w:tcPr>
          <w:p>
            <w:pPr>
              <w:spacing w:after="0"/>
              <w:rPr>
                <w:sz w:val="14"/>
                <w:szCs w:val="14"/>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b w:val="1"/>
                <w:bCs w:val="1"/>
                <w:color w:val="auto"/>
              </w:rPr>
              <w:t>3-5 Years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72"/>
              </w:rPr>
              <w:t>($ in thousands)</w:t>
            </w: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and Subordinated Debt (including interest) (a)</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1,766,152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80,805</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161,610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$161,610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Operating Leases (exclusive of $101,017 of sublease income) (b)</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422,929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65,164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103,779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58,943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195,043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LAM Merger cash consideration (c)</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90,348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Capital Leases (including interest) (b)</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31,723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6,980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5,839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Funding Commitments (b)</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Deferred cash incentive awards (d)</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94,868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94,868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2,415,296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253,569</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362,999</w:t>
            </w:r>
          </w:p>
        </w:tc>
        <w:tc>
          <w:tcPr>
            <w:tcW w:w="8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8"/>
              </w:rPr>
              <w:t>$226,392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$1,572,336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 Note 14 of Notes to Consolidated Financial Statements.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 Note 15 of Notes to Consolidated Financial Statements.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 Note 8 of Notes to Consolidated Financial Statements.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 Note 17 of Notes to Consolidated Financial Statements.</w:t>
      </w:r>
    </w:p>
    <w:p>
      <w:pPr>
        <w:spacing w:after="0" w:line="9"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table above excludes contingent obligations and any possible payments for uncertain tax positions given the inability to estimate the timing of the latter payments. See Notes 15, 17, 18 and 20 of Notes to Consolidated Financial Statements regarding information in connection with commitments, incentive plans, employee benefit plans and income taxes.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8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do not believe inflation will significantly affect our compensation costs as they are substantially variable in nature. However, the rate of inflation may affect certain of our other expenses, such as information technology and occupancy costs. To the extent inflation results in rising interest rates and has other effects upon the securities markets, it may adversely affect our financial position and results of operations by reducing AUM, net revenue or otherwise. See “Risk Factors—Other Business Risks—Difficult market conditions can adversely affect our business in many ways, including by reducing the volume of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consolidated financial statements, which have been prepared in conformity with accounting principles generally accepted in the United States of America.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compensation liabilities, income taxes, investing activities and goodwill. Lazard bases these estimates on historical experience and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10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37" w:lineRule="exact"/>
        <w:rPr>
          <w:sz w:val="20"/>
          <w:szCs w:val="20"/>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18"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For hedge funds, incentive fees are calculated based on a specified percentage of a fund’s net appreciation, in some cases in excess of established benchmarks. The Company records incentive fees on traditional products and hedge funds at the end of the relevant performance measurement period, when potential uncertainties regarding the ultimate realizable amounts have been determined. The performance fee measurement period is generally an annual period (unless an account terminates during the year), and therefore such incentive fees are usually recorded in the fourth quarter of Lazard’s fiscal year. These incentive fees received at the end of the measurement period are not subject to reversal or payback. Incentive fees on hedge funds generally are subject to loss carryforward provisions in which losses incurred by the funds in any year are applied against certain future period net appreciation before any incentive fees can be earned.</w:t>
      </w:r>
    </w:p>
    <w:p>
      <w:pPr>
        <w:spacing w:after="0" w:line="91"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recorded until potential uncertainties regarding the ultimate realizable amounts have been determined, including any potential for clawback.</w:t>
      </w:r>
    </w:p>
    <w:p>
      <w:pPr>
        <w:spacing w:after="0" w:line="13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in Lazard’s judgment, collection of a fee is not probable, Lazard will not recognize revenue until the uncertainty is removed. We maintain an allowance for bad debts to provide coverage for estimated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which may include situations where a fee is in dispute or litigation has commenced.</w:t>
      </w:r>
    </w:p>
    <w:p>
      <w:pPr>
        <w:spacing w:after="0" w:line="9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0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At December 31, 2009 and 2008, the Company had receivables past due of approximately $14 million and $18 million, respectively, and its allowance for doubtful accounts was $12 million and $16 million, respectively.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As part of the process of preparing its consolidated financial statements, Lazard is required to estimate its income taxes in each of the jurisdictions in which it operates. This process requires Lazard to estimate its actual current tax liability and to assess temporary differences resulting from differing book versus tax treatment of items, such as deferred revenue, compensation and benefits expense, unrealized gains or losses on investments and depreciation. These temporary differences result in deferred tax assets and liabilities, which are included within Lazard’s consolidated statements of financial condition. Significant management judgment is required in determining Lazard’s provision for income taxes, its deferred tax assets and liabilities and any valuation allowance recorded against its net deferred tax assets. At December 31, 2009, the Company recorded deferred tax assets of approximately $177 million, with such amount partially offset by a valuation allowance of approximately $110 million due to the uncertainty of realizing the benefits of the book versus tax basis differences and certain net operating loss carry-forwards. In assessing the realizability of deferred tax assets, management considers whether it is more likely than not that some portion or all of the deferred tax assets will be realized and, when necessary, valuation allowances are established. The ultimate realization of the deferred tax assets is dependent upon the generation of future taxable income during the periods in which temporary differences become deductible. Management considers the level of historical taxable income, scheduled reversals of deferred taxes, projected future taxable income and tax planning strategies that can be implemented by the Company in making this assessment. If actual results differ from these estimates or Lazard adjusts these estimates in future periods, Lazard may need to adjust its valuation allowance, which could materially impact Lazard’s consolidated financial position and results of operations. Furthermore, management applies the more likely than not criteria prior to the recognition of a financial statement benefit of a tax position taken or expected to be taken in a tax return with respect to uncertainties in income taxes.</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Tax contingencies can involve complex issues and may require an extended period of time to resolve. Changes in the geographic mix or estimated level of annual pre-tax income can affect Lazard’s overall effective tax rate. Significant management judgment is required in determining Lazard’s provision for income taxes, its deferred tax assets and liabilities and any valuation allowance recorded against its net deferred tax assets. Furthermore, Lazard’s interpretation of complex tax laws may impact its recognition and measurement of current and deferred income taxes.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Investments consist principally of debt securities, equities, interests in LAM alternative asset management funds and other private equity investments.</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These investments are carried at either fair value on the consolidated statements of financial condition, with any increases or decreases in fair value reflected (i) in earnings, to the extent held by our broker-dealer subsidiaries or when designated as “trading” securities within our non-broker-dealer subsidiaries, and (ii) in AOCI, to the extent designated as “available-for-sale” securities until such time they are realized and reclassified to earnings, or, if designated as “held-to-maturity” securities, amortized cost on the consolidated statements of financial condition. Any declines in the fair value of “available-for-sale” and “held-to-maturity” securities that are determined to be other than temporary are charged to earnings. As described in Note 5 of Notes to Consolidated Financial Statements, effective July 1, 2008, as permitted under U.S. GAAP, certain debt securities held by LFB, which were previously designated as “trading” securities, were re-designated as “available-for-sale” securities.</w:t>
      </w:r>
    </w:p>
    <w:p>
      <w:pPr>
        <w:spacing w:after="0" w:line="10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Gains and losses on investment positions held, which arise from sales or changes in the fair value of the investments, are not predictable and can cause periodic fluctuations in net income or AOCI and therefore subject Lazard to market and credit risk.</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At December 31, 2009, investments aggregated $802 million (net of securities sold, not yet purchased of $5 million), or 25% of total assets. Included in this amount is $461 million of debt securities, representing 57%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aggregate investments that primarily consist of fixed and floating rate European corporate bonds, U.S. Government and agencies and French government debt securities, all of which subject Lazard to market risk. Approximately 45%, 21%, 14%, 12% and 8% of such debt securities are invested in the government, financial, consumer, industrial and other sectors, respectively. At December 31, 2009, approximately 85% of the corporate bonds held investment grade ratings and approximately $19 million of pre-tax unrealized losses are included in AOCI related to such portfolio.</w:t>
      </w:r>
    </w:p>
    <w:p>
      <w:pPr>
        <w:spacing w:after="0" w:line="9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Also included in the $803 million of aggregate investments were $77 million, or 10%, of investments in equities (net of securities sold, not yet purchased) all of which subject the Company to market risk. Approximately 60% of such amount represents the Company’s investment in marketable equity securities invested 27%, 25%, 10% and 38% in the consumer, financial, industrial and other sectors, respectively. Asset Management fund investments represent the remaining 40% of total equities. The Company’s asset management fund investments are diversified and may incorporate particular strategies; however, there are no investments in funds with single sector specific strategies.</w:t>
      </w:r>
    </w:p>
    <w:p>
      <w:pPr>
        <w:spacing w:after="0" w:line="12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addition to the equity securities above, at December 31, 2009 Lazard held $50 million, or 6%, of aggregate investments in LAM alternative asset management funds principally representing GP interests in LAM-managed hedge funds, which subject Lazard to market risk. The fair value of such interests reflects the pro rata value of the ownership of the underlying securities in the funds. Such funds are broadly diversified and may incorporate particular strategies; however, there are no investments in funds with a single sector specific strategy.</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Private equity investments owned by Lazard of $103 million represent approximately 13% of aggregate investments and 3% of total assets at December 31, 2009 and are comprised of investments in private equity funds and direct private equity interests that are generally not subject to short-term market fluctuation, but may subject Lazard to market/credit risk. Private equity investments primarily include (i) a mezzanine fund, which invests in mezzanine debt of a diversified selection of small- to mid-cap European companies (the “mezzanine fund”); (ii) Corporate Partners II Limited, a private equity fund targeting significant noncontrolling investments in established public and private companies; and (iii) Lazard Senior Housing Partners LP, which acquires companies and assets in the senior housing, extended-stay hotel and shopping center sectors.</w:t>
      </w:r>
    </w:p>
    <w:p>
      <w:pPr>
        <w:spacing w:after="0" w:line="107"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The remaining $111 million, or 14%, of aggregate investments at December 31, 2009 represents investments (i) accounted for under the equity method of accounting and (ii) private equity and general partnership interests that are consolidated but not owned by Lazard, and therefore do not subject the Company to market or credit risk. The associated noncontrolling interests are presented within members’ equity” on the consolidated statements of financial condition.</w:t>
      </w:r>
    </w:p>
    <w:p>
      <w:pPr>
        <w:spacing w:after="0" w:line="75" w:lineRule="exact"/>
        <w:rPr>
          <w:sz w:val="20"/>
          <w:szCs w:val="20"/>
          <w:color w:val="auto"/>
        </w:rPr>
      </w:pPr>
    </w:p>
    <w:p>
      <w:pPr>
        <w:jc w:val="both"/>
        <w:ind w:right="100" w:firstLine="456"/>
        <w:spacing w:after="0" w:line="294" w:lineRule="auto"/>
        <w:rPr>
          <w:sz w:val="20"/>
          <w:szCs w:val="20"/>
          <w:color w:val="auto"/>
        </w:rPr>
      </w:pPr>
      <w:r>
        <w:rPr>
          <w:rFonts w:ascii="Arial" w:cs="Arial" w:eastAsia="Arial" w:hAnsi="Arial"/>
          <w:sz w:val="16"/>
          <w:szCs w:val="16"/>
          <w:color w:val="auto"/>
        </w:rPr>
        <w:t>At December 31, 2008, investments aggregated $613 million (net of securities sold, not yet purchased of $7 million), or 21% of total assets. Included in this amount was $333 million of debt securities, representing 54% of aggregate investments that primarily consist of fixed and floating rate European corporate bonds and French government debt securities, all of which subject Lazard to market risk. Approximately 37%, 26%, 10%, 15% and 12% of such debt securities were invested in the financial, industrial, communications, consumer and other sectors, respectively. At December 31, 2008, approximately 92% of the corporate bonds held investment grade ratings and approximately $62 million of pre-tax unrealized losses included in AOCI related to such portfolio.</w:t>
      </w:r>
    </w:p>
    <w:p>
      <w:pPr>
        <w:spacing w:after="0" w:line="10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Also included in the $613 million of aggregate investments were $64 million, or 10%, of investments in equities (net of securities sold, not yet purchased) all of which subject the Company to market risk. Approximately 48% of which represents the Company’s investment in marketable equity securities invested 39%, 30%, 12% and 19% in the consumer, financial, industrial and other sectors, respectively. Asset management fund investments represent the remaining 52% of total equities. The Company’s asset management fund investments are diversified and may incorporate particular strategies; however, there are no investments in funds with single sector specific strategies.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addition to the equity securities above, at December 31, 2008 Lazard had $35 million, or 6%, of aggregate investments in LAM alternative asset management funds, principally representing GP interests in LAM-managed hedge funds, which subject Lazard to market risk. The fair value of such interests reflects the pro rata value of the ownership of the underlying securities in the funds. Such funds are broadly diversified and may incorporate particular strategies; however, there are no investments in funds with a single sector specific strategy.</w:t>
      </w:r>
    </w:p>
    <w:p>
      <w:pPr>
        <w:spacing w:after="0" w:line="13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Private equity investments owned by Lazard of $84 million represent approximately 14% of aggregate investments and 3% of total assets at December 31, 2008 and are comprised of investments in private equity funds and direct private equity interests that are generally not subject to short-term market fluctuation, but may subject Lazard to market/credit risk. Private equity investments primarily include (i) the mezzanine fund; (ii) Corporate Partners II Limited; and (iii) Lazard Senior Housing Partners LP.</w:t>
      </w:r>
    </w:p>
    <w:p>
      <w:pPr>
        <w:spacing w:after="0" w:line="13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remaining $97 million, or 16%, of aggregate investments at December 31, 2008 represented investments (i) accounted for under the equity method of accounting and (ii) general partnership interests that are consolidated but not owned by Lazard, and therefore do not subject the Company to market or credit risk. The associated noncontrolling interests are presented within “members’ equity” on the consolidated statements of financial condition.</w:t>
      </w:r>
    </w:p>
    <w:p>
      <w:pPr>
        <w:spacing w:after="0" w:line="9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increase in the aggregate investments at December 31, 2009 compared to December 31, 2008 of $188 million relates to purchases of investments in U.S. government and agency debt securities, private equity investments that are consolidated but not owned by Lazard related to the Edgewater Acquisition and additional investments in corporate equities to seed Asset Management products, partially offset by sales and maturities in the corporate bond portfolio and the 2009 write-off of our investment in warrants of Sapphire.</w:t>
      </w:r>
    </w:p>
    <w:p>
      <w:pPr>
        <w:spacing w:after="0" w:line="13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January 1, 2008, the Company adopted the required fair value measurements accounting guidance issued by the FASB, which, among other things, defines fair value, establishes a framework for measuring fair value and enhances disclosure requirements about fair value measurements with respect to its financial assets and financial liabilities. Pursuant to such guidance, Lazard categorizes its investments and certain other assets and liabilities recorded at fair value into a three-level fair value hierarchy as follows:</w:t>
      </w:r>
    </w:p>
    <w:p>
      <w:pPr>
        <w:spacing w:after="0" w:line="49"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Level 1. Assets and liabilities whose values are based on unadjusted quoted prices for identical assets or liabilities in an active market that Lazard has the ability to access.</w:t>
      </w:r>
    </w:p>
    <w:p>
      <w:pPr>
        <w:spacing w:after="0" w:line="37" w:lineRule="exact"/>
        <w:rPr>
          <w:sz w:val="20"/>
          <w:szCs w:val="20"/>
          <w:color w:val="auto"/>
        </w:rPr>
      </w:pPr>
    </w:p>
    <w:p>
      <w:pPr>
        <w:ind w:left="460" w:right="120" w:firstLine="438"/>
        <w:spacing w:after="0" w:line="259" w:lineRule="auto"/>
        <w:rPr>
          <w:sz w:val="20"/>
          <w:szCs w:val="20"/>
          <w:color w:val="auto"/>
        </w:rPr>
      </w:pPr>
      <w:r>
        <w:rPr>
          <w:rFonts w:ascii="Arial" w:cs="Arial" w:eastAsia="Arial" w:hAnsi="Arial"/>
          <w:sz w:val="18"/>
          <w:szCs w:val="18"/>
          <w:color w:val="auto"/>
        </w:rPr>
        <w:t>Level 2. Assets and liabilities whose values are based on quoted prices for similar assets or liabilities in an active market, quoted prices for identical or similar assets or liabilities in non-active markets or inputs other than quoted prices that are directly observable or derived principally from or corroborated by market data.</w:t>
      </w:r>
    </w:p>
    <w:p>
      <w:pPr>
        <w:spacing w:after="0" w:line="46" w:lineRule="exact"/>
        <w:rPr>
          <w:sz w:val="20"/>
          <w:szCs w:val="20"/>
          <w:color w:val="auto"/>
        </w:rPr>
      </w:pPr>
    </w:p>
    <w:p>
      <w:pPr>
        <w:ind w:left="460" w:right="20" w:firstLine="438"/>
        <w:spacing w:after="0" w:line="323" w:lineRule="auto"/>
        <w:rPr>
          <w:sz w:val="20"/>
          <w:szCs w:val="20"/>
          <w:color w:val="auto"/>
        </w:rPr>
      </w:pPr>
      <w:r>
        <w:rPr>
          <w:rFonts w:ascii="Arial" w:cs="Arial" w:eastAsia="Arial" w:hAnsi="Arial"/>
          <w:sz w:val="15"/>
          <w:szCs w:val="15"/>
          <w:color w:val="auto"/>
        </w:rPr>
        <w:t>Level 3. 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w:t>
      </w:r>
    </w:p>
    <w:p>
      <w:pPr>
        <w:spacing w:after="0" w:line="8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Principally all of the Company’s investments in corporate bonds are considered Level 2 investments with such fair value based on observable data, principally broker quotes as provided by external pricing services. All other debt securities at fair value are considered Level 1 investments with such fair value based on unadjusted quoted prices in active markets.</w:t>
      </w:r>
    </w:p>
    <w:p>
      <w:pPr>
        <w:spacing w:after="0" w:line="12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fair value of our equities is principally classified as Level 1 or Level 2 as follows: marketable equity securities are classified as Level 1 and are valued based on the last trade price on the primary exchange for that security; public asset management funds are classified as Level 1 and are valued based on the reported closing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fair value of our interests in LAM alternative asset management funds is classified as Level 2 and is based on information provided by external pricing services.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fair value of our private equity investments is classified as Level 3 and is based on financial statements provided by fund managers, appraisals and internal valuations.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Where information reported is based on data received from fund managers or from external pricing services, the Company reviews such information to ascertain at which level within the fair value hierarchy to classify the investment.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regarding risks associated with our investments, see “Risk Management—Market and Credit Risks.”</w:t>
      </w:r>
    </w:p>
    <w:p>
      <w:pPr>
        <w:spacing w:after="0" w:line="15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See Notes 5 and 6 of Notes to Consolidated Financial Statements for additional information regarding investments and certain other assets and liabilities measured at fair value, including the levels of fair value within which such measurements of fair value fall.</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AUM managed by LAM and LFG, which represents substantially all of the Company’s total AUM, principally consist of debt and equity instruments whose value is readily available based on quoted prices on a recognized exchange or by a broker. Accordingly, significant estimates and judgments are generally not involved in the calculation of the value of our AUM.</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or more frequently if circumstances indicate impairment may have occurred. In this process, Lazard makes estimates and assumptions in order to determine the fair value of its assets and liabilities and to project future earnings using various valuation techniques. Lazard’s assumptions and estimates are used in projecting future earnings as part of the valuation, and actual results could differ from those estimates. See Note 12 of Notes to Consolidated Financial Statements for additional information regarding goodwill.</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VIEs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Lazard Group and all other entities in which it has a controlling interest. Lazard determines whether it has a controlling interest in an entity by first evaluating whether the entity is a voting interest entity or a variable interest entity (“VIE”) under U.S. GAAP.</w:t>
      </w:r>
    </w:p>
    <w:p>
      <w:pPr>
        <w:spacing w:after="0" w:line="46" w:lineRule="exact"/>
        <w:rPr>
          <w:sz w:val="20"/>
          <w:szCs w:val="20"/>
          <w:color w:val="auto"/>
        </w:rPr>
      </w:pPr>
    </w:p>
    <w:p>
      <w:pPr>
        <w:ind w:left="1260" w:right="60" w:hanging="455"/>
        <w:spacing w:after="0" w:line="256" w:lineRule="auto"/>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Voting Interest Entities. Voting interest entities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voting interest entity that it maintains an ownership interest in if it holds a majority of the voting interest in such entity.</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right="400" w:hanging="455"/>
        <w:spacing w:after="0" w:line="259" w:lineRule="auto"/>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Variable Interest Entities. VIEs are entities that lack one or more of the characteristics of a voting interest entity. If Lazard has a variable interest, or a combination of variable interests, in a VIE and it will absorb a majority of the VIE’s expected losses, receive a majority of the VIE’s expected residual returns, or both, it is required to consolidate such VIE.</w:t>
      </w:r>
    </w:p>
    <w:p>
      <w:pPr>
        <w:spacing w:after="0" w:line="12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Lazard is involved with various entities in the normal course of business that are VIEs and holds variable interests in such VIEs. Transactions associated with these entities primarily include investment management, real estate and private equity investments. Those VIEs for which Lazard was determined to be the primary beneficiary were consolidated in accordance with current accounting guidance. Those VIEs included company- sponsored venture capital investment vehicles established in connection with Lazard’s compensation plans. In connection with the separation, Lazard Group transferred its general partnership interests in those VIEs to a subsidiary of LFCM Holdings. Lazard Group has determined that it is no longer the primary beneficiary with respect to those VIEs and, as a result, the Company no longer consolidates such VIEs.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Company encounters risk in the normal course of business and therefore we have designed risk management processes to help manage and monitor such risks considering both the nature of our business and our operating model. The Company is subject to varying degrees of credit, market, operational and liquidity risks (see “—Liquidity and Capital Resources”) and monitors these risks at both an entity and on a consolidated basis. Management within each of Lazard’s operating locations are principally responsible for managing the risks within its respective businesses on a day-to-day basis.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and Credit Risks</w:t>
      </w:r>
    </w:p>
    <w:p>
      <w:pPr>
        <w:spacing w:after="0" w:line="7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Lazard is subject to credit and market risks and therefore has established procedures to assess such risks, as well as specific interest rate and currency risk, and has established limits related to various positions. Market and/or credit risks related to investments are discussed under “—Investments” above.</w:t>
      </w:r>
    </w:p>
    <w:p>
      <w:pPr>
        <w:spacing w:after="0" w:line="7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Lazard enters into interest rate swaps and foreign currency exchange contracts to hedge exposures to interest rates and currency exchange rates and uses equity swap contracts to hedge a portion of its market exposure with respect to certain equity investments.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At December 31, 2009 and 2008, derivative contracts related primarily to interest rate swaps, equity and foreign currency exchange rate contracts, and are recorded at fair value. Derivative assets amounted to $1 million and $5 million at December 31, 2009 and 2008, respectively, with derivative liabilities amounting to $17 million and $44 million, at such respective dates. The decrease in derivative liabilities at December 31, 2009 as compared to December 31, 2008 related principally to the Company’s foreign currency exchange contracts.</w:t>
      </w:r>
    </w:p>
    <w:p>
      <w:pPr>
        <w:spacing w:after="0" w:line="13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With respect to LFB’s operations, LFB engages in commercial banking activities that primarily include investing in securities, deposit taking and, to a lesser degree, lending. In addition, LFB may take open foreign exchange positions with a view to profit, but does not sell foreign exchange options in this context, and enters into interest rate swaps, forward foreign exchange contracts and other derivative contracts to hedge exposures to interest rate and currency fluctuations.</w:t>
      </w:r>
    </w:p>
    <w:p>
      <w:pPr>
        <w:spacing w:after="0" w:line="9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primary market risks associated with LFB’s securities portfolio, foreign currency exchange hedging and lending activities are sensitivity to changes in the general level of credit spreads and interest rate and foreign exchange risk. The risk management strategies that we employ use various risk sensitivity metrics to measure such risks and to examine behavior under significant adverse market conditions, such as those we are currently experiencing. The following sensitivity metrics provide the resultant effects on the Company’s operating income for the year ended December 31, 2009:</w:t>
      </w:r>
    </w:p>
    <w:p>
      <w:pPr>
        <w:spacing w:after="0" w:line="18" w:lineRule="exact"/>
        <w:rPr>
          <w:sz w:val="20"/>
          <w:szCs w:val="20"/>
          <w:color w:val="auto"/>
        </w:rPr>
      </w:pPr>
    </w:p>
    <w:p>
      <w:pPr>
        <w:ind w:left="780" w:hanging="326"/>
        <w:spacing w:after="0"/>
        <w:tabs>
          <w:tab w:leader="none" w:pos="7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LFB’s credit spread risk, as measured by a 100+/– basis point change in credit spreads totaled $(11) million and $12 million, respectively.</w:t>
      </w:r>
    </w:p>
    <w:p>
      <w:pPr>
        <w:spacing w:after="0" w:line="207"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LFB’s interest rate risk as measured by a 100+/– basis point change in interest rates totaled $30 thousand.</w:t>
      </w:r>
    </w:p>
    <w:p>
      <w:pPr>
        <w:spacing w:after="0" w:line="103"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Foreign currency risk associated with LFB’s open positions, in the aggregate, as measured by a 200+/– basis point change against the U.S. dollar, totaled approximately $22 thousand.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LFB fully secures its collateralized financing transactions with fixed income securities.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maintain an allowance for bad debts to provide coverage for probable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At December 31, 2009, total receivables amounted to $701 million, net of an allowance for bad debts of $12 million. As of that date, inter-bank deposits, financial advisory and asset management fees, customer and related party receivables comprised 20%, 62%, 11% and 7% of total receivables, respectively. At December 31, 2008, total receivables amounted to $769 million, net of an allowance for bad debts of $16 million. As of that date, inter-bank deposits, financial advisory and asset management fee, customer and related party receivables comprised 30%, 51%, 10% and 9% of total receivables, respectively. The Company recorded bad debt expense of approximately $5 million, $5 million and $1 million in the years ended December 31, 2009, 2008, and 2007, respectively. See also “—Revenue Recognition” above and Note 4 of Notes to Consolidated Financial Statements for additional information regarding receivables.</w:t>
      </w:r>
    </w:p>
    <w:p>
      <w:pPr>
        <w:spacing w:after="0" w:line="10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Receivables from banks represent those related to LFB’s short-term inter-bank deposits. The level of these inter-bank deposits is primarily driven by the level of LFB customer and bank-related interest-bearing time and demand deposits, which can fluctuate significantly on a daily basis. As the amount of such deposits held at LFB changes, there is generally a corresponding, but indirect, impact on the level of short-term inter-bank deposits. While historically the risk of loss associated with such inter-bank deposits was extremely low, with the unprecedented disruption and volatility in the financial markets during 2008, a number of financial institutions disclosed liquidity and credit quality issues. LFB executes such deposit agreements with leading French financial institutions and the Company closely monitors the creditworthiness of such counterparties to minimize its exposure to loss in such market conditions. Based on its review of its receivables from banks at December 31, 2009 and 2008, LFB has determined that an allowance for doubtful accounts related to such receivables from banks was not required.</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To reduce the exposure to concentrations of credit from banking activities within LFB, the Company has established limits for corporate counterparties and monitors the exposure against such limits. At December 31, 2009, LFB had no exposure to an individual counterparty that exceeded $33 million (with such amount being fully collateralized), excluding deposits with inter-bank counterparties.</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With respect to activities outside LFB, as of December 31, 2009, the Company’s largest individual counterparty exposure was a Financial Advisory-related fee receivable of $25 million.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Short-Term Investments and Corporate Indebtedness</w:t>
      </w:r>
    </w:p>
    <w:p>
      <w:pPr>
        <w:spacing w:after="0" w:line="7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 significant portion of the Company’s liabilities has fixed interest rates, while its cash and short-term investments generally have floating interest rates. Based on account balances as of December 31, 2009, Lazard estimates that operating income relating to cash and short-term investments and corporate indebtedness would change by approximately $9 million, on an annual basis, in the event interest rates were to increase or decrease by 1%.</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As of December 31, 2009, the Company’s cash and cash equivalents totaled $900 million. Approximately 36% of this was invested in short-term interest earning accounts at a number of leading banks throughout the world, or short-term certificates of deposit from such banks. The remaining cash and cash equivalents were invested in highly liquid institutional money market funds, a significant majority of which were invested solely in U.S. government or agency securities, or in institutional money market funds that have announced that they are participating in the U.S. Treasury Department’s Temporary Guarantee Program for Money Market Funds. On a regular basis, management reviews and updates its list of approved depositor banks as well as deposit and investment thresholds.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8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a discussion of recently issued accounting pronouncements and their impact or potential impact on Lazard’s consolidated financial statements, see Note 3 of Notes to Consolidated Financial Statements.</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040" w:type="dxa"/>
            <w:vAlign w:val="bottom"/>
            <w:gridSpan w:val="15"/>
          </w:tcPr>
          <w:p>
            <w:pPr>
              <w:ind w:left="260"/>
              <w:spacing w:after="0"/>
              <w:rPr>
                <w:sz w:val="20"/>
                <w:szCs w:val="20"/>
                <w:color w:val="auto"/>
              </w:rPr>
            </w:pPr>
            <w:r>
              <w:rPr>
                <w:rFonts w:ascii="Arial" w:cs="Arial" w:eastAsia="Arial" w:hAnsi="Arial"/>
                <w:sz w:val="18"/>
                <w:szCs w:val="18"/>
                <w:b w:val="1"/>
                <w:bCs w:val="1"/>
                <w:color w:val="auto"/>
              </w:rPr>
              <w:t>Financial Statements and Supplementary Data</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53"/>
        </w:trPr>
        <w:tc>
          <w:tcPr>
            <w:tcW w:w="10820" w:type="dxa"/>
            <w:vAlign w:val="bottom"/>
            <w:gridSpan w:val="17"/>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Page</w:t>
            </w:r>
          </w:p>
        </w:tc>
      </w:tr>
      <w:tr>
        <w:trPr>
          <w:trHeight w:val="169"/>
        </w:trPr>
        <w:tc>
          <w:tcPr>
            <w:tcW w:w="440" w:type="dxa"/>
            <w:vAlign w:val="bottom"/>
          </w:tcPr>
          <w:p>
            <w:pPr>
              <w:spacing w:after="0"/>
              <w:rPr>
                <w:sz w:val="14"/>
                <w:szCs w:val="14"/>
                <w:color w:val="auto"/>
              </w:rPr>
            </w:pPr>
          </w:p>
        </w:tc>
        <w:tc>
          <w:tcPr>
            <w:tcW w:w="10380" w:type="dxa"/>
            <w:vAlign w:val="bottom"/>
            <w:gridSpan w:val="16"/>
          </w:tcPr>
          <w:p>
            <w:pPr>
              <w:spacing w:after="0" w:line="170" w:lineRule="exact"/>
              <w:rPr>
                <w:rFonts w:ascii="Arial" w:cs="Arial" w:eastAsia="Arial" w:hAnsi="Arial"/>
                <w:sz w:val="18"/>
                <w:szCs w:val="18"/>
                <w:color w:val="0000EE"/>
              </w:rPr>
            </w:pPr>
            <w:hyperlink w:anchor="page75">
              <w:r>
                <w:rPr>
                  <w:rFonts w:ascii="Arial" w:cs="Arial" w:eastAsia="Arial" w:hAnsi="Arial"/>
                  <w:sz w:val="18"/>
                  <w:szCs w:val="18"/>
                  <w:color w:val="0000EE"/>
                </w:rPr>
                <w:t>Management’s Report On Internal Control Over Financial Reporting</w:t>
              </w:r>
            </w:hyperlink>
          </w:p>
        </w:tc>
        <w:tc>
          <w:tcPr>
            <w:tcW w:w="6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73</w:t>
            </w:r>
          </w:p>
        </w:tc>
        <w:tc>
          <w:tcPr>
            <w:tcW w:w="20" w:type="dxa"/>
            <w:vAlign w:val="bottom"/>
          </w:tcPr>
          <w:p>
            <w:pPr>
              <w:spacing w:after="0"/>
              <w:rPr>
                <w:sz w:val="14"/>
                <w:szCs w:val="14"/>
                <w:color w:val="auto"/>
              </w:rPr>
            </w:pPr>
          </w:p>
        </w:tc>
      </w:tr>
      <w:tr>
        <w:trPr>
          <w:trHeight w:val="196"/>
        </w:trPr>
        <w:tc>
          <w:tcPr>
            <w:tcW w:w="440" w:type="dxa"/>
            <w:vAlign w:val="bottom"/>
          </w:tcPr>
          <w:p>
            <w:pPr>
              <w:spacing w:after="0"/>
              <w:rPr>
                <w:sz w:val="17"/>
                <w:szCs w:val="17"/>
                <w:color w:val="auto"/>
              </w:rPr>
            </w:pPr>
          </w:p>
        </w:tc>
        <w:tc>
          <w:tcPr>
            <w:tcW w:w="48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Reports of Independent Registered Public Accounting Firm</w:t>
              </w:r>
            </w:hyperlink>
          </w:p>
        </w:tc>
        <w:tc>
          <w:tcPr>
            <w:tcW w:w="5560" w:type="dxa"/>
            <w:vAlign w:val="bottom"/>
            <w:gridSpan w:val="9"/>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74-75</w:t>
            </w:r>
          </w:p>
        </w:tc>
      </w:tr>
      <w:tr>
        <w:trPr>
          <w:trHeight w:val="20"/>
        </w:trPr>
        <w:tc>
          <w:tcPr>
            <w:tcW w:w="4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88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78">
              <w:r>
                <w:rPr>
                  <w:rFonts w:ascii="Arial" w:cs="Arial" w:eastAsia="Arial" w:hAnsi="Arial"/>
                  <w:sz w:val="18"/>
                  <w:szCs w:val="18"/>
                  <w:color w:val="0000EE"/>
                  <w:w w:val="87"/>
                </w:rPr>
                <w:t>Consolidated Statements of Financial Condition as of December 31, 2009 and 2008</w:t>
              </w:r>
            </w:hyperlink>
          </w:p>
        </w:tc>
        <w:tc>
          <w:tcPr>
            <w:tcW w:w="4500" w:type="dxa"/>
            <w:vAlign w:val="bottom"/>
            <w:gridSpan w:val="7"/>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76</w:t>
            </w:r>
          </w:p>
        </w:tc>
      </w:tr>
      <w:tr>
        <w:trPr>
          <w:trHeight w:val="196"/>
        </w:trPr>
        <w:tc>
          <w:tcPr>
            <w:tcW w:w="440" w:type="dxa"/>
            <w:vAlign w:val="bottom"/>
          </w:tcPr>
          <w:p>
            <w:pPr>
              <w:spacing w:after="0"/>
              <w:rPr>
                <w:sz w:val="17"/>
                <w:szCs w:val="17"/>
                <w:color w:val="auto"/>
              </w:rPr>
            </w:pPr>
          </w:p>
        </w:tc>
        <w:tc>
          <w:tcPr>
            <w:tcW w:w="10380" w:type="dxa"/>
            <w:vAlign w:val="bottom"/>
            <w:gridSpan w:val="16"/>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Consolidated Statements of Operations for the years ended December 31, 2009, 2008 and 2007</w:t>
              </w:r>
            </w:hyperlink>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r>
      <w:tr>
        <w:trPr>
          <w:trHeight w:val="20"/>
        </w:trPr>
        <w:tc>
          <w:tcPr>
            <w:tcW w:w="4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74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81">
              <w:r>
                <w:rPr>
                  <w:rFonts w:ascii="Arial" w:cs="Arial" w:eastAsia="Arial" w:hAnsi="Arial"/>
                  <w:sz w:val="18"/>
                  <w:szCs w:val="18"/>
                  <w:color w:val="0000EE"/>
                  <w:w w:val="86"/>
                </w:rPr>
                <w:t>Consolidated Statements of Cash Flows for the years ended December 31, 2009, 2008 and 2007</w:t>
              </w:r>
            </w:hyperlink>
          </w:p>
        </w:tc>
        <w:tc>
          <w:tcPr>
            <w:tcW w:w="3640" w:type="dxa"/>
            <w:vAlign w:val="bottom"/>
            <w:gridSpan w:val="3"/>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r>
      <w:tr>
        <w:trPr>
          <w:trHeight w:val="196"/>
        </w:trPr>
        <w:tc>
          <w:tcPr>
            <w:tcW w:w="440" w:type="dxa"/>
            <w:vAlign w:val="bottom"/>
          </w:tcPr>
          <w:p>
            <w:pPr>
              <w:spacing w:after="0"/>
              <w:rPr>
                <w:sz w:val="17"/>
                <w:szCs w:val="17"/>
                <w:color w:val="auto"/>
              </w:rPr>
            </w:pPr>
          </w:p>
        </w:tc>
        <w:tc>
          <w:tcPr>
            <w:tcW w:w="896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82">
              <w:r>
                <w:rPr>
                  <w:rFonts w:ascii="Arial" w:cs="Arial" w:eastAsia="Arial" w:hAnsi="Arial"/>
                  <w:sz w:val="18"/>
                  <w:szCs w:val="18"/>
                  <w:color w:val="0000EE"/>
                  <w:w w:val="88"/>
                </w:rPr>
                <w:t>Consolidated Statements of Changes in Members’ Equity (Deficiency) for the years ended December 31, 2009, 2008 and 2007</w:t>
              </w:r>
            </w:hyperlink>
          </w:p>
        </w:tc>
        <w:tc>
          <w:tcPr>
            <w:tcW w:w="1420" w:type="dxa"/>
            <w:vAlign w:val="bottom"/>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80</w:t>
            </w:r>
          </w:p>
        </w:tc>
      </w:tr>
      <w:tr>
        <w:trPr>
          <w:trHeight w:val="196"/>
        </w:trPr>
        <w:tc>
          <w:tcPr>
            <w:tcW w:w="440" w:type="dxa"/>
            <w:vAlign w:val="bottom"/>
          </w:tcPr>
          <w:p>
            <w:pPr>
              <w:spacing w:after="0"/>
              <w:rPr>
                <w:sz w:val="17"/>
                <w:szCs w:val="17"/>
                <w:color w:val="auto"/>
              </w:rPr>
            </w:pPr>
          </w:p>
        </w:tc>
        <w:tc>
          <w:tcPr>
            <w:tcW w:w="30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85">
              <w:r>
                <w:rPr>
                  <w:rFonts w:ascii="Arial" w:cs="Arial" w:eastAsia="Arial" w:hAnsi="Arial"/>
                  <w:sz w:val="18"/>
                  <w:szCs w:val="18"/>
                  <w:color w:val="0000EE"/>
                  <w:w w:val="87"/>
                </w:rPr>
                <w:t>Notes to Consolidated Financial Statements</w:t>
              </w:r>
            </w:hyperlink>
          </w:p>
        </w:tc>
        <w:tc>
          <w:tcPr>
            <w:tcW w:w="7300" w:type="dxa"/>
            <w:vAlign w:val="bottom"/>
            <w:gridSpan w:val="11"/>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r>
      <w:tr>
        <w:trPr>
          <w:trHeight w:val="264"/>
        </w:trPr>
        <w:tc>
          <w:tcPr>
            <w:tcW w:w="10820" w:type="dxa"/>
            <w:vAlign w:val="bottom"/>
            <w:gridSpan w:val="17"/>
          </w:tcPr>
          <w:p>
            <w:pPr>
              <w:spacing w:after="0"/>
              <w:rPr>
                <w:rFonts w:ascii="Arial" w:cs="Arial" w:eastAsia="Arial" w:hAnsi="Arial"/>
                <w:sz w:val="18"/>
                <w:szCs w:val="18"/>
                <w:b w:val="1"/>
                <w:bCs w:val="1"/>
                <w:color w:val="0000EE"/>
              </w:rPr>
            </w:pPr>
            <w:hyperlink w:anchor="page135">
              <w:r>
                <w:rPr>
                  <w:rFonts w:ascii="Arial" w:cs="Arial" w:eastAsia="Arial" w:hAnsi="Arial"/>
                  <w:sz w:val="18"/>
                  <w:szCs w:val="18"/>
                  <w:b w:val="1"/>
                  <w:bCs w:val="1"/>
                  <w:color w:val="0000EE"/>
                </w:rPr>
                <w:t>Supplemental Financial Information</w:t>
              </w:r>
            </w:hyperlink>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12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135">
              <w:r>
                <w:rPr>
                  <w:rFonts w:ascii="Arial" w:cs="Arial" w:eastAsia="Arial" w:hAnsi="Arial"/>
                  <w:sz w:val="18"/>
                  <w:szCs w:val="18"/>
                  <w:color w:val="0000EE"/>
                  <w:w w:val="87"/>
                </w:rPr>
                <w:t>Quarterly Results</w:t>
              </w:r>
            </w:hyperlink>
          </w:p>
        </w:tc>
        <w:tc>
          <w:tcPr>
            <w:tcW w:w="1060" w:type="dxa"/>
            <w:vAlign w:val="bottom"/>
            <w:tcBorders>
              <w:top w:val="single" w:sz="8" w:color="0000EE"/>
            </w:tcBorders>
          </w:tcPr>
          <w:p>
            <w:pPr>
              <w:spacing w:after="0"/>
              <w:rPr>
                <w:sz w:val="17"/>
                <w:szCs w:val="17"/>
                <w:color w:val="auto"/>
              </w:rPr>
            </w:pPr>
          </w:p>
        </w:tc>
        <w:tc>
          <w:tcPr>
            <w:tcW w:w="8080" w:type="dxa"/>
            <w:vAlign w:val="bottom"/>
            <w:gridSpan w:val="13"/>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133</w:t>
            </w:r>
          </w:p>
        </w:tc>
      </w:tr>
      <w:tr>
        <w:trPr>
          <w:trHeight w:val="302"/>
        </w:trPr>
        <w:tc>
          <w:tcPr>
            <w:tcW w:w="10820" w:type="dxa"/>
            <w:vAlign w:val="bottom"/>
            <w:gridSpan w:val="17"/>
          </w:tcPr>
          <w:p>
            <w:pPr>
              <w:spacing w:after="0"/>
              <w:rPr>
                <w:sz w:val="20"/>
                <w:szCs w:val="20"/>
                <w:color w:val="auto"/>
              </w:rPr>
            </w:pPr>
            <w:r>
              <w:rPr>
                <w:rFonts w:ascii="Arial" w:cs="Arial" w:eastAsia="Arial" w:hAnsi="Arial"/>
                <w:sz w:val="18"/>
                <w:szCs w:val="18"/>
                <w:b w:val="1"/>
                <w:bCs w:val="1"/>
                <w:color w:val="auto"/>
              </w:rPr>
              <w:t>Financial Statement Schedule</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10820" w:type="dxa"/>
            <w:vAlign w:val="bottom"/>
            <w:gridSpan w:val="17"/>
          </w:tcPr>
          <w:p>
            <w:pPr>
              <w:spacing w:after="0"/>
              <w:rPr>
                <w:sz w:val="20"/>
                <w:szCs w:val="20"/>
                <w:color w:val="auto"/>
              </w:rPr>
            </w:pPr>
            <w:r>
              <w:rPr>
                <w:rFonts w:ascii="Arial" w:cs="Arial" w:eastAsia="Arial" w:hAnsi="Arial"/>
                <w:sz w:val="18"/>
                <w:szCs w:val="18"/>
                <w:color w:val="auto"/>
              </w:rPr>
              <w:t>Schedule I—Condensed Financial Information of Registrant (Parent Company Only)</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440" w:type="dxa"/>
            <w:vAlign w:val="bottom"/>
          </w:tcPr>
          <w:p>
            <w:pPr>
              <w:spacing w:after="0"/>
              <w:rPr>
                <w:sz w:val="15"/>
                <w:szCs w:val="15"/>
                <w:color w:val="auto"/>
              </w:rPr>
            </w:pPr>
          </w:p>
        </w:tc>
        <w:tc>
          <w:tcPr>
            <w:tcW w:w="10380" w:type="dxa"/>
            <w:vAlign w:val="bottom"/>
            <w:gridSpan w:val="16"/>
          </w:tcPr>
          <w:p>
            <w:pPr>
              <w:spacing w:after="0" w:line="184" w:lineRule="exact"/>
              <w:rPr>
                <w:rFonts w:ascii="Arial" w:cs="Arial" w:eastAsia="Arial" w:hAnsi="Arial"/>
                <w:sz w:val="18"/>
                <w:szCs w:val="18"/>
                <w:color w:val="0000EE"/>
              </w:rPr>
            </w:pPr>
            <w:hyperlink w:anchor="page178">
              <w:r>
                <w:rPr>
                  <w:rFonts w:ascii="Arial" w:cs="Arial" w:eastAsia="Arial" w:hAnsi="Arial"/>
                  <w:sz w:val="18"/>
                  <w:szCs w:val="18"/>
                  <w:color w:val="0000EE"/>
                </w:rPr>
                <w:t>Condensed Statements of Financial Condition as of December 31, 2009 and 2008</w:t>
              </w:r>
            </w:hyperlink>
          </w:p>
        </w:tc>
        <w:tc>
          <w:tcPr>
            <w:tcW w:w="620" w:type="dxa"/>
            <w:vAlign w:val="bottom"/>
            <w:gridSpan w:val="2"/>
          </w:tcPr>
          <w:p>
            <w:pPr>
              <w:jc w:val="right"/>
              <w:ind w:right="20"/>
              <w:spacing w:after="0" w:line="184" w:lineRule="exact"/>
              <w:rPr>
                <w:sz w:val="20"/>
                <w:szCs w:val="20"/>
                <w:color w:val="auto"/>
              </w:rPr>
            </w:pPr>
            <w:r>
              <w:rPr>
                <w:rFonts w:ascii="Arial" w:cs="Arial" w:eastAsia="Arial" w:hAnsi="Arial"/>
                <w:sz w:val="18"/>
                <w:szCs w:val="18"/>
                <w:color w:val="auto"/>
              </w:rPr>
              <w:t>F-2</w:t>
            </w:r>
          </w:p>
        </w:tc>
      </w:tr>
      <w:tr>
        <w:trPr>
          <w:trHeight w:val="20"/>
        </w:trPr>
        <w:tc>
          <w:tcPr>
            <w:tcW w:w="440" w:type="dxa"/>
            <w:vAlign w:val="bottom"/>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54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w:anchor="page179">
              <w:r>
                <w:rPr>
                  <w:rFonts w:ascii="Arial" w:cs="Arial" w:eastAsia="Arial" w:hAnsi="Arial"/>
                  <w:sz w:val="18"/>
                  <w:szCs w:val="18"/>
                  <w:color w:val="0000EE"/>
                  <w:w w:val="86"/>
                </w:rPr>
                <w:t>Condensed Statements of Operations for the years ended December 31, 2009, 2008 and 2007</w:t>
              </w:r>
            </w:hyperlink>
          </w:p>
        </w:tc>
        <w:tc>
          <w:tcPr>
            <w:tcW w:w="3840" w:type="dxa"/>
            <w:vAlign w:val="bottom"/>
            <w:gridSpan w:val="6"/>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w:t>
            </w:r>
          </w:p>
        </w:tc>
      </w:tr>
      <w:tr>
        <w:trPr>
          <w:trHeight w:val="196"/>
        </w:trPr>
        <w:tc>
          <w:tcPr>
            <w:tcW w:w="440" w:type="dxa"/>
            <w:vAlign w:val="bottom"/>
          </w:tcPr>
          <w:p>
            <w:pPr>
              <w:spacing w:after="0"/>
              <w:rPr>
                <w:sz w:val="17"/>
                <w:szCs w:val="17"/>
                <w:color w:val="auto"/>
              </w:rPr>
            </w:pPr>
          </w:p>
        </w:tc>
        <w:tc>
          <w:tcPr>
            <w:tcW w:w="660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180">
              <w:r>
                <w:rPr>
                  <w:rFonts w:ascii="Arial" w:cs="Arial" w:eastAsia="Arial" w:hAnsi="Arial"/>
                  <w:sz w:val="18"/>
                  <w:szCs w:val="18"/>
                  <w:color w:val="0000EE"/>
                  <w:w w:val="86"/>
                </w:rPr>
                <w:t>Condensed Statements of Cash Flows for the years ended December 31, 2009, 2008 and 2007</w:t>
              </w:r>
            </w:hyperlink>
          </w:p>
        </w:tc>
        <w:tc>
          <w:tcPr>
            <w:tcW w:w="3780" w:type="dxa"/>
            <w:vAlign w:val="bottom"/>
            <w:gridSpan w:val="5"/>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r>
      <w:tr>
        <w:trPr>
          <w:trHeight w:val="196"/>
        </w:trPr>
        <w:tc>
          <w:tcPr>
            <w:tcW w:w="440" w:type="dxa"/>
            <w:vAlign w:val="bottom"/>
          </w:tcPr>
          <w:p>
            <w:pPr>
              <w:spacing w:after="0"/>
              <w:rPr>
                <w:sz w:val="17"/>
                <w:szCs w:val="17"/>
                <w:color w:val="auto"/>
              </w:rPr>
            </w:pPr>
          </w:p>
        </w:tc>
        <w:tc>
          <w:tcPr>
            <w:tcW w:w="10380" w:type="dxa"/>
            <w:vAlign w:val="bottom"/>
            <w:gridSpan w:val="16"/>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Condensed Statements of Changes in Members’ Equity (Deficiency) for the years ended December 31, 2009, 2008 and 2007</w:t>
              </w:r>
            </w:hyperlink>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r>
      <w:tr>
        <w:trPr>
          <w:trHeight w:val="196"/>
        </w:trPr>
        <w:tc>
          <w:tcPr>
            <w:tcW w:w="440" w:type="dxa"/>
            <w:vAlign w:val="bottom"/>
          </w:tcPr>
          <w:p>
            <w:pPr>
              <w:spacing w:after="0"/>
              <w:rPr>
                <w:sz w:val="17"/>
                <w:szCs w:val="17"/>
                <w:color w:val="auto"/>
              </w:rPr>
            </w:pPr>
          </w:p>
        </w:tc>
        <w:tc>
          <w:tcPr>
            <w:tcW w:w="88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Notes to Condensed Financial Statements</w:t>
              </w:r>
            </w:hyperlink>
          </w:p>
        </w:tc>
        <w:tc>
          <w:tcPr>
            <w:tcW w:w="1580" w:type="dxa"/>
            <w:vAlign w:val="bottom"/>
            <w:gridSpan w:val="2"/>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F-8</w:t>
            </w:r>
          </w:p>
        </w:tc>
      </w:tr>
      <w:tr>
        <w:trPr>
          <w:trHeight w:val="383"/>
        </w:trPr>
        <w:tc>
          <w:tcPr>
            <w:tcW w:w="4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580" w:type="dxa"/>
            <w:vAlign w:val="bottom"/>
            <w:tcBorders>
              <w:top w:val="single" w:sz="8" w:color="0000EE"/>
            </w:tcBorders>
            <w:gridSpan w:val="3"/>
          </w:tcPr>
          <w:p>
            <w:pPr>
              <w:spacing w:after="0"/>
              <w:rPr>
                <w:sz w:val="24"/>
                <w:szCs w:val="24"/>
                <w:color w:val="auto"/>
              </w:rPr>
            </w:pPr>
          </w:p>
        </w:tc>
        <w:tc>
          <w:tcPr>
            <w:tcW w:w="2800" w:type="dxa"/>
            <w:vAlign w:val="bottom"/>
            <w:gridSpan w:val="4"/>
          </w:tcPr>
          <w:p>
            <w:pPr>
              <w:jc w:val="right"/>
              <w:ind w:right="360"/>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64"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Management of Lazard Group LLC and its subsidiaries (the “Company”) is responsible for establishing and maintaining adequate internal control over financial reporting. Internal control over financial reporting is a process designed under the supervision of the Company’s principal executive and principal financial officers to provide reasonable assurance regarding the reliability of financial reporting and the preparation of the Company’s financial statements for external purposes in accordance with U.S. generally accepted accounting principles.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77" w:lineRule="exact"/>
        <w:rPr>
          <w:sz w:val="20"/>
          <w:szCs w:val="20"/>
          <w:color w:val="auto"/>
        </w:rPr>
      </w:pPr>
    </w:p>
    <w:p>
      <w:pPr>
        <w:ind w:left="780" w:right="560" w:hanging="326"/>
        <w:spacing w:after="0" w:line="268"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37" w:lineRule="exact"/>
        <w:rPr>
          <w:rFonts w:ascii="Arial" w:cs="Arial" w:eastAsia="Arial" w:hAnsi="Arial"/>
          <w:sz w:val="18"/>
          <w:szCs w:val="18"/>
          <w:color w:val="auto"/>
        </w:rPr>
      </w:pPr>
    </w:p>
    <w:p>
      <w:pPr>
        <w:jc w:val="both"/>
        <w:ind w:left="780" w:right="660" w:hanging="326"/>
        <w:spacing w:after="0" w:line="259"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U.S. generally accepted accounting principles, and that our receipts and expenditures are being made only in accordance with authorizations of the Company’s management and directors; and</w:t>
      </w:r>
    </w:p>
    <w:p>
      <w:pPr>
        <w:spacing w:after="0" w:line="45"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1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2009.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Based on management’s assessment and those criteria, management believes that the Company maintained effective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as of December 31, 2009.</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Company’s independent registered public accounting firm, Deloitte &amp; Touche LLP, audited the Company’s internal control over financial reporting as of December 31, 2009, as stated in their report which appears under “Reports of Independent Registered Public Accounting Firm.”</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00" w:firstLine="2700"/>
        <w:spacing w:after="0" w:line="426"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Members of Lazard Group LLC:</w:t>
      </w:r>
    </w:p>
    <w:p>
      <w:pPr>
        <w:ind w:right="220" w:firstLine="456"/>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Lazard Group LLC and subsidiaries (the “Company”) as of December 31, 2009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0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6"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99"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2009,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w:t>
      </w:r>
    </w:p>
    <w:p>
      <w:pPr>
        <w:spacing w:after="0" w:line="7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December 31, 2009 of the Company and our report dated February 26, 2010 expressed an unqualified opinion on those consolidated financial statements and financial statement schedule.</w:t>
      </w:r>
    </w:p>
    <w:p>
      <w:pPr>
        <w:spacing w:after="0" w:line="12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80" w:firstLine="2700"/>
        <w:spacing w:after="0" w:line="426"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Members of Lazard Group LLC:</w:t>
      </w:r>
    </w:p>
    <w:p>
      <w:pPr>
        <w:ind w:firstLine="456"/>
        <w:spacing w:after="0" w:line="294" w:lineRule="auto"/>
        <w:rPr>
          <w:sz w:val="20"/>
          <w:szCs w:val="20"/>
          <w:color w:val="auto"/>
        </w:rPr>
      </w:pPr>
      <w:r>
        <w:rPr>
          <w:rFonts w:ascii="Arial" w:cs="Arial" w:eastAsia="Arial" w:hAnsi="Arial"/>
          <w:sz w:val="16"/>
          <w:szCs w:val="16"/>
          <w:color w:val="auto"/>
        </w:rPr>
        <w:t>We have audited the accompanying consolidated statements of financial condition of Lazard Group LLC and subsidiaries (the “Company”) as of December 31, 2009 and 2008, and the related consolidated statements of operations, cash flows, and changes in members’ equity (deficiency), for each of the three years in the period ended December 31, 2009. Our audits also included the financial statement schedule listed in the Index at Item 8. These consolidated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10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Lazard Group LLC and subsidiaries at December 31, 2009 and 2008, and the results of their operations and their cash flows for each of the three years in the period ended December 31, 2009,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9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2009,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February 26, 2010 expressed an unqualified opinion on the Company’s internal control over financial reporting.</w:t>
      </w:r>
    </w:p>
    <w:p>
      <w:pPr>
        <w:spacing w:after="0" w:line="13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 and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$899,733</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907,278</w:t>
            </w: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20,217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14,583</w:t>
            </w:r>
          </w:p>
        </w:tc>
        <w:tc>
          <w:tcPr>
            <w:tcW w:w="20" w:type="dxa"/>
            <w:vAlign w:val="bottom"/>
          </w:tcPr>
          <w:p>
            <w:pPr>
              <w:spacing w:after="0"/>
              <w:rPr>
                <w:sz w:val="18"/>
                <w:szCs w:val="18"/>
                <w:color w:val="auto"/>
              </w:rPr>
            </w:pPr>
          </w:p>
        </w:tc>
      </w:tr>
      <w:tr>
        <w:trPr>
          <w:trHeight w:val="282"/>
        </w:trPr>
        <w:tc>
          <w:tcPr>
            <w:tcW w:w="9240" w:type="dxa"/>
            <w:vAlign w:val="bottom"/>
          </w:tcPr>
          <w:p>
            <w:pPr>
              <w:spacing w:after="0"/>
              <w:rPr>
                <w:sz w:val="20"/>
                <w:szCs w:val="20"/>
                <w:color w:val="auto"/>
              </w:rPr>
            </w:pPr>
            <w:r>
              <w:rPr>
                <w:rFonts w:ascii="Arial" w:cs="Arial" w:eastAsia="Arial" w:hAnsi="Arial"/>
                <w:sz w:val="18"/>
                <w:szCs w:val="18"/>
                <w:color w:val="auto"/>
              </w:rPr>
              <w:t>Receivables—net:</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143,778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229,092</w:t>
            </w:r>
          </w:p>
        </w:tc>
        <w:tc>
          <w:tcPr>
            <w:tcW w:w="20" w:type="dxa"/>
            <w:vAlign w:val="bottom"/>
          </w:tcPr>
          <w:p>
            <w:pPr>
              <w:spacing w:after="0"/>
              <w:rPr>
                <w:sz w:val="18"/>
                <w:szCs w:val="18"/>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Fees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437,532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391,251</w:t>
            </w: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Customers and other</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73,750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81,806</w:t>
            </w:r>
          </w:p>
        </w:tc>
        <w:tc>
          <w:tcPr>
            <w:tcW w:w="20" w:type="dxa"/>
            <w:vAlign w:val="bottom"/>
          </w:tcPr>
          <w:p>
            <w:pPr>
              <w:spacing w:after="0"/>
              <w:rPr>
                <w:sz w:val="18"/>
                <w:szCs w:val="18"/>
                <w:color w:val="auto"/>
              </w:rPr>
            </w:pPr>
          </w:p>
        </w:tc>
      </w:tr>
      <w:tr>
        <w:trPr>
          <w:trHeight w:val="223"/>
        </w:trPr>
        <w:tc>
          <w:tcPr>
            <w:tcW w:w="9240" w:type="dxa"/>
            <w:vAlign w:val="bottom"/>
          </w:tcPr>
          <w:p>
            <w:pPr>
              <w:ind w:left="440"/>
              <w:spacing w:after="0"/>
              <w:rPr>
                <w:sz w:val="20"/>
                <w:szCs w:val="20"/>
                <w:color w:val="auto"/>
              </w:rPr>
            </w:pPr>
            <w:r>
              <w:rPr>
                <w:rFonts w:ascii="Arial" w:cs="Arial" w:eastAsia="Arial" w:hAnsi="Arial"/>
                <w:sz w:val="18"/>
                <w:szCs w:val="18"/>
                <w:color w:val="auto"/>
              </w:rPr>
              <w:t>Related parties</w:t>
            </w:r>
          </w:p>
        </w:tc>
        <w:tc>
          <w:tcPr>
            <w:tcW w:w="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46,099</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66,491</w:t>
            </w:r>
          </w:p>
        </w:tc>
        <w:tc>
          <w:tcPr>
            <w:tcW w:w="20" w:type="dxa"/>
            <w:vAlign w:val="bottom"/>
          </w:tcPr>
          <w:p>
            <w:pPr>
              <w:spacing w:after="0"/>
              <w:rPr>
                <w:sz w:val="19"/>
                <w:szCs w:val="19"/>
                <w:color w:val="auto"/>
              </w:rPr>
            </w:pPr>
          </w:p>
        </w:tc>
      </w:tr>
      <w:tr>
        <w:trPr>
          <w:trHeight w:val="216"/>
        </w:trPr>
        <w:tc>
          <w:tcPr>
            <w:tcW w:w="9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701,159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768,640</w:t>
            </w:r>
          </w:p>
        </w:tc>
        <w:tc>
          <w:tcPr>
            <w:tcW w:w="20" w:type="dxa"/>
            <w:vAlign w:val="bottom"/>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Investments:</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40" w:type="dxa"/>
            <w:vAlign w:val="bottom"/>
          </w:tcPr>
          <w:p>
            <w:pPr>
              <w:ind w:left="880"/>
              <w:spacing w:after="0"/>
              <w:rPr>
                <w:sz w:val="20"/>
                <w:szCs w:val="20"/>
                <w:color w:val="auto"/>
              </w:rPr>
            </w:pPr>
            <w:r>
              <w:rPr>
                <w:rFonts w:ascii="Arial" w:cs="Arial" w:eastAsia="Arial" w:hAnsi="Arial"/>
                <w:sz w:val="18"/>
                <w:szCs w:val="18"/>
                <w:color w:val="auto"/>
                <w:w w:val="99"/>
              </w:rPr>
              <w:t>U.S. Government and agencies (includes $126,413 of securities at amortized cost at December 31, 2009)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147,507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(includes $10,217 of securities at amortized cost at December 31, 2009)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313,342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333,070</w:t>
            </w:r>
          </w:p>
        </w:tc>
        <w:tc>
          <w:tcPr>
            <w:tcW w:w="20" w:type="dxa"/>
            <w:vAlign w:val="bottom"/>
          </w:tcPr>
          <w:p>
            <w:pPr>
              <w:spacing w:after="0"/>
              <w:rPr>
                <w:sz w:val="18"/>
                <w:szCs w:val="18"/>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Equities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82,442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71,105</w:t>
            </w: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264,402</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215,792</w:t>
            </w:r>
          </w:p>
        </w:tc>
        <w:tc>
          <w:tcPr>
            <w:tcW w:w="20" w:type="dxa"/>
            <w:vAlign w:val="bottom"/>
          </w:tcPr>
          <w:p>
            <w:pPr>
              <w:spacing w:after="0"/>
              <w:rPr>
                <w:sz w:val="18"/>
                <w:szCs w:val="18"/>
                <w:color w:val="auto"/>
              </w:rPr>
            </w:pPr>
          </w:p>
        </w:tc>
      </w:tr>
      <w:tr>
        <w:trPr>
          <w:trHeight w:val="221"/>
        </w:trPr>
        <w:tc>
          <w:tcPr>
            <w:tcW w:w="9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807,693</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619,967</w:t>
            </w: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w w:val="96"/>
              </w:rPr>
              <w:t>Property (net of accumulated amortization and depreciation of $239,603 and $213,249 at December 31, 2009 and 2008,</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166,913</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171,443</w:t>
            </w:r>
          </w:p>
        </w:tc>
        <w:tc>
          <w:tcPr>
            <w:tcW w:w="20" w:type="dxa"/>
            <w:vAlign w:val="bottom"/>
          </w:tcPr>
          <w:p>
            <w:pPr>
              <w:spacing w:after="0"/>
              <w:rPr>
                <w:sz w:val="19"/>
                <w:szCs w:val="19"/>
                <w:color w:val="auto"/>
              </w:rPr>
            </w:pPr>
          </w:p>
        </w:tc>
      </w:tr>
      <w:tr>
        <w:trPr>
          <w:trHeight w:val="316"/>
        </w:trPr>
        <w:tc>
          <w:tcPr>
            <w:tcW w:w="9240" w:type="dxa"/>
            <w:vAlign w:val="bottom"/>
          </w:tcPr>
          <w:p>
            <w:pPr>
              <w:spacing w:after="0"/>
              <w:rPr>
                <w:sz w:val="20"/>
                <w:szCs w:val="20"/>
                <w:color w:val="auto"/>
              </w:rPr>
            </w:pPr>
            <w:r>
              <w:rPr>
                <w:rFonts w:ascii="Arial" w:cs="Arial" w:eastAsia="Arial" w:hAnsi="Arial"/>
                <w:sz w:val="18"/>
                <w:szCs w:val="18"/>
                <w:color w:val="auto"/>
                <w:w w:val="92"/>
              </w:rPr>
              <w:t>Goodwill and other intangible assets (net of accumulated amortization of $7,140 and $2,150 at December 31, 2009 and 2008,</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9240" w:type="dxa"/>
            <w:vAlign w:val="bottom"/>
          </w:tcPr>
          <w:p>
            <w:pPr>
              <w:ind w:left="220"/>
              <w:spacing w:after="0"/>
              <w:rPr>
                <w:sz w:val="20"/>
                <w:szCs w:val="20"/>
                <w:color w:val="auto"/>
              </w:rPr>
            </w:pPr>
            <w:r>
              <w:rPr>
                <w:rFonts w:ascii="Arial" w:cs="Arial" w:eastAsia="Arial" w:hAnsi="Arial"/>
                <w:sz w:val="18"/>
                <w:szCs w:val="18"/>
                <w:color w:val="auto"/>
              </w:rPr>
              <w:t>respectively)</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317,780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175,144</w:t>
            </w: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201,553</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228,527</w:t>
            </w:r>
          </w:p>
        </w:tc>
        <w:tc>
          <w:tcPr>
            <w:tcW w:w="20" w:type="dxa"/>
            <w:vAlign w:val="bottom"/>
          </w:tcPr>
          <w:p>
            <w:pPr>
              <w:spacing w:after="0"/>
              <w:rPr>
                <w:sz w:val="18"/>
                <w:szCs w:val="18"/>
                <w:color w:val="auto"/>
              </w:rPr>
            </w:pPr>
          </w:p>
        </w:tc>
      </w:tr>
      <w:tr>
        <w:trPr>
          <w:trHeight w:val="222"/>
        </w:trPr>
        <w:tc>
          <w:tcPr>
            <w:tcW w:w="924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9"/>
              </w:rPr>
              <w:t>$  3,115,048</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2,885,582</w:t>
            </w:r>
          </w:p>
        </w:tc>
      </w:tr>
      <w:tr>
        <w:trPr>
          <w:trHeight w:val="20"/>
        </w:trPr>
        <w:tc>
          <w:tcPr>
            <w:tcW w:w="9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CONSOLIDATED STATEMENTS OF FINANCIAL CONDITION—(Continued)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 and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EQUITY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customer payables</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322,101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515,033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203,750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debt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1,086,850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1,087,750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Capital lease obligations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24,628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26,825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Related party payables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242,284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491,221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484,988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Subordinated debt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vMerge w:val="restart"/>
          </w:tcPr>
          <w:p>
            <w:pPr>
              <w:ind w:left="86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90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2,832,117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2,759,072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9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w w:val="91"/>
              </w:rPr>
              <w:t>Members’ equity (net of 5,850,775 and 9,376,162 shares of Lazard Ltd Class A common stock, at cost of $191,140 and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80" w:type="dxa"/>
            <w:vAlign w:val="bottom"/>
          </w:tcPr>
          <w:p>
            <w:pPr>
              <w:ind w:left="640"/>
              <w:spacing w:after="0"/>
              <w:rPr>
                <w:sz w:val="20"/>
                <w:szCs w:val="20"/>
                <w:color w:val="auto"/>
              </w:rPr>
            </w:pPr>
            <w:r>
              <w:rPr>
                <w:rFonts w:ascii="Arial" w:cs="Arial" w:eastAsia="Arial" w:hAnsi="Arial"/>
                <w:sz w:val="18"/>
                <w:szCs w:val="18"/>
                <w:color w:val="auto"/>
              </w:rPr>
              <w:t>$321,852 at December 31, 2009 and 2008, respectively)</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214,163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227,036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(58,792)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(121,407)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vMerge w:val="restart"/>
          </w:tcPr>
          <w:p>
            <w:pPr>
              <w:ind w:left="860"/>
              <w:spacing w:after="0"/>
              <w:rPr>
                <w:sz w:val="20"/>
                <w:szCs w:val="20"/>
                <w:color w:val="auto"/>
              </w:rPr>
            </w:pPr>
            <w:r>
              <w:rPr>
                <w:rFonts w:ascii="Arial" w:cs="Arial" w:eastAsia="Arial" w:hAnsi="Arial"/>
                <w:sz w:val="18"/>
                <w:szCs w:val="18"/>
                <w:color w:val="auto"/>
              </w:rPr>
              <w:t>Total Lazard Group members’ equity</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155,371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105,629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127,560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vMerge w:val="restart"/>
          </w:tcPr>
          <w:p>
            <w:pPr>
              <w:ind w:left="420"/>
              <w:spacing w:after="0"/>
              <w:rPr>
                <w:sz w:val="20"/>
                <w:szCs w:val="20"/>
                <w:color w:val="auto"/>
              </w:rPr>
            </w:pPr>
            <w:r>
              <w:rPr>
                <w:rFonts w:ascii="Arial" w:cs="Arial" w:eastAsia="Arial" w:hAnsi="Arial"/>
                <w:sz w:val="18"/>
                <w:szCs w:val="18"/>
                <w:color w:val="auto"/>
              </w:rPr>
              <w:t>Total members’ equity</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282,931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126,510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3,115,048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2,885,582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81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956,075</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990,923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1,196,648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Money management fees</w:t>
            </w: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563,932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603,908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663,316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34,056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81,223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89,180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20,328</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1,643,243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1,696,382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2,053,422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113,280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141,413</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1,529,963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1,554,969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1,916,893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1,309,231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1,128,243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1,123,058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Occupancy and equipment</w:t>
            </w: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88,445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97,178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business development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64,045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81,270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Technology and information services</w:t>
            </w: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69,620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67,892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services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42,669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37,927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62,550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32,474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51,411</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1,711,951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1,512,940</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1,480,829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(181,988)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31,727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29,691</w:t>
            </w:r>
          </w:p>
        </w:tc>
        <w:tc>
          <w:tcPr>
            <w:tcW w:w="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(213,715)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LESS - NET INCOME (LOSS) ATTRIBUTABLE TO NONCONTROLLING INTERESTS</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(13,333)</w:t>
            </w:r>
          </w:p>
        </w:tc>
        <w:tc>
          <w:tcPr>
            <w:tcW w:w="1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5,144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LAZARD GROUP</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(216,547)</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6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6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6"/>
              </w:rPr>
              <w:t>(213,715)</w:t>
            </w:r>
          </w:p>
        </w:tc>
        <w:tc>
          <w:tcPr>
            <w:tcW w:w="3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12,338</w:t>
            </w:r>
          </w:p>
        </w:tc>
        <w:tc>
          <w:tcPr>
            <w:tcW w:w="3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347,278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6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420"/>
              <w:spacing w:after="0" w:line="149" w:lineRule="exact"/>
              <w:rPr>
                <w:sz w:val="20"/>
                <w:szCs w:val="20"/>
                <w:color w:val="auto"/>
              </w:rPr>
            </w:pPr>
            <w:r>
              <w:rPr>
                <w:rFonts w:ascii="Arial" w:cs="Arial" w:eastAsia="Arial" w:hAnsi="Arial"/>
                <w:sz w:val="14"/>
                <w:szCs w:val="14"/>
                <w:color w:val="auto"/>
              </w:rPr>
              <w:t>Noncash items included in net income (loss):</w:t>
            </w: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Depreciation and amortization of property</w:t>
            </w:r>
          </w:p>
        </w:tc>
        <w:tc>
          <w:tcPr>
            <w:tcW w:w="6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22,541</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20,825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16,734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860"/>
              <w:spacing w:after="0" w:line="149" w:lineRule="exact"/>
              <w:rPr>
                <w:sz w:val="20"/>
                <w:szCs w:val="20"/>
                <w:color w:val="auto"/>
              </w:rPr>
            </w:pPr>
            <w:r>
              <w:rPr>
                <w:rFonts w:ascii="Arial" w:cs="Arial" w:eastAsia="Arial" w:hAnsi="Arial"/>
                <w:sz w:val="14"/>
                <w:szCs w:val="14"/>
                <w:color w:val="auto"/>
              </w:rPr>
              <w:t>Amortization of deferred expenses, stock units and interest rate hedge</w:t>
            </w:r>
          </w:p>
        </w:tc>
        <w:tc>
          <w:tcPr>
            <w:tcW w:w="6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371,363</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245,575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110,174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Amortization of intangible assets related to business acquisitions</w:t>
            </w:r>
          </w:p>
        </w:tc>
        <w:tc>
          <w:tcPr>
            <w:tcW w:w="6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4,990</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4,596</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860"/>
              <w:spacing w:after="0" w:line="149" w:lineRule="exact"/>
              <w:rPr>
                <w:sz w:val="20"/>
                <w:szCs w:val="20"/>
                <w:color w:val="auto"/>
              </w:rPr>
            </w:pPr>
            <w:r>
              <w:rPr>
                <w:rFonts w:ascii="Arial" w:cs="Arial" w:eastAsia="Arial" w:hAnsi="Arial"/>
                <w:sz w:val="14"/>
                <w:szCs w:val="14"/>
                <w:color w:val="auto"/>
              </w:rPr>
              <w:t>Deferred tax benefit</w:t>
            </w:r>
          </w:p>
        </w:tc>
        <w:tc>
          <w:tcPr>
            <w:tcW w:w="6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(8,017)</w:t>
            </w:r>
          </w:p>
        </w:tc>
        <w:tc>
          <w:tcPr>
            <w:tcW w:w="6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(17,259)</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(6,999)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Gain on extinguishment of debt</w:t>
            </w:r>
          </w:p>
        </w:tc>
        <w:tc>
          <w:tcPr>
            <w:tcW w:w="68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(258)</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(20,253)</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860"/>
              <w:spacing w:after="0" w:line="149" w:lineRule="exact"/>
              <w:rPr>
                <w:sz w:val="20"/>
                <w:szCs w:val="20"/>
                <w:color w:val="auto"/>
              </w:rPr>
            </w:pPr>
            <w:r>
              <w:rPr>
                <w:rFonts w:ascii="Arial" w:cs="Arial" w:eastAsia="Arial" w:hAnsi="Arial"/>
                <w:sz w:val="14"/>
                <w:szCs w:val="14"/>
                <w:color w:val="auto"/>
              </w:rPr>
              <w:t>LAM Merger</w:t>
            </w:r>
          </w:p>
        </w:tc>
        <w:tc>
          <w:tcPr>
            <w:tcW w:w="68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64,512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decrease in operating assets:</w:t>
            </w:r>
          </w:p>
        </w:tc>
        <w:tc>
          <w:tcPr>
            <w:tcW w:w="6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860"/>
              <w:spacing w:after="0" w:line="149" w:lineRule="exact"/>
              <w:rPr>
                <w:sz w:val="20"/>
                <w:szCs w:val="20"/>
                <w:color w:val="auto"/>
              </w:rPr>
            </w:pPr>
            <w:r>
              <w:rPr>
                <w:rFonts w:ascii="Arial" w:cs="Arial" w:eastAsia="Arial" w:hAnsi="Arial"/>
                <w:sz w:val="14"/>
                <w:szCs w:val="14"/>
                <w:color w:val="auto"/>
              </w:rPr>
              <w:t>Cash deposited with clearing organizations and other segregated cash</w:t>
            </w:r>
          </w:p>
        </w:tc>
        <w:tc>
          <w:tcPr>
            <w:tcW w:w="6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(5,004)</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9,007</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(6,309)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Receivables-net</w:t>
            </w:r>
          </w:p>
        </w:tc>
        <w:tc>
          <w:tcPr>
            <w:tcW w:w="6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82,106</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292,385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229,431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860"/>
              <w:spacing w:after="0" w:line="149" w:lineRule="exact"/>
              <w:rPr>
                <w:sz w:val="20"/>
                <w:szCs w:val="20"/>
                <w:color w:val="auto"/>
              </w:rPr>
            </w:pPr>
            <w:r>
              <w:rPr>
                <w:rFonts w:ascii="Arial" w:cs="Arial" w:eastAsia="Arial" w:hAnsi="Arial"/>
                <w:sz w:val="14"/>
                <w:szCs w:val="14"/>
                <w:color w:val="auto"/>
              </w:rPr>
              <w:t>Investments</w:t>
            </w:r>
          </w:p>
        </w:tc>
        <w:tc>
          <w:tcPr>
            <w:tcW w:w="6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(35,468)</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517,288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6"/>
              </w:rPr>
              <w:t>(262,080)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assets</w:t>
            </w:r>
          </w:p>
        </w:tc>
        <w:tc>
          <w:tcPr>
            <w:tcW w:w="6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25,930</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(21,056)</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(37,986)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operating liabilities:</w:t>
            </w: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Deposits and other payables</w:t>
            </w:r>
          </w:p>
        </w:tc>
        <w:tc>
          <w:tcPr>
            <w:tcW w:w="68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(247,892)</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(130,840)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(443,858)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60" w:type="dxa"/>
            <w:vAlign w:val="bottom"/>
          </w:tcPr>
          <w:p>
            <w:pPr>
              <w:ind w:left="860"/>
              <w:spacing w:after="0" w:line="149" w:lineRule="exact"/>
              <w:rPr>
                <w:sz w:val="20"/>
                <w:szCs w:val="20"/>
                <w:color w:val="auto"/>
              </w:rPr>
            </w:pPr>
            <w:r>
              <w:rPr>
                <w:rFonts w:ascii="Arial" w:cs="Arial" w:eastAsia="Arial" w:hAnsi="Arial"/>
                <w:sz w:val="14"/>
                <w:szCs w:val="14"/>
                <w:color w:val="auto"/>
              </w:rPr>
              <w:t>Accrued compensation and benefits and other liabilities</w:t>
            </w:r>
          </w:p>
        </w:tc>
        <w:tc>
          <w:tcPr>
            <w:tcW w:w="680" w:type="dxa"/>
            <w:vAlign w:val="bottom"/>
          </w:tcPr>
          <w:p>
            <w:pPr>
              <w:spacing w:after="0"/>
              <w:rPr>
                <w:sz w:val="13"/>
                <w:szCs w:val="13"/>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274,778</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6"/>
              </w:rPr>
              <w:t>(374,465)</w:t>
            </w:r>
          </w:p>
        </w:tc>
        <w:tc>
          <w:tcPr>
            <w:tcW w:w="80" w:type="dxa"/>
            <w:vAlign w:val="bottom"/>
          </w:tcPr>
          <w:p>
            <w:pPr>
              <w:spacing w:after="0"/>
              <w:rPr>
                <w:sz w:val="13"/>
                <w:szCs w:val="13"/>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112,509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provided by operating activities</w:t>
            </w:r>
          </w:p>
        </w:tc>
        <w:tc>
          <w:tcPr>
            <w:tcW w:w="680" w:type="dxa"/>
            <w:vAlign w:val="bottom"/>
            <w:tcBorders>
              <w:right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271,354</w:t>
            </w:r>
          </w:p>
        </w:tc>
        <w:tc>
          <w:tcPr>
            <w:tcW w:w="30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602,653</w:t>
            </w: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80,417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2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4"/>
              </w:rPr>
              <w:t>Acquisition of businesses in 2009 and 2007, net of cash acquired of $6,641 and $19,002, respectively, and equity method investments</w:t>
            </w:r>
          </w:p>
        </w:tc>
        <w:tc>
          <w:tcPr>
            <w:tcW w:w="68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(39,139)</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(74,855)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(135,060)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420"/>
              <w:spacing w:after="0" w:line="149" w:lineRule="exact"/>
              <w:rPr>
                <w:sz w:val="20"/>
                <w:szCs w:val="20"/>
                <w:color w:val="auto"/>
              </w:rPr>
            </w:pPr>
            <w:r>
              <w:rPr>
                <w:rFonts w:ascii="Arial" w:cs="Arial" w:eastAsia="Arial" w:hAnsi="Arial"/>
                <w:sz w:val="14"/>
                <w:szCs w:val="14"/>
                <w:color w:val="auto"/>
              </w:rPr>
              <w:t>Additions to property</w:t>
            </w:r>
          </w:p>
        </w:tc>
        <w:tc>
          <w:tcPr>
            <w:tcW w:w="6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(11,913)</w:t>
            </w:r>
          </w:p>
        </w:tc>
        <w:tc>
          <w:tcPr>
            <w:tcW w:w="6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(18,509)</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(16,441)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Disposals of property</w:t>
            </w:r>
          </w:p>
        </w:tc>
        <w:tc>
          <w:tcPr>
            <w:tcW w:w="6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420"/>
              <w:spacing w:after="0" w:line="149" w:lineRule="exact"/>
              <w:rPr>
                <w:sz w:val="20"/>
                <w:szCs w:val="20"/>
                <w:color w:val="auto"/>
              </w:rPr>
            </w:pPr>
            <w:r>
              <w:rPr>
                <w:rFonts w:ascii="Arial" w:cs="Arial" w:eastAsia="Arial" w:hAnsi="Arial"/>
                <w:sz w:val="14"/>
                <w:szCs w:val="14"/>
                <w:color w:val="auto"/>
              </w:rPr>
              <w:t>Purchases of held-to-maturity securities</w:t>
            </w:r>
          </w:p>
        </w:tc>
        <w:tc>
          <w:tcPr>
            <w:tcW w:w="6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(136,095)</w:t>
            </w:r>
          </w:p>
        </w:tc>
        <w:tc>
          <w:tcPr>
            <w:tcW w:w="6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Purchases of available-for-sale securities</w:t>
            </w:r>
          </w:p>
        </w:tc>
        <w:tc>
          <w:tcPr>
            <w:tcW w:w="68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(3,466)</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(147,340)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(73,235)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60" w:type="dxa"/>
            <w:vAlign w:val="bottom"/>
          </w:tcPr>
          <w:p>
            <w:pPr>
              <w:ind w:left="420"/>
              <w:spacing w:after="0" w:line="149" w:lineRule="exact"/>
              <w:rPr>
                <w:sz w:val="20"/>
                <w:szCs w:val="20"/>
                <w:color w:val="auto"/>
              </w:rPr>
            </w:pPr>
            <w:r>
              <w:rPr>
                <w:rFonts w:ascii="Arial" w:cs="Arial" w:eastAsia="Arial" w:hAnsi="Arial"/>
                <w:sz w:val="14"/>
                <w:szCs w:val="14"/>
                <w:color w:val="auto"/>
              </w:rPr>
              <w:t>Proceeds from sales and maturities of available-for-sale securities</w:t>
            </w:r>
          </w:p>
        </w:tc>
        <w:tc>
          <w:tcPr>
            <w:tcW w:w="68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93,472</w:t>
            </w:r>
          </w:p>
        </w:tc>
        <w:tc>
          <w:tcPr>
            <w:tcW w:w="3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88,033</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used in investing activities</w:t>
            </w:r>
          </w:p>
        </w:tc>
        <w:tc>
          <w:tcPr>
            <w:tcW w:w="68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(96,558)</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(151,928)</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(222,821)</w:t>
            </w:r>
          </w:p>
        </w:tc>
        <w:tc>
          <w:tcPr>
            <w:tcW w:w="0" w:type="dxa"/>
            <w:vAlign w:val="bottom"/>
          </w:tcPr>
          <w:p>
            <w:pPr>
              <w:spacing w:after="0"/>
              <w:rPr>
                <w:sz w:val="1"/>
                <w:szCs w:val="1"/>
                <w:color w:val="auto"/>
              </w:rPr>
            </w:pPr>
          </w:p>
        </w:tc>
      </w:tr>
      <w:tr>
        <w:trPr>
          <w:trHeight w:val="156"/>
        </w:trPr>
        <w:tc>
          <w:tcPr>
            <w:tcW w:w="82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6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w:t>
            </w:r>
          </w:p>
        </w:tc>
        <w:tc>
          <w:tcPr>
            <w:tcW w:w="6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860"/>
              <w:spacing w:after="0" w:line="149" w:lineRule="exact"/>
              <w:rPr>
                <w:sz w:val="20"/>
                <w:szCs w:val="20"/>
                <w:color w:val="auto"/>
              </w:rPr>
            </w:pPr>
            <w:r>
              <w:rPr>
                <w:rFonts w:ascii="Arial" w:cs="Arial" w:eastAsia="Arial" w:hAnsi="Arial"/>
                <w:sz w:val="14"/>
                <w:szCs w:val="14"/>
                <w:color w:val="auto"/>
              </w:rPr>
              <w:t>Issuance of common membership interests</w:t>
            </w:r>
          </w:p>
        </w:tc>
        <w:tc>
          <w:tcPr>
            <w:tcW w:w="68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437,500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Senior borrowings, net of expenses</w:t>
            </w:r>
          </w:p>
        </w:tc>
        <w:tc>
          <w:tcPr>
            <w:tcW w:w="68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593,485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860"/>
              <w:spacing w:after="0" w:line="149" w:lineRule="exact"/>
              <w:rPr>
                <w:sz w:val="20"/>
                <w:szCs w:val="20"/>
                <w:color w:val="auto"/>
              </w:rPr>
            </w:pPr>
            <w:r>
              <w:rPr>
                <w:rFonts w:ascii="Arial" w:cs="Arial" w:eastAsia="Arial" w:hAnsi="Arial"/>
                <w:sz w:val="14"/>
                <w:szCs w:val="14"/>
                <w:color w:val="auto"/>
              </w:rPr>
              <w:t>Other financing activities</w:t>
            </w:r>
          </w:p>
        </w:tc>
        <w:tc>
          <w:tcPr>
            <w:tcW w:w="6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359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4,569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Payments for:</w:t>
            </w:r>
          </w:p>
        </w:tc>
        <w:tc>
          <w:tcPr>
            <w:tcW w:w="6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860"/>
              <w:spacing w:after="0" w:line="149" w:lineRule="exact"/>
              <w:rPr>
                <w:sz w:val="20"/>
                <w:szCs w:val="20"/>
                <w:color w:val="auto"/>
              </w:rPr>
            </w:pPr>
            <w:r>
              <w:rPr>
                <w:rFonts w:ascii="Arial" w:cs="Arial" w:eastAsia="Arial" w:hAnsi="Arial"/>
                <w:sz w:val="14"/>
                <w:szCs w:val="14"/>
                <w:color w:val="auto"/>
              </w:rPr>
              <w:t>Senior borrowings</w:t>
            </w:r>
          </w:p>
        </w:tc>
        <w:tc>
          <w:tcPr>
            <w:tcW w:w="6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(635)</w:t>
            </w:r>
          </w:p>
        </w:tc>
        <w:tc>
          <w:tcPr>
            <w:tcW w:w="6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6"/>
              </w:rPr>
              <w:t>(478,925)</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(96,000)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Subordinated borrowings</w:t>
            </w:r>
          </w:p>
        </w:tc>
        <w:tc>
          <w:tcPr>
            <w:tcW w:w="68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860"/>
              <w:spacing w:after="0" w:line="149" w:lineRule="exact"/>
              <w:rPr>
                <w:sz w:val="20"/>
                <w:szCs w:val="20"/>
                <w:color w:val="auto"/>
              </w:rPr>
            </w:pPr>
            <w:r>
              <w:rPr>
                <w:rFonts w:ascii="Arial" w:cs="Arial" w:eastAsia="Arial" w:hAnsi="Arial"/>
                <w:sz w:val="14"/>
                <w:szCs w:val="14"/>
                <w:color w:val="auto"/>
              </w:rPr>
              <w:t>Capital lease obligations</w:t>
            </w:r>
          </w:p>
        </w:tc>
        <w:tc>
          <w:tcPr>
            <w:tcW w:w="6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(2,980)</w:t>
            </w:r>
          </w:p>
        </w:tc>
        <w:tc>
          <w:tcPr>
            <w:tcW w:w="6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(3,095)</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Distributions to noncontrolling interests</w:t>
            </w:r>
          </w:p>
        </w:tc>
        <w:tc>
          <w:tcPr>
            <w:tcW w:w="68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(8,337)</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(17,616)</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(18,767)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860"/>
              <w:spacing w:after="0" w:line="149" w:lineRule="exact"/>
              <w:rPr>
                <w:sz w:val="20"/>
                <w:szCs w:val="20"/>
                <w:color w:val="auto"/>
              </w:rPr>
            </w:pPr>
            <w:r>
              <w:rPr>
                <w:rFonts w:ascii="Arial" w:cs="Arial" w:eastAsia="Arial" w:hAnsi="Arial"/>
                <w:sz w:val="14"/>
                <w:szCs w:val="14"/>
                <w:color w:val="auto"/>
              </w:rPr>
              <w:t>Repurchase of common membership interests from members of LAZ-MD Holdings</w:t>
            </w:r>
          </w:p>
        </w:tc>
        <w:tc>
          <w:tcPr>
            <w:tcW w:w="6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(13,285)</w:t>
            </w:r>
          </w:p>
        </w:tc>
        <w:tc>
          <w:tcPr>
            <w:tcW w:w="6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(2,559)</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(21,840)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Purchase of Lazard Ltd Class A common stock</w:t>
            </w:r>
          </w:p>
        </w:tc>
        <w:tc>
          <w:tcPr>
            <w:tcW w:w="68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(50,479)</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(277,064)</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(68,052)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860"/>
              <w:spacing w:after="0" w:line="149" w:lineRule="exact"/>
              <w:rPr>
                <w:sz w:val="20"/>
                <w:szCs w:val="20"/>
                <w:color w:val="auto"/>
              </w:rPr>
            </w:pPr>
            <w:r>
              <w:rPr>
                <w:rFonts w:ascii="Arial" w:cs="Arial" w:eastAsia="Arial" w:hAnsi="Arial"/>
                <w:sz w:val="14"/>
                <w:szCs w:val="14"/>
                <w:color w:val="auto"/>
              </w:rPr>
              <w:t>Distribution to members</w:t>
            </w:r>
          </w:p>
        </w:tc>
        <w:tc>
          <w:tcPr>
            <w:tcW w:w="6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(118,214)</w:t>
            </w:r>
          </w:p>
        </w:tc>
        <w:tc>
          <w:tcPr>
            <w:tcW w:w="6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6"/>
              </w:rPr>
              <w:t>(127,108)</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6"/>
              </w:rPr>
              <w:t>(148,272)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Settlement of vested RSUs</w:t>
            </w:r>
          </w:p>
        </w:tc>
        <w:tc>
          <w:tcPr>
            <w:tcW w:w="68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(13,220)</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(4,291)</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860"/>
              <w:spacing w:after="0" w:line="149" w:lineRule="exact"/>
              <w:rPr>
                <w:sz w:val="20"/>
                <w:szCs w:val="20"/>
                <w:color w:val="auto"/>
              </w:rPr>
            </w:pPr>
            <w:r>
              <w:rPr>
                <w:rFonts w:ascii="Arial" w:cs="Arial" w:eastAsia="Arial" w:hAnsi="Arial"/>
                <w:sz w:val="14"/>
                <w:szCs w:val="14"/>
                <w:color w:val="auto"/>
              </w:rPr>
              <w:t>Other financing activities</w:t>
            </w:r>
          </w:p>
        </w:tc>
        <w:tc>
          <w:tcPr>
            <w:tcW w:w="6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(210)</w:t>
            </w:r>
          </w:p>
        </w:tc>
        <w:tc>
          <w:tcPr>
            <w:tcW w:w="6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(8,137)</w:t>
            </w: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68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(207,308)</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(480,936)</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193,679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EFFECT OF EXCHANGE RATE CHANGES ON CASH</w:t>
            </w:r>
          </w:p>
        </w:tc>
        <w:tc>
          <w:tcPr>
            <w:tcW w:w="6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8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24,967</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(63,084)</w:t>
            </w:r>
          </w:p>
        </w:tc>
        <w:tc>
          <w:tcPr>
            <w:tcW w:w="80" w:type="dxa"/>
            <w:vAlign w:val="bottom"/>
          </w:tcPr>
          <w:p>
            <w:pPr>
              <w:spacing w:after="0"/>
              <w:rPr>
                <w:sz w:val="13"/>
                <w:szCs w:val="13"/>
                <w:color w:val="auto"/>
              </w:rPr>
            </w:pPr>
          </w:p>
        </w:tc>
        <w:tc>
          <w:tcPr>
            <w:tcW w:w="6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(5,818)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68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(7,545)</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(93,295)</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45,457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6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EQUIVALENTS—January 1</w:t>
            </w:r>
          </w:p>
        </w:tc>
        <w:tc>
          <w:tcPr>
            <w:tcW w:w="68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907,278</w:t>
            </w:r>
          </w:p>
        </w:tc>
        <w:tc>
          <w:tcPr>
            <w:tcW w:w="3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3"/>
              </w:rPr>
              <w:t>1,000,573</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955,116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EQUIVALENTS—December 31</w:t>
            </w: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899,733</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907,278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1,000,573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8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paid during the year for:</w:t>
            </w:r>
          </w:p>
        </w:tc>
        <w:tc>
          <w:tcPr>
            <w:tcW w:w="6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420"/>
              <w:spacing w:after="0" w:line="149" w:lineRule="exact"/>
              <w:rPr>
                <w:sz w:val="20"/>
                <w:szCs w:val="20"/>
                <w:color w:val="auto"/>
              </w:rPr>
            </w:pPr>
            <w:r>
              <w:rPr>
                <w:rFonts w:ascii="Arial" w:cs="Arial" w:eastAsia="Arial" w:hAnsi="Arial"/>
                <w:sz w:val="14"/>
                <w:szCs w:val="14"/>
                <w:color w:val="auto"/>
              </w:rPr>
              <w:t>Interest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98,611</w:t>
            </w:r>
          </w:p>
        </w:tc>
        <w:tc>
          <w:tcPr>
            <w:tcW w:w="3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141,452</w:t>
            </w:r>
          </w:p>
        </w:tc>
        <w:tc>
          <w:tcPr>
            <w:tcW w:w="3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138,559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26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rPr>
              <w:t>Income taxes</w:t>
            </w:r>
          </w:p>
        </w:tc>
        <w:tc>
          <w:tcPr>
            <w:tcW w:w="680" w:type="dxa"/>
            <w:vAlign w:val="bottom"/>
            <w:tcBorders>
              <w:right w:val="single" w:sz="8" w:color="CCEEFF"/>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28,185</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98,248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72,741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CONSOLIDATED STATEMENTS OF CHANGES IN MEMBERS’ EQUITY (DEFICIENCY)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Accumulated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gridSpan w:val="3"/>
          </w:tcPr>
          <w:p>
            <w:pPr>
              <w:jc w:val="right"/>
              <w:ind w:right="118"/>
              <w:spacing w:after="0" w:line="149" w:lineRule="exact"/>
              <w:rPr>
                <w:sz w:val="20"/>
                <w:szCs w:val="20"/>
                <w:color w:val="auto"/>
              </w:rPr>
            </w:pPr>
            <w:r>
              <w:rPr>
                <w:rFonts w:ascii="Arial" w:cs="Arial" w:eastAsia="Arial" w:hAnsi="Arial"/>
                <w:sz w:val="14"/>
                <w:szCs w:val="14"/>
                <w:b w:val="1"/>
                <w:bCs w:val="1"/>
                <w:color w:val="auto"/>
                <w:w w:val="97"/>
              </w:rPr>
              <w:t>Members’</w:t>
            </w:r>
          </w:p>
        </w:tc>
        <w:tc>
          <w:tcPr>
            <w:tcW w:w="80" w:type="dxa"/>
            <w:vAlign w:val="bottom"/>
          </w:tcPr>
          <w:p>
            <w:pPr>
              <w:spacing w:after="0"/>
              <w:rPr>
                <w:sz w:val="12"/>
                <w:szCs w:val="12"/>
                <w:color w:val="auto"/>
              </w:rPr>
            </w:pP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60" w:type="dxa"/>
            <w:vAlign w:val="bottom"/>
          </w:tcPr>
          <w:p>
            <w:pPr>
              <w:spacing w:after="0"/>
              <w:rPr>
                <w:sz w:val="12"/>
                <w:szCs w:val="12"/>
                <w:color w:val="auto"/>
              </w:rPr>
            </w:pP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Total Lazard Group</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Members’</w:t>
            </w: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18"/>
              <w:spacing w:after="0" w:line="149" w:lineRule="exact"/>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2"/>
                <w:szCs w:val="12"/>
                <w:color w:val="auto"/>
              </w:rPr>
            </w:pP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60" w:type="dxa"/>
            <w:vAlign w:val="bottom"/>
          </w:tcPr>
          <w:p>
            <w:pPr>
              <w:spacing w:after="0"/>
              <w:rPr>
                <w:sz w:val="12"/>
                <w:szCs w:val="12"/>
                <w:color w:val="auto"/>
              </w:rPr>
            </w:pPr>
          </w:p>
        </w:tc>
        <w:tc>
          <w:tcPr>
            <w:tcW w:w="13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6"/>
              </w:rPr>
              <w:t>Members’ Equity</w:t>
            </w:r>
          </w:p>
        </w:tc>
        <w:tc>
          <w:tcPr>
            <w:tcW w:w="6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Equity</w:t>
            </w: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(Deficiency)</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5"/>
              </w:rPr>
              <w:t>Net of Tax</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5"/>
              </w:rPr>
              <w:t>(Deficiency)</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(Deficiency)</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1, 2007</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(292,472)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33,263</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(259,209)</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54,617</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8"/>
              </w:rPr>
              <w:t>(204,592)</w:t>
            </w:r>
          </w:p>
        </w:tc>
      </w:tr>
      <w:tr>
        <w:trPr>
          <w:trHeight w:val="222"/>
        </w:trPr>
        <w:tc>
          <w:tcPr>
            <w:tcW w:w="554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342,134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342,134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347,278</w:t>
            </w: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Other comprehensive income (loss) - net of tax:</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Currency translation adjustments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25,839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25,841</w:t>
            </w:r>
          </w:p>
        </w:tc>
      </w:tr>
      <w:tr>
        <w:trPr>
          <w:trHeight w:val="216"/>
        </w:trPr>
        <w:tc>
          <w:tcPr>
            <w:tcW w:w="20" w:type="dxa"/>
            <w:vAlign w:val="bottom"/>
          </w:tcPr>
          <w:p>
            <w:pPr>
              <w:spacing w:after="0"/>
              <w:rPr>
                <w:sz w:val="18"/>
                <w:szCs w:val="18"/>
                <w:color w:val="auto"/>
              </w:rPr>
            </w:pPr>
          </w:p>
        </w:tc>
        <w:tc>
          <w:tcPr>
            <w:tcW w:w="5520" w:type="dxa"/>
            <w:vAlign w:val="bottom"/>
          </w:tcPr>
          <w:p>
            <w:pPr>
              <w:ind w:left="860"/>
              <w:spacing w:after="0"/>
              <w:rPr>
                <w:sz w:val="20"/>
                <w:szCs w:val="20"/>
                <w:color w:val="auto"/>
              </w:rPr>
            </w:pPr>
            <w:r>
              <w:rPr>
                <w:rFonts w:ascii="Arial" w:cs="Arial" w:eastAsia="Arial" w:hAnsi="Arial"/>
                <w:sz w:val="18"/>
                <w:szCs w:val="18"/>
                <w:color w:val="auto"/>
              </w:rPr>
              <w:t>Amortization of interest rate hedge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1,100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1,100</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Available-for-sale securities: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280"/>
              <w:spacing w:after="0"/>
              <w:rPr>
                <w:sz w:val="20"/>
                <w:szCs w:val="20"/>
                <w:color w:val="auto"/>
              </w:rPr>
            </w:pPr>
            <w:r>
              <w:rPr>
                <w:rFonts w:ascii="Arial" w:cs="Arial" w:eastAsia="Arial" w:hAnsi="Arial"/>
                <w:sz w:val="18"/>
                <w:szCs w:val="18"/>
                <w:color w:val="auto"/>
              </w:rPr>
              <w:t>Net unrealized loss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(670)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(670)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(670)</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Employee benefit plans: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280"/>
              <w:spacing w:after="0"/>
              <w:rPr>
                <w:sz w:val="20"/>
                <w:szCs w:val="20"/>
                <w:color w:val="auto"/>
              </w:rPr>
            </w:pPr>
            <w:r>
              <w:rPr>
                <w:rFonts w:ascii="Arial" w:cs="Arial" w:eastAsia="Arial" w:hAnsi="Arial"/>
                <w:sz w:val="18"/>
                <w:szCs w:val="18"/>
                <w:color w:val="auto"/>
              </w:rPr>
              <w:t>Net actuarial loss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(3,440)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(3,440)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(3,440)</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Adjustments for items reclassified to earnings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w:t>
            </w:r>
          </w:p>
        </w:tc>
      </w:tr>
      <w:tr>
        <w:trPr>
          <w:trHeight w:val="230"/>
        </w:trPr>
        <w:tc>
          <w:tcPr>
            <w:tcW w:w="20" w:type="dxa"/>
            <w:vAlign w:val="bottom"/>
          </w:tcPr>
          <w:p>
            <w:pPr>
              <w:spacing w:after="0"/>
              <w:rPr>
                <w:sz w:val="20"/>
                <w:szCs w:val="20"/>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Comprehensive income</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364,544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369,690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stock units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104,765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104,765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104,765</w:t>
            </w: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Distributions to members and noncontrolling interests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8"/>
              </w:rPr>
              <w:t>(148,272)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(148,272)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(8,008)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(156,280)</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(68,052)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(68,052)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(68,052)</w:t>
            </w: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0"/>
              </w:rPr>
              <w:t>Delivery of Lazard Ltd Class A common stock for settlement of vested RSUs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8"/>
              </w:rPr>
              <w:t>Repurchase of common membership interests from LAZ-MD Holdings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(21,840)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(21,840)</w:t>
            </w: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9"/>
              </w:rPr>
              <w:t>Adjustments related to business acquisitions and related amortization</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1,636</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r>
      <w:tr>
        <w:trPr>
          <w:trHeight w:val="222"/>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Balance – December 31, 2007(*)</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(81,980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55,673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(26,307)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51,755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25,448</w:t>
            </w:r>
          </w:p>
        </w:tc>
        <w:tc>
          <w:tcPr>
            <w:tcW w:w="100" w:type="dxa"/>
            <w:vAlign w:val="bottom"/>
          </w:tcPr>
          <w:p>
            <w:pPr>
              <w:spacing w:after="0"/>
              <w:rPr>
                <w:sz w:val="19"/>
                <w:szCs w:val="19"/>
                <w:color w:val="auto"/>
              </w:rPr>
            </w:pPr>
          </w:p>
        </w:tc>
      </w:tr>
      <w:tr>
        <w:trPr>
          <w:trHeight w:val="371"/>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540" w:type="dxa"/>
            <w:vAlign w:val="bottom"/>
          </w:tcPr>
          <w:p>
            <w:pPr>
              <w:jc w:val="right"/>
              <w:ind w:right="19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CONSOLIDATED STATEMENTS OF CHANGES IN MEMBERS’ EQUITY (DEFICIENCY)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2009, 2008 AND 2007—(Continued)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7"/>
              </w:rPr>
              <w:t>Members’</w:t>
            </w:r>
          </w:p>
        </w:tc>
        <w:tc>
          <w:tcPr>
            <w:tcW w:w="180" w:type="dxa"/>
            <w:vAlign w:val="bottom"/>
          </w:tcPr>
          <w:p>
            <w:pPr>
              <w:spacing w:after="0"/>
              <w:rPr>
                <w:sz w:val="12"/>
                <w:szCs w:val="12"/>
                <w:color w:val="auto"/>
              </w:rPr>
            </w:pPr>
          </w:p>
        </w:tc>
        <w:tc>
          <w:tcPr>
            <w:tcW w:w="13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Total Lazard Group</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Equity</w:t>
            </w:r>
          </w:p>
        </w:tc>
        <w:tc>
          <w:tcPr>
            <w:tcW w:w="180" w:type="dxa"/>
            <w:vAlign w:val="bottom"/>
          </w:tcPr>
          <w:p>
            <w:pPr>
              <w:spacing w:after="0"/>
              <w:rPr>
                <w:sz w:val="12"/>
                <w:szCs w:val="12"/>
                <w:color w:val="auto"/>
              </w:rPr>
            </w:pPr>
          </w:p>
        </w:tc>
        <w:tc>
          <w:tcPr>
            <w:tcW w:w="13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58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w w:val="94"/>
              </w:rPr>
              <w:t>Members’ Equity</w:t>
            </w: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Members’</w:t>
            </w: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(Deficiency)</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8"/>
              </w:rPr>
              <w:t>Net of Tax</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3"/>
              </w:rPr>
              <w:t>(Deficiency)</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Interests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8"/>
              </w:rPr>
              <w:t>Equity</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1, 2008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8"/>
              </w:rPr>
              <w:t>(81,980)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55,673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(26,307)</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51,755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25,448</w:t>
            </w:r>
          </w:p>
        </w:tc>
      </w:tr>
      <w:tr>
        <w:trPr>
          <w:trHeight w:val="222"/>
        </w:trPr>
        <w:tc>
          <w:tcPr>
            <w:tcW w:w="504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12,338</w:t>
            </w: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Other comprehensive income (loss) - net of tax:</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Currency translation adjustments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(151,761)</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(151,761)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(151,762)</w:t>
            </w:r>
          </w:p>
        </w:tc>
      </w:tr>
      <w:tr>
        <w:trPr>
          <w:trHeight w:val="216"/>
        </w:trPr>
        <w:tc>
          <w:tcPr>
            <w:tcW w:w="20" w:type="dxa"/>
            <w:vAlign w:val="bottom"/>
          </w:tcPr>
          <w:p>
            <w:pPr>
              <w:spacing w:after="0"/>
              <w:rPr>
                <w:sz w:val="18"/>
                <w:szCs w:val="18"/>
                <w:color w:val="auto"/>
              </w:rPr>
            </w:pPr>
          </w:p>
        </w:tc>
        <w:tc>
          <w:tcPr>
            <w:tcW w:w="5020" w:type="dxa"/>
            <w:vAlign w:val="bottom"/>
          </w:tcPr>
          <w:p>
            <w:pPr>
              <w:ind w:left="860"/>
              <w:spacing w:after="0"/>
              <w:rPr>
                <w:sz w:val="20"/>
                <w:szCs w:val="20"/>
                <w:color w:val="auto"/>
              </w:rPr>
            </w:pPr>
            <w:r>
              <w:rPr>
                <w:rFonts w:ascii="Arial" w:cs="Arial" w:eastAsia="Arial" w:hAnsi="Arial"/>
                <w:sz w:val="18"/>
                <w:szCs w:val="18"/>
                <w:color w:val="auto"/>
              </w:rPr>
              <w:t>Amortization of interest rate hedge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1,246</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280"/>
              <w:spacing w:after="0"/>
              <w:rPr>
                <w:sz w:val="20"/>
                <w:szCs w:val="20"/>
                <w:color w:val="auto"/>
              </w:rPr>
            </w:pPr>
            <w:r>
              <w:rPr>
                <w:rFonts w:ascii="Arial" w:cs="Arial" w:eastAsia="Arial" w:hAnsi="Arial"/>
                <w:sz w:val="18"/>
                <w:szCs w:val="18"/>
                <w:color w:val="auto"/>
              </w:rPr>
              <w:t>Net unrealized loss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(40,847)</w:t>
            </w:r>
          </w:p>
        </w:tc>
        <w:tc>
          <w:tcPr>
            <w:tcW w:w="16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(40,847)</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(40,850)</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Adjustment for items reclassified to earnings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5020" w:type="dxa"/>
            <w:vAlign w:val="bottom"/>
          </w:tcPr>
          <w:p>
            <w:pPr>
              <w:ind w:left="860"/>
              <w:spacing w:after="0"/>
              <w:rPr>
                <w:sz w:val="20"/>
                <w:szCs w:val="20"/>
                <w:color w:val="auto"/>
              </w:rPr>
            </w:pPr>
            <w:r>
              <w:rPr>
                <w:rFonts w:ascii="Arial" w:cs="Arial" w:eastAsia="Arial" w:hAnsi="Arial"/>
                <w:sz w:val="18"/>
                <w:szCs w:val="18"/>
                <w:color w:val="auto"/>
              </w:rPr>
              <w:t>Employee benefit plans: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actuarial gain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14,154</w:t>
            </w:r>
          </w:p>
        </w:tc>
      </w:tr>
      <w:tr>
        <w:trPr>
          <w:trHeight w:val="223"/>
        </w:trPr>
        <w:tc>
          <w:tcPr>
            <w:tcW w:w="20" w:type="dxa"/>
            <w:vAlign w:val="bottom"/>
          </w:tcPr>
          <w:p>
            <w:pPr>
              <w:spacing w:after="0"/>
              <w:rPr>
                <w:sz w:val="19"/>
                <w:szCs w:val="19"/>
                <w:color w:val="auto"/>
              </w:rPr>
            </w:pPr>
          </w:p>
        </w:tc>
        <w:tc>
          <w:tcPr>
            <w:tcW w:w="5020" w:type="dxa"/>
            <w:vAlign w:val="bottom"/>
          </w:tcPr>
          <w:p>
            <w:pPr>
              <w:ind w:left="1280"/>
              <w:spacing w:after="0"/>
              <w:rPr>
                <w:sz w:val="20"/>
                <w:szCs w:val="20"/>
                <w:color w:val="auto"/>
              </w:rPr>
            </w:pPr>
            <w:r>
              <w:rPr>
                <w:rFonts w:ascii="Arial" w:cs="Arial" w:eastAsia="Arial" w:hAnsi="Arial"/>
                <w:sz w:val="18"/>
                <w:szCs w:val="18"/>
                <w:color w:val="auto"/>
              </w:rPr>
              <w:t>Adjustment for items reclassified to earnings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(151,409)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(164,746)</w:t>
            </w:r>
          </w:p>
        </w:tc>
      </w:tr>
      <w:tr>
        <w:trPr>
          <w:trHeight w:val="235"/>
        </w:trPr>
        <w:tc>
          <w:tcPr>
            <w:tcW w:w="5040" w:type="dxa"/>
            <w:vAlign w:val="bottom"/>
            <w:gridSpan w:val="2"/>
          </w:tcPr>
          <w:p>
            <w:pPr>
              <w:spacing w:after="0"/>
              <w:rPr>
                <w:sz w:val="20"/>
                <w:szCs w:val="20"/>
                <w:color w:val="auto"/>
              </w:rPr>
            </w:pPr>
            <w:r>
              <w:rPr>
                <w:rFonts w:ascii="Arial" w:cs="Arial" w:eastAsia="Arial" w:hAnsi="Arial"/>
                <w:sz w:val="18"/>
                <w:szCs w:val="18"/>
                <w:color w:val="auto"/>
              </w:rPr>
              <w:t>Amortization of stock units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234,602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234,602</w:t>
            </w:r>
          </w:p>
        </w:tc>
        <w:tc>
          <w:tcPr>
            <w:tcW w:w="4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234,602</w:t>
            </w:r>
          </w:p>
        </w:tc>
        <w:tc>
          <w:tcPr>
            <w:tcW w:w="100" w:type="dxa"/>
            <w:vAlign w:val="bottom"/>
          </w:tcPr>
          <w:p>
            <w:pPr>
              <w:spacing w:after="0"/>
              <w:rPr>
                <w:sz w:val="20"/>
                <w:szCs w:val="20"/>
                <w:color w:val="auto"/>
              </w:rPr>
            </w:pPr>
          </w:p>
        </w:tc>
      </w:tr>
      <w:tr>
        <w:trPr>
          <w:trHeight w:val="232"/>
        </w:trPr>
        <w:tc>
          <w:tcPr>
            <w:tcW w:w="20" w:type="dxa"/>
            <w:vAlign w:val="bottom"/>
          </w:tcPr>
          <w:p>
            <w:pPr>
              <w:spacing w:after="0"/>
              <w:rPr>
                <w:sz w:val="20"/>
                <w:szCs w:val="20"/>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members and noncontrolling interests</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(127,108)</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(127,108)</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(17,537)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(144,645)</w:t>
            </w:r>
          </w:p>
        </w:tc>
      </w:tr>
      <w:tr>
        <w:trPr>
          <w:trHeight w:val="228"/>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Purchase of Lazard Ltd Class A common stock</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(277,064)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(277,064)</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(277,064)</w:t>
            </w: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Delivery of Lazard Ltd Class A common stock for settlement of</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 RSUs and DSUs</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(4,291)</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(4,291)</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(4,291)</w:t>
            </w:r>
          </w:p>
        </w:tc>
      </w:tr>
      <w:tr>
        <w:trPr>
          <w:trHeight w:val="208"/>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Issuance of 14,582,750 common membership interests in the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w w:val="97"/>
              </w:rPr>
              <w:t>settlement of the purchase contracts forming part of the ESUs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437,500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437,500</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437,500</w:t>
            </w: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membership interests from LAZ-MD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Holdings</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(2,559)</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(2,559)</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(2,559)</w:t>
            </w:r>
          </w:p>
        </w:tc>
      </w:tr>
      <w:tr>
        <w:trPr>
          <w:trHeight w:val="208"/>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Common membership interests issued in connection with</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business acquisitions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18,416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18,416</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18,416</w:t>
            </w:r>
          </w:p>
        </w:tc>
      </w:tr>
      <w:tr>
        <w:trPr>
          <w:trHeight w:val="232"/>
        </w:trPr>
        <w:tc>
          <w:tcPr>
            <w:tcW w:w="20" w:type="dxa"/>
            <w:vAlign w:val="bottom"/>
          </w:tcPr>
          <w:p>
            <w:pPr>
              <w:spacing w:after="0"/>
              <w:rPr>
                <w:sz w:val="20"/>
                <w:szCs w:val="20"/>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w w:val="90"/>
              </w:rPr>
              <w:t>Adjustments related to business acquisitions and related amortization</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3,690</w:t>
            </w: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2008(*)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5"/>
              </w:rPr>
              <w:t>227,036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(121,407)</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105,629</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20,881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126,510</w:t>
            </w:r>
          </w:p>
        </w:tc>
      </w:tr>
      <w:tr>
        <w:trPr>
          <w:trHeight w:val="370"/>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CONSOLIDATED STATEMENTS OF CHANGES IN MEMBERS’ EQUITY (DEFICIENCY)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2009, 2008 AND 2007—(Continued)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88"/>
              </w:rPr>
              <w:t>Accumulated</w:t>
            </w: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Other</w:t>
            </w: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Total</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1"/>
              </w:rPr>
              <w:t>Members’</w:t>
            </w: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Lazard Group</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6"/>
              </w:rPr>
              <w:t>Noncontrolling</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Members’</w:t>
            </w:r>
          </w:p>
        </w:tc>
      </w:t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Equity</w:t>
            </w:r>
          </w:p>
        </w:tc>
        <w:tc>
          <w:tcPr>
            <w:tcW w:w="3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 of Tax</w:t>
            </w:r>
          </w:p>
        </w:tc>
        <w:tc>
          <w:tcPr>
            <w:tcW w:w="3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Members’ Equity</w:t>
            </w:r>
          </w:p>
        </w:tc>
        <w:tc>
          <w:tcPr>
            <w:tcW w:w="280" w:type="dxa"/>
            <w:vAlign w:val="bottom"/>
          </w:tcPr>
          <w:p>
            <w:pPr>
              <w:spacing w:after="0"/>
              <w:rPr>
                <w:sz w:val="14"/>
                <w:szCs w:val="14"/>
                <w:color w:val="auto"/>
              </w:rPr>
            </w:pPr>
          </w:p>
        </w:tc>
        <w:tc>
          <w:tcPr>
            <w:tcW w:w="8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Interests</w:t>
            </w:r>
          </w:p>
        </w:tc>
        <w:tc>
          <w:tcPr>
            <w:tcW w:w="2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1, 2009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$227,036</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 (121,407)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$105,629</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$20,881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126,510</w:t>
            </w:r>
          </w:p>
        </w:tc>
      </w:tr>
      <w:tr>
        <w:trPr>
          <w:trHeight w:val="222"/>
        </w:trPr>
        <w:tc>
          <w:tcPr>
            <w:tcW w:w="610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(216,547)</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(216,547)</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(213,715)</w:t>
            </w: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Other comprehensive income (loss) - net of tax:</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Currency translation adjustments</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62,992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62,992</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63,189</w:t>
            </w:r>
          </w:p>
        </w:tc>
      </w:tr>
      <w:tr>
        <w:trPr>
          <w:trHeight w:val="216"/>
        </w:trPr>
        <w:tc>
          <w:tcPr>
            <w:tcW w:w="20" w:type="dxa"/>
            <w:vAlign w:val="bottom"/>
          </w:tcPr>
          <w:p>
            <w:pPr>
              <w:spacing w:after="0"/>
              <w:rPr>
                <w:sz w:val="18"/>
                <w:szCs w:val="18"/>
                <w:color w:val="auto"/>
              </w:rPr>
            </w:pPr>
          </w:p>
        </w:tc>
        <w:tc>
          <w:tcPr>
            <w:tcW w:w="6080" w:type="dxa"/>
            <w:vAlign w:val="bottom"/>
          </w:tcPr>
          <w:p>
            <w:pPr>
              <w:ind w:left="640"/>
              <w:spacing w:after="0"/>
              <w:rPr>
                <w:sz w:val="20"/>
                <w:szCs w:val="20"/>
                <w:color w:val="auto"/>
              </w:rPr>
            </w:pPr>
            <w:r>
              <w:rPr>
                <w:rFonts w:ascii="Arial" w:cs="Arial" w:eastAsia="Arial" w:hAnsi="Arial"/>
                <w:sz w:val="18"/>
                <w:szCs w:val="18"/>
                <w:color w:val="auto"/>
              </w:rPr>
              <w:t>Amortization of interest rate hedge</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1,077</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1,077</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1,077</w:t>
            </w: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Available-for-sale securities:</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060"/>
              <w:spacing w:after="0"/>
              <w:rPr>
                <w:sz w:val="20"/>
                <w:szCs w:val="20"/>
                <w:color w:val="auto"/>
              </w:rPr>
            </w:pPr>
            <w:r>
              <w:rPr>
                <w:rFonts w:ascii="Arial" w:cs="Arial" w:eastAsia="Arial" w:hAnsi="Arial"/>
                <w:sz w:val="18"/>
                <w:szCs w:val="18"/>
                <w:color w:val="auto"/>
              </w:rPr>
              <w:t>Net unrealized gain</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27,612</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27,612</w:t>
            </w:r>
          </w:p>
        </w:tc>
        <w:tc>
          <w:tcPr>
            <w:tcW w:w="2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27,614</w:t>
            </w: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Adjustment for items reclassified to earnings</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w:t>
            </w:r>
          </w:p>
        </w:tc>
      </w:tr>
      <w:tr>
        <w:trPr>
          <w:trHeight w:val="216"/>
        </w:trPr>
        <w:tc>
          <w:tcPr>
            <w:tcW w:w="20" w:type="dxa"/>
            <w:vAlign w:val="bottom"/>
          </w:tcPr>
          <w:p>
            <w:pPr>
              <w:spacing w:after="0"/>
              <w:rPr>
                <w:sz w:val="18"/>
                <w:szCs w:val="18"/>
                <w:color w:val="auto"/>
              </w:rPr>
            </w:pPr>
          </w:p>
        </w:tc>
        <w:tc>
          <w:tcPr>
            <w:tcW w:w="6080" w:type="dxa"/>
            <w:vAlign w:val="bottom"/>
          </w:tcPr>
          <w:p>
            <w:pPr>
              <w:ind w:left="640"/>
              <w:spacing w:after="0"/>
              <w:rPr>
                <w:sz w:val="20"/>
                <w:szCs w:val="20"/>
                <w:color w:val="auto"/>
              </w:rPr>
            </w:pPr>
            <w:r>
              <w:rPr>
                <w:rFonts w:ascii="Arial" w:cs="Arial" w:eastAsia="Arial" w:hAnsi="Arial"/>
                <w:sz w:val="18"/>
                <w:szCs w:val="18"/>
                <w:color w:val="auto"/>
              </w:rPr>
              <w:t>Employee benefit plans:</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Prior service costs</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(15,152)</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(15,152)</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(15,152)</w:t>
            </w:r>
          </w:p>
        </w:tc>
      </w:tr>
      <w:tr>
        <w:trPr>
          <w:trHeight w:val="216"/>
        </w:trPr>
        <w:tc>
          <w:tcPr>
            <w:tcW w:w="20" w:type="dxa"/>
            <w:vAlign w:val="bottom"/>
          </w:tcPr>
          <w:p>
            <w:pPr>
              <w:spacing w:after="0"/>
              <w:rPr>
                <w:sz w:val="18"/>
                <w:szCs w:val="18"/>
                <w:color w:val="auto"/>
              </w:rPr>
            </w:pPr>
          </w:p>
        </w:tc>
        <w:tc>
          <w:tcPr>
            <w:tcW w:w="6080" w:type="dxa"/>
            <w:vAlign w:val="bottom"/>
          </w:tcPr>
          <w:p>
            <w:pPr>
              <w:ind w:left="1060"/>
              <w:spacing w:after="0"/>
              <w:rPr>
                <w:sz w:val="20"/>
                <w:szCs w:val="20"/>
                <w:color w:val="auto"/>
              </w:rPr>
            </w:pPr>
            <w:r>
              <w:rPr>
                <w:rFonts w:ascii="Arial" w:cs="Arial" w:eastAsia="Arial" w:hAnsi="Arial"/>
                <w:sz w:val="18"/>
                <w:szCs w:val="18"/>
                <w:color w:val="auto"/>
              </w:rPr>
              <w:t>Net actuarial loss</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(18,215)</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(18,215)</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(18,215)</w:t>
            </w: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Adjustment for items reclassified to earnings</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3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2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Comprehensive income (loss)</w:t>
            </w: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(153,932)</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3,031</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(150,901)</w:t>
            </w: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stock units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358,062</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358,062</w:t>
            </w:r>
          </w:p>
        </w:tc>
        <w:tc>
          <w:tcPr>
            <w:tcW w:w="2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358,062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Acquisitions of and distributions to members and noncontrolling interests</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(118,214)</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(118,214)</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101,505</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(16,709)</w:t>
            </w: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(50,479)</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(50,479)</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(50,479)</w:t>
            </w:r>
          </w:p>
        </w:tc>
      </w:tr>
      <w:tr>
        <w:trPr>
          <w:trHeight w:val="208"/>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w w:val="94"/>
              </w:rPr>
              <w:t>Delivery of Lazard Ltd Class A common stock for settlement of vested RSUs and</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DSUs</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(13,220)</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(13,220)</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(13,220)</w:t>
            </w:r>
          </w:p>
        </w:tc>
      </w:tr>
      <w:tr>
        <w:trPr>
          <w:trHeight w:val="218"/>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membership interests from LAZ-MD Holdings</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(13,285)</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(13,285)</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(13,285)</w:t>
            </w: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w w:val="96"/>
              </w:rPr>
              <w:t>Common membership interests issued in connection with business acquisitions</w:t>
            </w:r>
          </w:p>
        </w:tc>
        <w:tc>
          <w:tcPr>
            <w:tcW w:w="660" w:type="dxa"/>
            <w:vAlign w:val="bottom"/>
          </w:tcPr>
          <w:p>
            <w:pPr>
              <w:jc w:val="right"/>
              <w:spacing w:after="0"/>
              <w:rPr>
                <w:sz w:val="20"/>
                <w:szCs w:val="20"/>
                <w:color w:val="auto"/>
              </w:rPr>
            </w:pPr>
            <w:r>
              <w:rPr>
                <w:rFonts w:ascii="Arial" w:cs="Arial" w:eastAsia="Arial" w:hAnsi="Arial"/>
                <w:sz w:val="18"/>
                <w:szCs w:val="18"/>
                <w:color w:val="auto"/>
              </w:rPr>
              <w:t>32,384</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32,384</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32,384</w:t>
            </w: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Adjustments related to noncontrolling interests</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(2,143)</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(2,143)</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Adjustments related to business acquisitions and related amortization</w:t>
            </w:r>
          </w:p>
        </w:tc>
        <w:tc>
          <w:tcPr>
            <w:tcW w:w="660" w:type="dxa"/>
            <w:vAlign w:val="bottom"/>
          </w:tcPr>
          <w:p>
            <w:pPr>
              <w:jc w:val="right"/>
              <w:spacing w:after="0"/>
              <w:rPr>
                <w:sz w:val="20"/>
                <w:szCs w:val="20"/>
                <w:color w:val="auto"/>
              </w:rPr>
            </w:pPr>
            <w:r>
              <w:rPr>
                <w:rFonts w:ascii="Arial" w:cs="Arial" w:eastAsia="Arial" w:hAnsi="Arial"/>
                <w:sz w:val="18"/>
                <w:szCs w:val="18"/>
                <w:color w:val="auto"/>
              </w:rPr>
              <w:t>10,778</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10,778</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10,778</w:t>
            </w: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w:t>
            </w:r>
          </w:p>
        </w:tc>
      </w:tr>
      <w:tr>
        <w:trPr>
          <w:trHeight w:val="223"/>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Balance – December 31, 2009(*)</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214,163</w:t>
            </w:r>
          </w:p>
        </w:tc>
        <w:tc>
          <w:tcPr>
            <w:tcW w:w="3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$(58,792)</w:t>
            </w:r>
          </w:p>
        </w:tc>
        <w:tc>
          <w:tcPr>
            <w:tcW w:w="3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$155,371</w:t>
            </w:r>
          </w:p>
        </w:tc>
        <w:tc>
          <w:tcPr>
            <w:tcW w:w="2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$127,560</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282,931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left="340" w:right="40" w:hanging="332"/>
        <w:spacing w:after="0" w:line="228" w:lineRule="auto"/>
        <w:tabs>
          <w:tab w:leader="none" w:pos="340" w:val="left"/>
        </w:tabs>
        <w:numPr>
          <w:ilvl w:val="0"/>
          <w:numId w:val="43"/>
        </w:numPr>
        <w:rPr>
          <w:rFonts w:ascii="Arial" w:cs="Arial" w:eastAsia="Arial" w:hAnsi="Arial"/>
          <w:sz w:val="22"/>
          <w:szCs w:val="22"/>
          <w:color w:val="auto"/>
          <w:vertAlign w:val="superscript"/>
        </w:rPr>
      </w:pPr>
      <w:r>
        <w:rPr>
          <w:rFonts w:ascii="Arial" w:cs="Arial" w:eastAsia="Arial" w:hAnsi="Arial"/>
          <w:sz w:val="18"/>
          <w:szCs w:val="18"/>
          <w:color w:val="auto"/>
        </w:rPr>
        <w:t>Includes 107,068,617, 122,233,664 and 123,686,338 common membership interests at December 31, 2007, 2008 and 2009, respectively. Also includes profit participation interests and two managing member interests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7020" w:firstLine="8"/>
        <w:spacing w:after="0" w:line="328" w:lineRule="auto"/>
        <w:tabs>
          <w:tab w:leader="none" w:pos="446"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accompanying consolidated financial statements are those of Lazard Group LLC and its subsidiaries (collectively referred to with its subsidiaries as “Lazard Group” or the “Company”). Lazard Group is a Delaware limited liability company and is governed by an Operating Agreement dated as of May 10, 2005, as amended (the “Operating Agreement”).</w:t>
      </w:r>
    </w:p>
    <w:p>
      <w:pPr>
        <w:spacing w:after="0" w:line="127"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Lazard Ltd, a Bermuda holding company, through its subsidiaries held approximately 74.5% and 62.4% of all outstanding Lazard Group common membership interests as of December 31, 2009 and 2008, respectively. Lazard Ltd, through its control of the managing members of Lazard Group, controls Lazard Group.</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Lazard Ltd, including its indirect investment in Lazard Group, is one of the world’s preeminent financial advisory and asset management firms and has long specialized in crafting solutions to the complex financial and strategic challenges of our clients. We serve a diverse set of clients around the world, including corporations, partnerships, institutions, governments and high net worth individuals.</w:t>
      </w:r>
    </w:p>
    <w:p>
      <w:pPr>
        <w:spacing w:after="0" w:line="127"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LAZ-MD Holdings LLC (“LAZ-MD Holdings”), an entity owned by Lazard Group’s current and former managing directors, held approximately 25.5% and 37.6% of the outstanding Lazard Group common membership interests as of December 31, 2009 and 2008, respectively. Additionally, LAZ-MD Holdings was the sole owner of the one issued and outstanding share of Lazard Ltd’s Class B common stock (the “Class B common stock”) which provided LAZ-MD Holdings with approximately 25.5%, and 37.6% of the voting power but no economic rights in the Company as of December 31, 2009 and 2008, respectively. Subject to certain limitations, LAZ-MD Holdings’ interests in Lazard Group are exchangeable for Lazard Ltd Class A common stock, par value $0.01 per share (“Class A common stock”).</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77" w:lineRule="exact"/>
        <w:rPr>
          <w:sz w:val="20"/>
          <w:szCs w:val="20"/>
          <w:color w:val="auto"/>
        </w:rPr>
      </w:pPr>
    </w:p>
    <w:p>
      <w:pPr>
        <w:ind w:left="780" w:right="160" w:hanging="326"/>
        <w:spacing w:after="0" w:line="26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Financial Advisory, which includes providing advice on mergers and acquisitions (“M&amp;A”) and strategic advisory matters, restructurings and capital structure advisory services, capital raising and other transactions,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Asset Management, which includes the management of equity and fixed income securities, alternative investments and private equity funds.</w:t>
      </w:r>
    </w:p>
    <w:p>
      <w:pPr>
        <w:spacing w:after="0" w:line="20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Company records selected other activities in its Corporate segment, including management of cash, certain investments and the commercial banking activities of Lazard Group’s Paris-based Lazard Frères Banque SA (“LFB”). The Company also allocates outstanding indebtedness to its Corporate segment.</w:t>
      </w:r>
    </w:p>
    <w:p>
      <w:pPr>
        <w:spacing w:after="0" w:line="12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LFB is a registered bank regulated by the Banque de France and its primary operations include asset and liability management for Lazard Group’s businesses in France through its money market desk and commercial banking operations, deposit taking and, to a lesser extent, financing activities and custodial oversight over assets of various clients. LFB also engages in underwritten offerings of securities in France.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consolidated financial statements are prepared in conformity with accounting principles generally accepted in the United States of America (“U.S. GAAP”). The Company’s policy is to consolidate (i) entities in which it has a controlling financial interest, (ii) variable interest entities (“VIEs”) where the Company has a</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the entity’s operating and financial decisions, the Company applies the equity method of accounting in which it records in earnings its share of earnings or losses of the entity. All material intercompany transactions and balances have been eliminated. Any material events or transactions that occurred subsequent to December 31, 2009 through the date of filing of this Annual Report on Form 10-K were reviewed for purposes of determining whether any adjustments or additional disclosures were required to be made to the accompanying consolidated financial statements.</w:t>
      </w:r>
    </w:p>
    <w:p>
      <w:pPr>
        <w:spacing w:after="0" w:line="10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its French limited liability companies Compagnie Financière Lazard Frères SAS (“CFLF”) along with its subsidiaries, LFB and Lazard Frères Gestion SAS (“LFG”) and Maison Lazard SAS and its subsidiaries; and Lazard &amp; Co., Limited (“LCL”), through Lazard &amp; Co., Holdings Limited, an English private limited company (“LCH”), together with their jointly owned affiliates and subsidiaries.</w:t>
      </w:r>
    </w:p>
    <w:p>
      <w:pPr>
        <w:spacing w:after="0" w:line="102"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Certain prior period amounts have been reclassified to conform to the manner of presentation in the current period, including those amounts pertaining to noncontrolling (minority) interests in subsidiaries as required by recent accounting guidance issued by the Financial Accounting Standards Board (the “FASB”) (see Note 3 of Notes to Consolidated Financial Statements).</w:t>
      </w:r>
    </w:p>
    <w:p>
      <w:pPr>
        <w:spacing w:after="0" w:line="12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2.</w:t>
      </w:r>
      <w:r>
        <w:rPr>
          <w:sz w:val="20"/>
          <w:szCs w:val="20"/>
          <w:color w:val="auto"/>
        </w:rPr>
        <w:tab/>
      </w:r>
      <w:r>
        <w:rPr>
          <w:rFonts w:ascii="Arial" w:cs="Arial" w:eastAsia="Arial" w:hAnsi="Arial"/>
          <w:sz w:val="16"/>
          <w:szCs w:val="16"/>
          <w:b w:val="1"/>
          <w:bCs w:val="1"/>
          <w:i w:val="1"/>
          <w:iCs w:val="1"/>
          <w:color w:val="auto"/>
        </w:rPr>
        <w:t>SIGNIFICANT ACCOUNTING POLICIES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accounting policies below relate to reported amounts on the consolidated financial statements.</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Foreign Currency Translation</w:t>
      </w:r>
      <w:r>
        <w:rPr>
          <w:rFonts w:ascii="Arial" w:cs="Arial" w:eastAsia="Arial" w:hAnsi="Arial"/>
          <w:sz w:val="16"/>
          <w:szCs w:val="16"/>
          <w:color w:val="auto"/>
        </w:rPr>
        <w:t>—The consolidated financial statements are presented in U.S. dollars. Many of the Company’s non-U.S. subsidiaries have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year-end exchange rates, while revenue and expenses are translated at average exchange rates during the year based on the daily closing exchange rates. Adjustments that result from translating amounts from a subsidiary’s functional currency to U.S. dollars are reported in “accumulated other comprehensive income (loss), net of tax” (“AOCI”). Foreign currency remeasurement gains and losses on transactions in non-functional currencies are included on the consolidated statements of operations. Net foreign currency remeasurement gains amounted to $5,713, $14,654 and $5,691, respectively, for the years ended December 31, 2009, 2008 and 2007, and are included in “revenue-other” on the respective consolidated statements of operations.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color w:val="auto"/>
        </w:rPr>
        <w:t>In preparing the consolidated financial statements, management makes estimates and assumptions regarding:</w:t>
      </w:r>
    </w:p>
    <w:p>
      <w:pPr>
        <w:spacing w:after="0" w:line="77" w:lineRule="exact"/>
        <w:rPr>
          <w:sz w:val="20"/>
          <w:szCs w:val="20"/>
          <w:color w:val="auto"/>
        </w:rPr>
      </w:pPr>
    </w:p>
    <w:p>
      <w:pPr>
        <w:ind w:left="780" w:right="480" w:hanging="326"/>
        <w:spacing w:after="0" w:line="268"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valuations of assets and liabilities requiring fair value estimates including, but not limited to, investments, derivatives and securities sold, not yet purchased;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adequacy of the allowance for doubtful accounts;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realization of deferred taxes and adequacy of tax reserves for uncertain tax positions;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outcome of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carrying amount of goodwill and other intangible assets;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amortization period of intangible assets;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share-based compensation plan forfeitures;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matters that affect the reported amounts and disclosure of contingencies in the financial statements.</w:t>
      </w:r>
    </w:p>
    <w:p>
      <w:pPr>
        <w:spacing w:after="0" w:line="18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Estimates, by their nature, are based on judgment and available information. Therefore, actual results could differ from those estimates and could have a material impact on the consolidated financial statements.</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The Company defines cash equivalents as short-term, highly liquid securities and cash deposits with original maturities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90 days or less when purchased.</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Cash Deposited with Clearing Organizations and Other Segregated Cash—</w:t>
      </w:r>
      <w:r>
        <w:rPr>
          <w:rFonts w:ascii="Arial" w:cs="Arial" w:eastAsia="Arial" w:hAnsi="Arial"/>
          <w:sz w:val="18"/>
          <w:szCs w:val="18"/>
          <w:color w:val="auto"/>
        </w:rPr>
        <w:t>Primarily represents restricted cash deposits made by the Company,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to satisfy the requirements of clearing organizations.</w:t>
      </w:r>
    </w:p>
    <w:p>
      <w:pPr>
        <w:spacing w:after="0" w:line="11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b w:val="1"/>
          <w:bCs w:val="1"/>
          <w:i w:val="1"/>
          <w:iCs w:val="1"/>
          <w:color w:val="auto"/>
        </w:rPr>
        <w:t>Allowance for Doubtful Accounts—</w:t>
      </w:r>
      <w:r>
        <w:rPr>
          <w:rFonts w:ascii="Arial" w:cs="Arial" w:eastAsia="Arial" w:hAnsi="Arial"/>
          <w:sz w:val="18"/>
          <w:szCs w:val="18"/>
          <w:color w:val="auto"/>
        </w:rPr>
        <w:t>We maintain an allowance for bad debts to provide coverage for estimated losses from our fee and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receivables. We determine the adequacy of the allowance by estimating the probability of loss based on management’s analysis of the client’s creditworthiness and specifically reserve against exposures where we determine the receivables may be impaired, which may include situations where a fee is in dispute or litigation has commenced.</w:t>
      </w:r>
    </w:p>
    <w:p>
      <w:pPr>
        <w:spacing w:after="0" w:line="13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collectable.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4 of Notes to Consolidated Financial Statements for additional information regarding receivables.</w:t>
      </w:r>
    </w:p>
    <w:p>
      <w:pPr>
        <w:spacing w:after="0" w:line="152" w:lineRule="exact"/>
        <w:rPr>
          <w:sz w:val="20"/>
          <w:szCs w:val="20"/>
          <w:color w:val="auto"/>
        </w:rPr>
      </w:pPr>
    </w:p>
    <w:p>
      <w:pPr>
        <w:jc w:val="both"/>
        <w:ind w:right="240" w:firstLine="456"/>
        <w:spacing w:after="0" w:line="262" w:lineRule="auto"/>
        <w:rPr>
          <w:sz w:val="20"/>
          <w:szCs w:val="20"/>
          <w:color w:val="auto"/>
        </w:rPr>
      </w:pPr>
      <w:r>
        <w:rPr>
          <w:rFonts w:ascii="Arial" w:cs="Arial" w:eastAsia="Arial" w:hAnsi="Arial"/>
          <w:sz w:val="18"/>
          <w:szCs w:val="18"/>
          <w:b w:val="1"/>
          <w:bCs w:val="1"/>
          <w:i w:val="1"/>
          <w:iCs w:val="1"/>
          <w:color w:val="auto"/>
        </w:rPr>
        <w:t>Investments</w:t>
      </w:r>
      <w:r>
        <w:rPr>
          <w:rFonts w:ascii="Arial" w:cs="Arial" w:eastAsia="Arial" w:hAnsi="Arial"/>
          <w:sz w:val="18"/>
          <w:szCs w:val="18"/>
          <w:b w:val="1"/>
          <w:bCs w:val="1"/>
          <w:color w:val="auto"/>
        </w:rPr>
        <w:t>—</w:t>
      </w:r>
      <w:r>
        <w:rPr>
          <w:rFonts w:ascii="Arial" w:cs="Arial" w:eastAsia="Arial" w:hAnsi="Arial"/>
          <w:sz w:val="18"/>
          <w:szCs w:val="18"/>
          <w:color w:val="auto"/>
        </w:rPr>
        <w:t>Investments in debt and marketable equity securities held either directly or indirectly through asset management funds at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broker-dealer subsidiaries are accounted for at fair value, with any increase or decrease in fair value recorded in earnings in accordance with standard industry practices. Such amounts are reflected in “revenue-other” in the consolidated statements of operations.</w:t>
      </w:r>
    </w:p>
    <w:p>
      <w:pPr>
        <w:spacing w:after="0" w:line="12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Investments in debt and marketable equity securities held at the Company’s non broker-dealer subsidiaries include “trading”, “available-for-sale” and “held-to-maturity” securities. Investments in debt and marketable equity securities considered “trading” securities are accounted for at fair value, with any increase or decrease in fair value reflected in “revenue-other” in the consolidated statements of operations. Investments in debt securities considered “available-for-sale” securities are accounted for at fair value, with any increase or decrease in fair value reported in AOCI, until such time they are realized and reclassified to earnings. Investments in debt securities considered “held-to-maturity” securities are accounted for at amortized cost. Declines in the fair value of “available-for-sale” and “held-to-maturity” securities that are determined to be other-than-temporary are charged to earnings, which, upon</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60"/>
          </w:cols>
          <w:pgMar w:left="240" w:top="459" w:right="2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adoption of new accounting guidance on other-than-temporary impairments of debt securities, may only include the credit loss component of such declines for periods beginning after April 1, 2009.</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Other investments include general partnership interests in alternative asset management funds and private equity investments accounted for at fair value, as well as investments accounted for under the equity method of accounting.</w:t>
      </w:r>
    </w:p>
    <w:p>
      <w:pPr>
        <w:spacing w:after="0" w:line="11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Dividend income is reflected in “revenue-other” on the consolidated statements of operations. Interest income includes accretion or amortization of any discount or premium arising at acquisition of the related debt security. Securities transactions and the related revenue and expenses are recorded on a trade date basis.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5 of Notes to Consolidated Financial Statements for additional information regarding the Company’s investments.</w:t>
      </w:r>
    </w:p>
    <w:p>
      <w:pPr>
        <w:spacing w:after="0" w:line="158"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b w:val="1"/>
          <w:bCs w:val="1"/>
          <w:i w:val="1"/>
          <w:iCs w:val="1"/>
          <w:color w:val="auto"/>
        </w:rPr>
        <w:t>Property-net—</w:t>
      </w:r>
      <w:r>
        <w:rPr>
          <w:rFonts w:ascii="Arial" w:cs="Arial" w:eastAsia="Arial" w:hAnsi="Arial"/>
          <w:sz w:val="15"/>
          <w:szCs w:val="15"/>
          <w:color w:val="auto"/>
        </w:rPr>
        <w:t>Buildings, leasehold improvements and furniture and equipment are stated at cost or, in the case of buildings under capital leases,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present value of the future minimum lease payments, less accumulated depreciation and amortization. Buildings represent owned property and amounts recorded pursuant to capital leases (see Notes 11 and 15 of Notes to Consolidated Financial Statements), with the related obligations recorded as capital lease obligations. Such buildings are depreciated on a straight-line basis over their estimated useful lives. Leasehold improvements are capitalized and are amortized over the lesser of the economic useful life of the improvement or the term of the lease. Depreciation of furniture and equipment, including computer hardware and software, is determined on a straight-line basis using estimated useful lives. Depreciation and amortization expense aggregating $22,541, $20,825 and $16,734 for the years ended December 31, 2009, 2008 and 2007, respectively, is included on the respective consolidated statements of operations in “occupancy and equipment” or “technology and information services”, depending on the nature of the underlying asset. Repairs and maintenance are expensed as incurred.</w:t>
      </w:r>
    </w:p>
    <w:p>
      <w:pPr>
        <w:spacing w:after="0" w:line="9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Goodwill and Other Intangible Assets—</w:t>
      </w:r>
      <w:r>
        <w:rPr>
          <w:rFonts w:ascii="Arial" w:cs="Arial" w:eastAsia="Arial" w:hAnsi="Arial"/>
          <w:sz w:val="16"/>
          <w:szCs w:val="16"/>
          <w:color w:val="auto"/>
        </w:rPr>
        <w:t>As goodwill has an indefinite life, it is required to be tested for impairment annually or more frequently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circumstances indicate impairment may have occurred. The Company assesses whether any goodwill recorded by its applicable reporting units is impaired by comparing the fair value of each business with its respective carrying amount. In this process, Lazard uses its best judgment and information available to it at the time to perform this review and utilizes various valuation techniques in order to determine the applicable fair values.</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Intangible assets that are not deemed to have an indefinite life are amortized over their estimated useful lives and are reviewed for impairment whenever events or changes in circumstances indicate that the carrying amount of such assets may not be recoverable. This analysis is performed by comparing the carrying value of the intangible asset being reviewed for impairment to the current and expected future cash flows expected to be generated from such asset on an undiscounted basis, including eventual disposition. An impairment loss would be measured for the amount by which the carrying amount of the intangible asset exceeds its fair value.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12 of Notes to Consolidated Financial Statements with respect to goodwill and other intangible assets.</w:t>
      </w:r>
    </w:p>
    <w:p>
      <w:pPr>
        <w:spacing w:after="0" w:line="15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Derivative Instruments—</w:t>
      </w:r>
      <w:r>
        <w:rPr>
          <w:rFonts w:ascii="Arial" w:cs="Arial" w:eastAsia="Arial" w:hAnsi="Arial"/>
          <w:sz w:val="16"/>
          <w:szCs w:val="16"/>
          <w:color w:val="auto"/>
        </w:rPr>
        <w:t>A derivative is typically defined as an instrument whose value is “derived” from underlying assets, indices or reference rates,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as a future, forward, swap, or option contract, or other financial instrument with similar characteristics. Derivative contracts often involve future commitments to exchange interest payment streams or currencies based on a notional or contractual amount (</w:t>
      </w:r>
      <w:r>
        <w:rPr>
          <w:rFonts w:ascii="Arial" w:cs="Arial" w:eastAsia="Arial" w:hAnsi="Arial"/>
          <w:sz w:val="16"/>
          <w:szCs w:val="16"/>
          <w:i w:val="1"/>
          <w:iCs w:val="1"/>
          <w:color w:val="auto"/>
        </w:rPr>
        <w:t>e.g.</w:t>
      </w:r>
      <w:r>
        <w:rPr>
          <w:rFonts w:ascii="Arial" w:cs="Arial" w:eastAsia="Arial" w:hAnsi="Arial"/>
          <w:sz w:val="16"/>
          <w:szCs w:val="16"/>
          <w:color w:val="auto"/>
        </w:rPr>
        <w:t>, interest rate swaps or currency forwards) or to purchase or sell other financial instruments at specified terms on a specified date (</w:t>
      </w:r>
      <w:r>
        <w:rPr>
          <w:rFonts w:ascii="Arial" w:cs="Arial" w:eastAsia="Arial" w:hAnsi="Arial"/>
          <w:sz w:val="16"/>
          <w:szCs w:val="16"/>
          <w:i w:val="1"/>
          <w:iCs w:val="1"/>
          <w:color w:val="auto"/>
        </w:rPr>
        <w:t>e.g.</w:t>
      </w:r>
      <w:r>
        <w:rPr>
          <w:rFonts w:ascii="Arial" w:cs="Arial" w:eastAsia="Arial" w:hAnsi="Arial"/>
          <w:sz w:val="16"/>
          <w:szCs w:val="16"/>
          <w:color w:val="auto"/>
        </w:rPr>
        <w:t>, options to buy or sell securities or currencies).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enters into forward foreign currency exchange rate contracts, interest rate swaps, interest rate futures, equity swaps and other derivative contracts to hedge exposures to fluctuations in interest rates, currency exchange rates and equity markets.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The Company elected not to apply hedge accounting to its derivative instruments held, except for derivatives hedging “available-for-sale” securities. Gains and losses on the Company’s derivatives not designated as hedging instruments, as well as gains and losses on derivatives accounted for as fair value hedges, are included in “interest income” and “interest expense”, respectively, or “revenue-other”, depending on the nature of the underlying item, on the consolidated statements of operations. Furthermore, with respect to derivatives designated as fair value hedges, the hedged item is required to be adjusted for changes in fair value of the risk being hedged, with such adjustment accounted for in the consolidated statements of operations.</w:t>
      </w:r>
    </w:p>
    <w:p>
      <w:pPr>
        <w:spacing w:after="0" w:line="10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Securities Sold, Not Yet Purchased—</w:t>
      </w:r>
      <w:r>
        <w:rPr>
          <w:rFonts w:ascii="Arial" w:cs="Arial" w:eastAsia="Arial" w:hAnsi="Arial"/>
          <w:sz w:val="18"/>
          <w:szCs w:val="18"/>
          <w:color w:val="auto"/>
        </w:rPr>
        <w:t>Securities sold, not yet purchased represents liabilities for securities sold for which payment has been received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obligations to deliver such securities are included within “other liabilities” in the consolidated statements of financial condition. These securities are accounted for at fair value, with any increase or decrease in fair value recorded in earnings in accordance with standard industry practices. Such gains and losses are reflected in “revenue-other” in the consolidated statements of operations.</w:t>
      </w:r>
    </w:p>
    <w:p>
      <w:pPr>
        <w:spacing w:after="0" w:line="13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Fair Value of Financial Assets and Liabilities—</w:t>
      </w:r>
      <w:r>
        <w:rPr>
          <w:rFonts w:ascii="Arial" w:cs="Arial" w:eastAsia="Arial" w:hAnsi="Arial"/>
          <w:sz w:val="18"/>
          <w:szCs w:val="18"/>
          <w:color w:val="auto"/>
        </w:rPr>
        <w:t>The majority of the Company’s financial assets and liabilities are recorded at fair value or at amounts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 fair value. Such assets and liabilities include cash and cash equivalents, cash and securities segregated for regulatory purposes, receivables, investments, derivative instruments and deposits and other customer payables. For information regarding the fair value of the Company’s senior and subordinated debt, see Note 14 of Notes to Consolidated Financial Statements.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b w:val="1"/>
          <w:bCs w:val="1"/>
          <w:i w:val="1"/>
          <w:iCs w:val="1"/>
          <w:color w:val="auto"/>
        </w:rPr>
        <w:t>Investment Banking and Other Advisory Fees—</w:t>
      </w:r>
      <w:r>
        <w:rPr>
          <w:rFonts w:ascii="Arial" w:cs="Arial" w:eastAsia="Arial" w:hAnsi="Arial"/>
          <w:sz w:val="18"/>
          <w:szCs w:val="18"/>
          <w:color w:val="auto"/>
        </w:rPr>
        <w:t>Fees for M&amp;A and strategic advisory services and restructuring advisory services are recorded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earned, which is generally the date the related transactions are consummated. Expenses that are directly related to such transactions and billable to clients are deferred to match revenue recognition. Client reimbursements of expenses are presented net in “investment banking and other advisory fees” on the Company’s consolidated statements of operations. The amount of expenses reimbursed by clients for the years ended December 31, 2009, 2008 and 2007 are $21,673, $18,124 and $19,267, respectively.</w:t>
      </w:r>
    </w:p>
    <w:p>
      <w:pPr>
        <w:spacing w:after="0" w:line="12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Money Management and Incentive Fees—</w:t>
      </w:r>
      <w:r>
        <w:rPr>
          <w:rFonts w:ascii="Arial" w:cs="Arial" w:eastAsia="Arial" w:hAnsi="Arial"/>
          <w:sz w:val="18"/>
          <w:szCs w:val="18"/>
          <w:color w:val="auto"/>
        </w:rPr>
        <w:t>Money management fees are derived from fees for investment management and advisory services provided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institutional and private clients. Revenue is recorded on an accrual basis primarily based on a percentage of client assets managed. Fees vary with the type of assets managed, with higher fees earned on equity assets, alternative investment (such as hedge funds) and private equity products, and lower fees earned on fixed income and money market products.</w:t>
      </w:r>
    </w:p>
    <w:p>
      <w:pPr>
        <w:spacing w:after="0" w:line="13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may earn performance-based incentive fees on various investment products, including alternative investment funds such as hedge funds, private equity funds, and traditional investment strategies. Incentive fees are calculated based on a specified percentage of a fund’s net appreciation, in some cases in excess of established benchmarks. Incentive fees on private equity funds also may be earned in the form of a carried interest if profits from investments exceed a specified threshold. These incentive fees are recorded when realized and are paid at the end of the measurement period. Incentive fees on hedge funds generally are subject to loss carry-forward provisions in which losses incurred by the funds in any year are applied against certain future period net appreciation before any incentive fees can be earned.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Company records incentive fees at the end of the relevant performance measurement period, when potential uncertainties regarding the ultimate realizable amounts have been determined. The performance fee measurement period is generally an annual period, unless an account terminates during the year. These incentive fees received at the end of the measurement period are not subject to reversal or payback.</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Receivables relating to money management and incentive fees are reported in “fees receivable” on the consolidated statements of financial condition.</w:t>
      </w:r>
    </w:p>
    <w:p>
      <w:pPr>
        <w:spacing w:after="0" w:line="175"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i w:val="1"/>
          <w:iCs w:val="1"/>
          <w:color w:val="auto"/>
        </w:rPr>
        <w:t>Soft Dollar Arrangements</w:t>
      </w:r>
      <w:r>
        <w:rPr>
          <w:rFonts w:ascii="Arial" w:cs="Arial" w:eastAsia="Arial" w:hAnsi="Arial"/>
          <w:sz w:val="16"/>
          <w:szCs w:val="16"/>
          <w:b w:val="1"/>
          <w:bCs w:val="1"/>
          <w:color w:val="auto"/>
        </w:rPr>
        <w:t>—</w:t>
      </w:r>
      <w:r>
        <w:rPr>
          <w:rFonts w:ascii="Arial" w:cs="Arial" w:eastAsia="Arial" w:hAnsi="Arial"/>
          <w:sz w:val="16"/>
          <w:szCs w:val="16"/>
          <w:color w:val="auto"/>
        </w:rPr>
        <w:t>The Company’s Asset Management business obtains research and other services through “soft dollar” arrangements.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with the “soft dollar” safe harbor established by Section 28(e) of the Securities Exchange Act of 1934, as amended (the “Exchange Act”), the Asset Management business does not have any contractual obligation or arrangement requiring it to pay for research and other services obtained through soft dollar arrangements with brokers. Instead, the provider is obligated to pay for the services. Consequently, the Company does not incur any liability and does not accrue any expenses in connection with any research or other services obtained by the Asset Management business pursuant to such soft dollar arrangements. If the use of soft dollars is limited or prohibited in the future by regulation, we may have to bear the costs of such research and other services.</w:t>
      </w:r>
    </w:p>
    <w:p>
      <w:pPr>
        <w:spacing w:after="0" w:line="103" w:lineRule="exact"/>
        <w:rPr>
          <w:sz w:val="20"/>
          <w:szCs w:val="20"/>
          <w:color w:val="auto"/>
        </w:rPr>
      </w:pPr>
    </w:p>
    <w:p>
      <w:pPr>
        <w:ind w:right="160" w:firstLine="228"/>
        <w:spacing w:after="0" w:line="298" w:lineRule="auto"/>
        <w:rPr>
          <w:sz w:val="20"/>
          <w:szCs w:val="20"/>
          <w:color w:val="auto"/>
        </w:rPr>
      </w:pPr>
      <w:r>
        <w:rPr>
          <w:rFonts w:ascii="Arial" w:cs="Arial" w:eastAsia="Arial" w:hAnsi="Arial"/>
          <w:sz w:val="16"/>
          <w:szCs w:val="16"/>
          <w:b w:val="1"/>
          <w:bCs w:val="1"/>
          <w:i w:val="1"/>
          <w:iCs w:val="1"/>
          <w:color w:val="auto"/>
        </w:rPr>
        <w:t>Share-Based Payment Awards—</w:t>
      </w:r>
      <w:r>
        <w:rPr>
          <w:rFonts w:ascii="Arial" w:cs="Arial" w:eastAsia="Arial" w:hAnsi="Arial"/>
          <w:sz w:val="16"/>
          <w:szCs w:val="16"/>
          <w:color w:val="auto"/>
        </w:rPr>
        <w:t>Share-based payment awards that do not require future service are expensed immediately and share-based payment awards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require future service are amortized over the requisite service period. The Company recognizes in “compensation and benefits” expense (and, in 2009, “restructuring” expense for individuals impacted by the Company’s restructuring plan described in Note 19 of Notes to Consolidated Financial Statements) the amortized portion of the grant date fair value of the equity awards, net of an estimated forfeiture rate.</w:t>
      </w:r>
    </w:p>
    <w:p>
      <w:pPr>
        <w:spacing w:after="0" w:line="99"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Deferred income taxes reflect the net tax effects of temporary differences between the financial reporting and tax basis of assets and liabilities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are measured using the enacted tax rates and laws that will be in effect when such differences are expected to reverse. Such temporary differences are reflected as deferred tax assets and liabilities and are included in “other assets” and “other liabilities”, respectively, on the consolidated statements of financial condition.</w:t>
      </w:r>
    </w:p>
    <w:p>
      <w:pPr>
        <w:spacing w:after="0" w:line="13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assessing the realizability of deferred tax assets, management considers whether it is more likely than not that some portion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Management considers the level of historical taxable income, scheduled reversals of deferred taxes, projected future taxable income and tax planning strategies that can be implemented by the Company in making this assessment. Furthermore, management applies the more likely than not criteria prior to the recognition of a financial statement benefit of a tax position taken or expected to be taken in a tax return with respect to uncertainty in income taxes.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recognizes interest and/or penalties related to income tax matters in income tax expense.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20 of Notes to Consolidated Financial Statements for additional information relating to income taxes.</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3.</w:t>
      </w:r>
      <w:r>
        <w:rPr>
          <w:sz w:val="20"/>
          <w:szCs w:val="20"/>
          <w:color w:val="auto"/>
        </w:rPr>
        <w:tab/>
      </w:r>
      <w:r>
        <w:rPr>
          <w:rFonts w:ascii="Arial" w:cs="Arial" w:eastAsia="Arial" w:hAnsi="Arial"/>
          <w:sz w:val="16"/>
          <w:szCs w:val="16"/>
          <w:b w:val="1"/>
          <w:bCs w:val="1"/>
          <w:i w:val="1"/>
          <w:iCs w:val="1"/>
          <w:color w:val="auto"/>
        </w:rPr>
        <w:t>RECENT ACCOUNTING DEVELOPMENTS</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Fair Value Measurements</w:t>
      </w:r>
      <w:r>
        <w:rPr>
          <w:rFonts w:ascii="Arial" w:cs="Arial" w:eastAsia="Arial" w:hAnsi="Arial"/>
          <w:sz w:val="18"/>
          <w:szCs w:val="18"/>
          <w:color w:val="auto"/>
        </w:rPr>
        <w:t>—On January 1, 2008, the Company adopted, on a prospective basis, the required provisions of new accounting guidance issued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FASB on fair value measurements, which, among other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things, defined fair value, established a framework for measuring fair value and enhanced disclosure requirements about fair value measurements with respect to its financial assets and financial liabilities. On January 1, 2009, the Company adopted the remaining provisions of the new guidance issued, as permitted by an amendment which delayed the effective date of the new accounting guidance for all nonfinancial assets and nonfinancial liabilities, except those that are recognized or disclosed at fair value in the financial statements on a recurring basis (at least annually). These nonfinancial items included, for example, reporting units required to be measured at fair value for annual goodwill impairment testing purposes and nonfinancial assets acquired and liabilities assumed in a business combination. Neither the adoption of the required provisions of the new guidance, nor the subsequent adoption of the remaining provisions of the new guidance as permitted by the amendment, had a material impact on the Company’s consolidated financial statements.</w:t>
      </w:r>
    </w:p>
    <w:p>
      <w:pPr>
        <w:spacing w:after="0" w:line="10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On April 1, 2009, the Company adopted, on a prospective basis, additional accounting guidance issued by the FASB on fair value measurements. The additional accounting guidance assists in the determination of fair value for securities or other financial assets when the volume and level of activity for such items have significantly decreased when compared with normal market activity and there is no longer sufficient frequency or volume to provide pricing information on an ongoing basis. The additional accounting guidance also assists in determining whether or not a transaction is orderly and whether or not a transaction or quoted price can be considered in the determination of fair value. Accordingly, the additional accounting guidance does not apply to quoted prices for identical assets or liabilities in active markets categorized as Level 1 in the fair value measurement hierarchy, and also requires that additional fair value disclosures be included on an interim basis. See Note 6 of Notes to Consolidated Financial Statements for the additional disclosures provided pursuant to the additional accounting guidance. The adoption of additional guidance regarding fair value measurements did not materially impact the Company’s consolidated financial statements.</w:t>
      </w:r>
    </w:p>
    <w:p>
      <w:pPr>
        <w:spacing w:after="0" w:line="10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On January 21, 2010, the FASB amended its guidance on fair value measurement disclosures to add new requirements for disclosures about transfers into and out of the Level 1 and 2 categories in the fair value measurement hierarchy, and separate disclosures about purchases, sales, issuances, and settlements relating to Level 3 measurements. The amended guidance also clarifies existing fair value disclosures about the level of disaggregation and about inputs and valuation techniques used to measure fair value. The new requirements for disclosures and clarifications of existing disclosures are effective for interim and annual reporting periods beginning after December 15, 2009, except for the disclosures about purchases, sales, issuances, and settlements in the roll forward of activities in Level 3 fair value measurements, which are effective for interim and annual reporting periods beginning after December 15, 2010. The Company does not anticipate that the adoption of the amended guidance on fair value measurement-related disclosures will have a material impact on its consolidated financial statements.</w:t>
      </w:r>
    </w:p>
    <w:p>
      <w:pPr>
        <w:spacing w:after="0" w:line="10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Business Combinations</w:t>
      </w:r>
      <w:r>
        <w:rPr>
          <w:rFonts w:ascii="Arial" w:cs="Arial" w:eastAsia="Arial" w:hAnsi="Arial"/>
          <w:sz w:val="16"/>
          <w:szCs w:val="16"/>
          <w:color w:val="auto"/>
        </w:rPr>
        <w:t>—On January 1, 2009, the Company adopted, on a prospective basis, new accounting guidance issued by the FASB on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combinations. The new accounting guidance supersedes or amends other related authoritative literature although it retains the fundamental requirements that the acquisition method of accounting (previously referred to as the “purchase method”) be used for all business combinations and that an acquirer be identified for each business combination. The new guidance also establishes principles and requirements for how the acquirer (a) recognizes and measures in its financial statements the identifiable assets acquired, the liabilities assumed and any noncontrolling interest in an acquiree; (b) recognizes and measures the goodwill acquired in a business combination or a gain from a bargain purchase; and (c) determines what information to disclose to enable users of the financial statements to evaluate the nature and financial effects of a business combination. The new guidance also requires the acquirer to expense, as incurred, costs relating to any acquisitions. The adoption of the new accounting guidance did not materially impact on the Company’s consolidated financial statements. Prospectively, all acquisitions conform to the new accounting guidance.</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40"/>
          </w:cols>
          <w:pgMar w:left="240" w:top="459" w:right="3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On April 1, 2009, the Company adopted amended accounting guidance issued by the FASB for business combinations. The amended guidance clarifies the initial recognition and measurement, subsequent measurement and accounting and disclosure of assets and liabilities arising from contingencies in a business combination. The adoption of the amended guidance did not materially impact the Company’s consolidated financial statements.</w:t>
      </w:r>
    </w:p>
    <w:p>
      <w:pPr>
        <w:spacing w:after="0" w:line="93"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i w:val="1"/>
          <w:iCs w:val="1"/>
          <w:color w:val="auto"/>
        </w:rPr>
        <w:t>Noncontrolling Interests</w:t>
      </w:r>
      <w:r>
        <w:rPr>
          <w:rFonts w:ascii="Arial" w:cs="Arial" w:eastAsia="Arial" w:hAnsi="Arial"/>
          <w:sz w:val="15"/>
          <w:szCs w:val="15"/>
          <w:color w:val="auto"/>
        </w:rPr>
        <w:t>—On January 1, 2009, the Company adopted, on a retrospective basis, new presentation and disclosure requirements issued by the</w:t>
      </w:r>
      <w:r>
        <w:rPr>
          <w:rFonts w:ascii="Arial" w:cs="Arial" w:eastAsia="Arial" w:hAnsi="Arial"/>
          <w:sz w:val="15"/>
          <w:szCs w:val="15"/>
          <w:i w:val="1"/>
          <w:iCs w:val="1"/>
          <w:color w:val="auto"/>
        </w:rPr>
        <w:t xml:space="preserve"> </w:t>
      </w:r>
      <w:r>
        <w:rPr>
          <w:rFonts w:ascii="Arial" w:cs="Arial" w:eastAsia="Arial" w:hAnsi="Arial"/>
          <w:sz w:val="15"/>
          <w:szCs w:val="15"/>
          <w:color w:val="auto"/>
        </w:rPr>
        <w:t>FASB with respect to noncontrolling interests in consolidated financial statements. Additional guidance was also issued to establish accounting and reporting standards for the noncontrolling (minority) interest in a subsidiary and for the deconsolidation of a subsidiary. The new accounting guidance clarified that a noncontrolling interest in a subsidiary is an ownership interest in the consolidated entity that should be reported as equity in the consolidated financial statements. In addition, the new guidance also changes the way the consolidated income statement is presented by requiring consolidated net income to include amounts attributable to both the parent and the noncontrolling interests with separate disclosure of each component on the face of the consolidated income statement.</w:t>
      </w:r>
    </w:p>
    <w:p>
      <w:pPr>
        <w:spacing w:after="0" w:line="9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Derivative Instruments and Hedging Activities</w:t>
      </w:r>
      <w:r>
        <w:rPr>
          <w:rFonts w:ascii="Arial" w:cs="Arial" w:eastAsia="Arial" w:hAnsi="Arial"/>
          <w:sz w:val="16"/>
          <w:szCs w:val="16"/>
          <w:color w:val="auto"/>
        </w:rPr>
        <w:t>—On January 1, 2009, the Company adopted, on a prospective basis, new disclosure guidance issued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FASB regarding derivative instruments and hedging activities. The new guidance enhances the current disclosure framework for derivative instruments and hedging activities, including how and why an entity uses derivative instruments, how derivative instruments and related hedged items are accounted for and how derivative instruments and related hedged items affect an entity’s financial position, financial performance and cash flows. See Note 7 of Notes to Consolidated Financial Statements for the additional disclosures provided pursuant to the new guidance. The adoption of the new disclosure guidance did not materially impact the Company’s consolidated financial statements.</w:t>
      </w:r>
    </w:p>
    <w:p>
      <w:pPr>
        <w:spacing w:after="0" w:line="10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Fair Value Estimates for Certain Financial Instruments</w:t>
      </w:r>
      <w:r>
        <w:rPr>
          <w:rFonts w:ascii="Arial" w:cs="Arial" w:eastAsia="Arial" w:hAnsi="Arial"/>
          <w:sz w:val="18"/>
          <w:szCs w:val="18"/>
          <w:color w:val="auto"/>
        </w:rPr>
        <w:t>—On April 1, 2009, the Company adopted, on a prospective basis, additional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issued by the FASB regarding the fair value of certain financial instruments. The additional disclosure requirements increase the frequency of qualitative and quantitative information about fair value estimates for all financial instruments not remeasured on the balance sheet at fair value by requiring this information on an interim basis. The adoption of the additional disclosure requirements did not materially impact the Company’s consolidated financial statements. See Note 14 of Notes to Consolidated Financial Statements.</w:t>
      </w:r>
    </w:p>
    <w:p>
      <w:pPr>
        <w:spacing w:after="0" w:line="1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Other-Than-Temporary Impairments of Debt Securities</w:t>
      </w:r>
      <w:r>
        <w:rPr>
          <w:rFonts w:ascii="Arial" w:cs="Arial" w:eastAsia="Arial" w:hAnsi="Arial"/>
          <w:sz w:val="16"/>
          <w:szCs w:val="16"/>
          <w:color w:val="auto"/>
        </w:rPr>
        <w:t>—On April 1, 2009, the Company adopted, on a prospective basis, new accounting guidance issued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FASB with respect to the recognition and presentation of other-than-temporary impairments pertaining to debt securities. The new accounting guidance requires greater clarity about the credit and non-credit components of debt securities that are not expected to be sold and whose fair value is below amortized cost, and also requires increased disclosures regarding expected cash flows, credit losses and an aging of securities with unrealized losses. The adoption of the new accounting guidance did not materially impact the Company’s consolidated financial statements. See Note 5 of Notes to Consolidated Financial Statements.</w:t>
      </w:r>
    </w:p>
    <w:p>
      <w:pPr>
        <w:spacing w:after="0" w:line="102"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i w:val="1"/>
          <w:iCs w:val="1"/>
          <w:color w:val="auto"/>
        </w:rPr>
        <w:t>Employers’ Post-retirement Benefit Plans</w:t>
      </w:r>
      <w:r>
        <w:rPr>
          <w:rFonts w:ascii="Arial" w:cs="Arial" w:eastAsia="Arial" w:hAnsi="Arial"/>
          <w:sz w:val="15"/>
          <w:szCs w:val="15"/>
          <w:color w:val="auto"/>
        </w:rPr>
        <w:t>—In December 2008, the FASB amended its disclosure requirements with respect to employers’ post-retirement</w:t>
      </w:r>
      <w:r>
        <w:rPr>
          <w:rFonts w:ascii="Arial" w:cs="Arial" w:eastAsia="Arial" w:hAnsi="Arial"/>
          <w:sz w:val="15"/>
          <w:szCs w:val="15"/>
          <w:i w:val="1"/>
          <w:iCs w:val="1"/>
          <w:color w:val="auto"/>
        </w:rPr>
        <w:t xml:space="preserve"> </w:t>
      </w:r>
      <w:r>
        <w:rPr>
          <w:rFonts w:ascii="Arial" w:cs="Arial" w:eastAsia="Arial" w:hAnsi="Arial"/>
          <w:sz w:val="15"/>
          <w:szCs w:val="15"/>
          <w:color w:val="auto"/>
        </w:rPr>
        <w:t>benefit plan assets by requiring more detailed disclosures about an employer’s plan assets, including an employer’s investment strategies, major categories of plan assets, concentrations of risk within plan assets and valuation techniques used to measure the fair value of plan assets. The disclosures about plan assets required by this amendment are required to be provided for fiscal years ending after December 15, 2009. Upon initial application, the provisions of this amendment are not</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required for earlier periods that are presented for comparative purposes. Earlier application of the provisions of this amendment is permitted. The adoption of this amendment did not materially impact the Company’s consolidated financial statements in 2009.</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VIEs</w:t>
      </w:r>
      <w:r>
        <w:rPr>
          <w:rFonts w:ascii="Arial" w:cs="Arial" w:eastAsia="Arial" w:hAnsi="Arial"/>
          <w:sz w:val="16"/>
          <w:szCs w:val="16"/>
          <w:color w:val="auto"/>
        </w:rPr>
        <w:t>—In June 2009, the FASB amended its guidance on VIEs. The amended guidance changes how a company determines when an entity that is insufficiently</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capitalized or is not controlled through voting (or similar rights) should be consolidated. It also requires a company to provide additional disclosures about its involvement with VIEs and any significant changes in risk exposure due to that involvement. The requirements of the amended accounting guidance are effective for interim and annual periods beginning after November 15, 2009 and early adoption is prohibited. On January 27, 2010, the FASB voted to defer the application of its guidance on consolidation of a reporting enterprise’s interest in an entity when certain conditions are met. This deferral is effective for interim and annual periods beginning after November 15, 2009. The Company does not anticipate that the adoption of the amended guidance and related disclosures will have a material impact on its consolidated financial statements.</w:t>
      </w:r>
    </w:p>
    <w:p>
      <w:pPr>
        <w:spacing w:after="0" w:line="105" w:lineRule="exact"/>
        <w:rPr>
          <w:sz w:val="20"/>
          <w:szCs w:val="20"/>
          <w:color w:val="auto"/>
        </w:rPr>
      </w:pPr>
    </w:p>
    <w:p>
      <w:pPr>
        <w:ind w:left="460" w:right="3820" w:hanging="452"/>
        <w:spacing w:after="0" w:line="420" w:lineRule="auto"/>
        <w:tabs>
          <w:tab w:leader="none" w:pos="449" w:val="left"/>
        </w:tabs>
        <w:numPr>
          <w:ilvl w:val="0"/>
          <w:numId w:val="4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RECEIVABLES—NET AND DEPOSITS AND OTHER CUSTOMER PAYABLES Receivables—net</w:t>
      </w:r>
      <w:r>
        <w:rPr>
          <w:rFonts w:ascii="Arial" w:cs="Arial" w:eastAsia="Arial" w:hAnsi="Arial"/>
          <w:sz w:val="16"/>
          <w:szCs w:val="16"/>
          <w:b w:val="1"/>
          <w:bCs w:val="1"/>
          <w:color w:val="auto"/>
        </w:rPr>
        <w:t>—</w:t>
      </w:r>
      <w:r>
        <w:rPr>
          <w:rFonts w:ascii="Arial" w:cs="Arial" w:eastAsia="Arial" w:hAnsi="Arial"/>
          <w:sz w:val="16"/>
          <w:szCs w:val="16"/>
          <w:color w:val="auto"/>
        </w:rPr>
        <w:t>Represents receivables from banks, fees, customers and other and related parties.</w:t>
      </w:r>
    </w:p>
    <w:p>
      <w:pPr>
        <w:spacing w:after="0" w:line="4"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Receivables from banks represent those related to LFB’s short-term inter-bank deposits. The level of these inter-bank deposits is primarily driven by the level of LFB customer and bank-related interest-bearing time and demand deposits, which can fluctuate significantly on a daily basis. As the amount of such deposits held at LFB changes, there is generally a corresponding, but indirect, impact on the level of short-term inter-bank deposits.</w:t>
      </w:r>
    </w:p>
    <w:p>
      <w:pPr>
        <w:spacing w:after="0" w:line="9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collateralized lending activities of LFB, the Company typically receives a pledge of specifically identified securities of equal or greater value than the amount of the cash loaned. Collateralized customer loan receivables, which amounted to $2,305 and $8,907 at December 31, 2009 and 2008, respectively, were collateralized by securities of equal or greater value at each such date. Securities owned by customers and pledged to collateralize secured loan receivables are not reflected on the consolidated statements of financial condition.</w:t>
      </w:r>
    </w:p>
    <w:p>
      <w:pPr>
        <w:spacing w:after="0" w:line="13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Customers and other receivables at December 31, 2009 and 2008 include $4,466 and $13,109, respectively, of loans by LFB to managing directors and employees in France that are made in the ordinary course of business at market terms.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Receivables are stated net of an estimated allowance for doubtful accounts of $11,575 and $15,883 at December 31, 2009 and 2008, respectively, for past due amounts and for specific accounts deemed uncollectible. The Company recorded bad debt expense of $4,509, $5,388 and $540 for the years ended December 31, 2009, 2008 and 2007, respectively. In addition, the Company recorded charge-offs, foreign currency translation and other adjustments, which resulted in a net increase (decrease) to the allowance for doubtful accounts of $(8,817), $(2,795) and $1,434 for the years ended December 31, 2009, 2008 and 2007, respectively. At December 31, 2009 and 2008, the Company had $14,150 and $17,916, respectively, of receivables deemed past due or uncollectible.</w:t>
      </w:r>
    </w:p>
    <w:p>
      <w:pPr>
        <w:spacing w:after="0" w:line="96"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b w:val="1"/>
          <w:bCs w:val="1"/>
          <w:i w:val="1"/>
          <w:iCs w:val="1"/>
          <w:color w:val="auto"/>
        </w:rPr>
        <w:t>Deposits and Other Customer Payables</w:t>
      </w:r>
      <w:r>
        <w:rPr>
          <w:rFonts w:ascii="Arial" w:cs="Arial" w:eastAsia="Arial" w:hAnsi="Arial"/>
          <w:sz w:val="16"/>
          <w:szCs w:val="16"/>
          <w:b w:val="1"/>
          <w:bCs w:val="1"/>
          <w:color w:val="auto"/>
        </w:rPr>
        <w:t>—</w:t>
      </w:r>
      <w:r>
        <w:rPr>
          <w:rFonts w:ascii="Arial" w:cs="Arial" w:eastAsia="Arial" w:hAnsi="Arial"/>
          <w:sz w:val="16"/>
          <w:szCs w:val="16"/>
          <w:color w:val="auto"/>
        </w:rPr>
        <w:t>Principally relates to LFB customer-related interest-bearing time and demand deposits, short-term inter-bank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borrowing with banks and amounts due on collateralized borrowing activities. Collateralized borrowing activities amounted to $18,008 and $15,170 at December 31, 2009 and 2008, respectively, and were fully collateralized with pledged assets of equal or greater value at each such date.</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December 31, 2009 and 2008: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U.S. Government and agencies</w:t>
            </w:r>
          </w:p>
        </w:tc>
        <w:tc>
          <w:tcPr>
            <w:tcW w:w="4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147,507</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4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Non-U.S. Governments and agencies</w:t>
            </w: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43,501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U.S. states and municipals</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Corporates</w:t>
            </w:r>
          </w:p>
        </w:tc>
        <w:tc>
          <w:tcPr>
            <w:tcW w:w="4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254,113</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296,674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313,342</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333,070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5100" w:type="dxa"/>
            <w:vAlign w:val="bottom"/>
            <w:gridSpan w:val="2"/>
          </w:tcPr>
          <w:p>
            <w:pPr>
              <w:spacing w:after="0"/>
              <w:rPr>
                <w:sz w:val="20"/>
                <w:szCs w:val="20"/>
                <w:color w:val="auto"/>
              </w:rPr>
            </w:pPr>
            <w:r>
              <w:rPr>
                <w:rFonts w:ascii="Arial" w:cs="Arial" w:eastAsia="Arial" w:hAnsi="Arial"/>
                <w:sz w:val="18"/>
                <w:szCs w:val="18"/>
                <w:color w:val="auto"/>
              </w:rPr>
              <w:t>Equities</w:t>
            </w:r>
          </w:p>
        </w:tc>
        <w:tc>
          <w:tcPr>
            <w:tcW w:w="4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82,442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Interest in LAM alternative asset management funds:</w:t>
            </w: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General Partner (“GP”) interests owned</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GP interests consolidated but not owned</w:t>
            </w: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13,038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 equity:</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Investments owned</w:t>
            </w: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102,983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83,931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Investments consolidated but not owned</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Equity method</w:t>
            </w:r>
          </w:p>
        </w:tc>
        <w:tc>
          <w:tcPr>
            <w:tcW w:w="4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62,558</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264,402</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215,792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0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4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807,693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619,967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Debt at amortized cost</w:t>
            </w: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136,630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method investments</w:t>
            </w:r>
          </w:p>
        </w:tc>
        <w:tc>
          <w:tcPr>
            <w:tcW w:w="4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62,558</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0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4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608,505</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544,272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 (included in “other liabilities”)</w:t>
            </w:r>
          </w:p>
        </w:tc>
        <w:tc>
          <w:tcPr>
            <w:tcW w:w="4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4600" w:type="dxa"/>
            <w:vAlign w:val="bottom"/>
            <w:vMerge w:val="restart"/>
          </w:tcPr>
          <w:p>
            <w:pPr>
              <w:jc w:val="right"/>
              <w:ind w:right="3812"/>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investments at December 31, 2009 and 2008 were categorized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U.S. Government and agencies</w:t>
            </w:r>
          </w:p>
        </w:tc>
        <w:tc>
          <w:tcPr>
            <w:tcW w:w="3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21,094</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Non-U.S. Governments and agencies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U.S. states and municipals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15,728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Corporates</w:t>
            </w:r>
          </w:p>
        </w:tc>
        <w:tc>
          <w:tcPr>
            <w:tcW w:w="3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70,556</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43,969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3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Corporates</w:t>
            </w:r>
          </w:p>
        </w:tc>
        <w:tc>
          <w:tcPr>
            <w:tcW w:w="3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253,663</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289,101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360" w:type="dxa"/>
            <w:vAlign w:val="bottom"/>
          </w:tcPr>
          <w:p>
            <w:pPr>
              <w:spacing w:after="0"/>
              <w:rPr>
                <w:sz w:val="6"/>
                <w:szCs w:val="6"/>
                <w:color w:val="auto"/>
              </w:rPr>
            </w:pPr>
          </w:p>
        </w:tc>
        <w:tc>
          <w:tcPr>
            <w:tcW w:w="3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Held-to-maturity securities: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U.S. Government and agencies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126,413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Non-U.S. Government and agencies</w:t>
            </w:r>
          </w:p>
        </w:tc>
        <w:tc>
          <w:tcPr>
            <w:tcW w:w="3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10,217</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136,630</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debt securities</w:t>
            </w:r>
          </w:p>
        </w:tc>
        <w:tc>
          <w:tcPr>
            <w:tcW w:w="3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460,849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333,070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Substantially all of the corporate and non-U.S. Government debt securities are held by LFB and primarily consist of fixed and floating rate European corporate and French government debt securities. Such securities are typically held long-term, as part of its asset-liability management program.</w:t>
      </w:r>
    </w:p>
    <w:p>
      <w:pPr>
        <w:spacing w:after="0" w:line="7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Effective July 1, 2008, certain debt securities held by LFB with a carrying value of $236,999 on that date, which were previously designated as “trading” securities, were redesignated as “available-for-sale” securities. Such re-designation represented a non-cash transaction between “trading” and “available-for-sale” securities.</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fair value and amortized cost basis pertaining to debt securities classified as “available-for-sale” at December 31, 2009, by maturity date/first call date, are as follows:</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Amortized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9"/>
              </w:rPr>
              <w:t>Cost</w:t>
            </w:r>
          </w:p>
        </w:tc>
        <w:tc>
          <w:tcPr>
            <w:tcW w:w="0" w:type="dxa"/>
            <w:vAlign w:val="bottom"/>
          </w:tcPr>
          <w:p>
            <w:pPr>
              <w:spacing w:after="0"/>
              <w:rPr>
                <w:sz w:val="1"/>
                <w:szCs w:val="1"/>
                <w:color w:val="auto"/>
              </w:rPr>
            </w:pPr>
          </w:p>
        </w:tc>
      </w:tr>
      <w:tr>
        <w:trPr>
          <w:trHeight w:val="161"/>
        </w:trPr>
        <w:tc>
          <w:tcPr>
            <w:tcW w:w="4680" w:type="dxa"/>
            <w:vAlign w:val="bottom"/>
            <w:gridSpan w:val="3"/>
          </w:tcPr>
          <w:p>
            <w:pPr>
              <w:spacing w:after="0"/>
              <w:rPr>
                <w:sz w:val="20"/>
                <w:szCs w:val="20"/>
                <w:color w:val="auto"/>
              </w:rPr>
            </w:pPr>
            <w:r>
              <w:rPr>
                <w:rFonts w:ascii="Arial" w:cs="Arial" w:eastAsia="Arial" w:hAnsi="Arial"/>
                <w:sz w:val="14"/>
                <w:szCs w:val="14"/>
                <w:b w:val="1"/>
                <w:bCs w:val="1"/>
                <w:color w:val="auto"/>
              </w:rPr>
              <w:t>Maturity Date/First Call Date</w:t>
            </w:r>
          </w:p>
        </w:tc>
        <w:tc>
          <w:tcPr>
            <w:tcW w:w="25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18"/>
              <w:spacing w:after="0"/>
              <w:rPr>
                <w:sz w:val="20"/>
                <w:szCs w:val="20"/>
                <w:color w:val="auto"/>
              </w:rPr>
            </w:pPr>
            <w:r>
              <w:rPr>
                <w:rFonts w:ascii="Arial" w:cs="Arial" w:eastAsia="Arial" w:hAnsi="Arial"/>
                <w:sz w:val="14"/>
                <w:szCs w:val="14"/>
                <w:b w:val="1"/>
                <w:bCs w:val="1"/>
                <w:color w:val="auto"/>
                <w:w w:val="80"/>
              </w:rPr>
              <w:t>Basis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286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After 1 year through 5 years</w:t>
            </w: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136,222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142,361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 5 years through 10 years</w:t>
            </w: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63,444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After 10 years</w:t>
            </w:r>
          </w:p>
        </w:tc>
        <w:tc>
          <w:tcPr>
            <w:tcW w:w="2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15,282</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253,663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272,986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Debt investments include corporate perpetual securities that are callable. Such securities are listed in the table above based on their respective first call dates. All other “available-for-sale” securities are listed in the table based on their contractual maturities.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securities classified as “available-for-sale” at December 31, 2009 and 2008 that are in an unrealized loss position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December 31, 2009</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December 31, 2008</w:t>
            </w:r>
          </w:p>
        </w:tc>
        <w:tc>
          <w:tcPr>
            <w:tcW w:w="940" w:type="dxa"/>
            <w:vAlign w:val="bottom"/>
            <w:tcBorders>
              <w:bottom w:val="single" w:sz="8" w:color="auto"/>
            </w:tcBorders>
          </w:tcPr>
          <w:p>
            <w:pPr>
              <w:spacing w:after="0"/>
              <w:rPr>
                <w:sz w:val="15"/>
                <w:szCs w:val="15"/>
                <w:color w:val="auto"/>
              </w:rPr>
            </w:pPr>
          </w:p>
        </w:tc>
      </w:tr>
      <w:tr>
        <w:trPr>
          <w:trHeight w:val="130"/>
        </w:trPr>
        <w:tc>
          <w:tcPr>
            <w:tcW w:w="1800" w:type="dxa"/>
            <w:vAlign w:val="bottom"/>
            <w:gridSpan w:val="3"/>
          </w:tcPr>
          <w:p>
            <w:pPr>
              <w:jc w:val="center"/>
              <w:ind w:left="909"/>
              <w:spacing w:after="0" w:line="130" w:lineRule="exact"/>
              <w:rPr>
                <w:sz w:val="20"/>
                <w:szCs w:val="20"/>
                <w:color w:val="auto"/>
              </w:rPr>
            </w:pPr>
            <w:r>
              <w:rPr>
                <w:rFonts w:ascii="Arial" w:cs="Arial" w:eastAsia="Arial" w:hAnsi="Arial"/>
                <w:sz w:val="14"/>
                <w:szCs w:val="14"/>
                <w:b w:val="1"/>
                <w:bCs w:val="1"/>
                <w:color w:val="auto"/>
                <w:w w:val="86"/>
              </w:rPr>
              <w:t>Securities in a</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jc w:val="center"/>
              <w:ind w:right="966"/>
              <w:spacing w:after="0" w:line="130" w:lineRule="exact"/>
              <w:rPr>
                <w:sz w:val="20"/>
                <w:szCs w:val="20"/>
                <w:color w:val="auto"/>
              </w:rPr>
            </w:pPr>
            <w:r>
              <w:rPr>
                <w:rFonts w:ascii="Arial" w:cs="Arial" w:eastAsia="Arial" w:hAnsi="Arial"/>
                <w:sz w:val="14"/>
                <w:szCs w:val="14"/>
                <w:b w:val="1"/>
                <w:bCs w:val="1"/>
                <w:color w:val="auto"/>
                <w:w w:val="84"/>
              </w:rPr>
              <w:t>Securities in a</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760" w:type="dxa"/>
            <w:vAlign w:val="bottom"/>
            <w:gridSpan w:val="3"/>
          </w:tcPr>
          <w:p>
            <w:pPr>
              <w:jc w:val="center"/>
              <w:ind w:right="887"/>
              <w:spacing w:after="0" w:line="130" w:lineRule="exact"/>
              <w:rPr>
                <w:sz w:val="20"/>
                <w:szCs w:val="20"/>
                <w:color w:val="auto"/>
              </w:rPr>
            </w:pPr>
            <w:r>
              <w:rPr>
                <w:rFonts w:ascii="Arial" w:cs="Arial" w:eastAsia="Arial" w:hAnsi="Arial"/>
                <w:sz w:val="14"/>
                <w:szCs w:val="14"/>
                <w:b w:val="1"/>
                <w:bCs w:val="1"/>
                <w:color w:val="auto"/>
                <w:w w:val="84"/>
              </w:rPr>
              <w:t>Securities in a</w:t>
            </w:r>
          </w:p>
        </w:tc>
        <w:tc>
          <w:tcPr>
            <w:tcW w:w="100" w:type="dxa"/>
            <w:vAlign w:val="bottom"/>
          </w:tcPr>
          <w:p>
            <w:pPr>
              <w:spacing w:after="0"/>
              <w:rPr>
                <w:sz w:val="11"/>
                <w:szCs w:val="11"/>
                <w:color w:val="auto"/>
              </w:rPr>
            </w:pPr>
          </w:p>
        </w:tc>
        <w:tc>
          <w:tcPr>
            <w:tcW w:w="1780" w:type="dxa"/>
            <w:vAlign w:val="bottom"/>
            <w:gridSpan w:val="3"/>
          </w:tcPr>
          <w:p>
            <w:pPr>
              <w:jc w:val="center"/>
              <w:ind w:left="869"/>
              <w:spacing w:after="0" w:line="130" w:lineRule="exact"/>
              <w:rPr>
                <w:sz w:val="20"/>
                <w:szCs w:val="20"/>
                <w:color w:val="auto"/>
              </w:rPr>
            </w:pPr>
            <w:r>
              <w:rPr>
                <w:rFonts w:ascii="Arial" w:cs="Arial" w:eastAsia="Arial" w:hAnsi="Arial"/>
                <w:sz w:val="14"/>
                <w:szCs w:val="14"/>
                <w:b w:val="1"/>
                <w:bCs w:val="1"/>
                <w:color w:val="auto"/>
                <w:w w:val="84"/>
              </w:rPr>
              <w:t>Securities in a</w:t>
            </w:r>
          </w:p>
        </w:tc>
        <w:tc>
          <w:tcPr>
            <w:tcW w:w="940" w:type="dxa"/>
            <w:vAlign w:val="bottom"/>
          </w:tcPr>
          <w:p>
            <w:pPr>
              <w:spacing w:after="0"/>
              <w:rPr>
                <w:sz w:val="11"/>
                <w:szCs w:val="11"/>
                <w:color w:val="auto"/>
              </w:rPr>
            </w:pPr>
          </w:p>
        </w:tc>
      </w:tr>
      <w:tr>
        <w:trPr>
          <w:trHeight w:val="149"/>
        </w:trPr>
        <w:tc>
          <w:tcPr>
            <w:tcW w:w="27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3"/>
              </w:rPr>
              <w:t>Continuous Loss</w:t>
            </w:r>
          </w:p>
        </w:tc>
        <w:tc>
          <w:tcPr>
            <w:tcW w:w="120" w:type="dxa"/>
            <w:vAlign w:val="bottom"/>
          </w:tcPr>
          <w:p>
            <w:pPr>
              <w:spacing w:after="0"/>
              <w:rPr>
                <w:sz w:val="12"/>
                <w:szCs w:val="12"/>
                <w:color w:val="auto"/>
              </w:rPr>
            </w:pPr>
          </w:p>
        </w:tc>
        <w:tc>
          <w:tcPr>
            <w:tcW w:w="28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3"/>
              </w:rPr>
              <w:t>Continuous Loss</w:t>
            </w:r>
          </w:p>
        </w:tc>
        <w:tc>
          <w:tcPr>
            <w:tcW w:w="120" w:type="dxa"/>
            <w:vAlign w:val="bottom"/>
          </w:tcPr>
          <w:p>
            <w:pPr>
              <w:spacing w:after="0"/>
              <w:rPr>
                <w:sz w:val="12"/>
                <w:szCs w:val="12"/>
                <w:color w:val="auto"/>
              </w:rPr>
            </w:pPr>
          </w:p>
        </w:tc>
        <w:tc>
          <w:tcPr>
            <w:tcW w:w="27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3"/>
              </w:rPr>
              <w:t>Continuous Loss</w:t>
            </w:r>
          </w:p>
        </w:tc>
        <w:tc>
          <w:tcPr>
            <w:tcW w:w="100" w:type="dxa"/>
            <w:vAlign w:val="bottom"/>
          </w:tcPr>
          <w:p>
            <w:pPr>
              <w:spacing w:after="0"/>
              <w:rPr>
                <w:sz w:val="12"/>
                <w:szCs w:val="12"/>
                <w:color w:val="auto"/>
              </w:rPr>
            </w:pPr>
          </w:p>
        </w:tc>
        <w:tc>
          <w:tcPr>
            <w:tcW w:w="27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3"/>
              </w:rPr>
              <w:t>Continuous Loss</w:t>
            </w:r>
          </w:p>
        </w:tc>
      </w:tr>
      <w:tr>
        <w:trPr>
          <w:trHeight w:val="149"/>
        </w:trPr>
        <w:tc>
          <w:tcPr>
            <w:tcW w:w="1800" w:type="dxa"/>
            <w:vAlign w:val="bottom"/>
            <w:gridSpan w:val="3"/>
          </w:tcPr>
          <w:p>
            <w:pPr>
              <w:jc w:val="center"/>
              <w:ind w:left="889"/>
              <w:spacing w:after="0" w:line="149" w:lineRule="exact"/>
              <w:rPr>
                <w:sz w:val="20"/>
                <w:szCs w:val="20"/>
                <w:color w:val="auto"/>
              </w:rPr>
            </w:pPr>
            <w:r>
              <w:rPr>
                <w:rFonts w:ascii="Arial" w:cs="Arial" w:eastAsia="Arial" w:hAnsi="Arial"/>
                <w:sz w:val="14"/>
                <w:szCs w:val="14"/>
                <w:b w:val="1"/>
                <w:bCs w:val="1"/>
                <w:color w:val="auto"/>
                <w:w w:val="87"/>
              </w:rPr>
              <w:t>Position for</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40" w:type="dxa"/>
            <w:vAlign w:val="bottom"/>
            <w:gridSpan w:val="3"/>
          </w:tcPr>
          <w:p>
            <w:pPr>
              <w:jc w:val="center"/>
              <w:ind w:right="966"/>
              <w:spacing w:after="0" w:line="149" w:lineRule="exact"/>
              <w:rPr>
                <w:sz w:val="20"/>
                <w:szCs w:val="20"/>
                <w:color w:val="auto"/>
              </w:rPr>
            </w:pPr>
            <w:r>
              <w:rPr>
                <w:rFonts w:ascii="Arial" w:cs="Arial" w:eastAsia="Arial" w:hAnsi="Arial"/>
                <w:sz w:val="14"/>
                <w:szCs w:val="14"/>
                <w:b w:val="1"/>
                <w:bCs w:val="1"/>
                <w:color w:val="auto"/>
                <w:w w:val="87"/>
              </w:rPr>
              <w:t>Position for</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760" w:type="dxa"/>
            <w:vAlign w:val="bottom"/>
            <w:gridSpan w:val="3"/>
          </w:tcPr>
          <w:p>
            <w:pPr>
              <w:jc w:val="center"/>
              <w:ind w:right="887"/>
              <w:spacing w:after="0" w:line="149" w:lineRule="exact"/>
              <w:rPr>
                <w:sz w:val="20"/>
                <w:szCs w:val="20"/>
                <w:color w:val="auto"/>
              </w:rPr>
            </w:pPr>
            <w:r>
              <w:rPr>
                <w:rFonts w:ascii="Arial" w:cs="Arial" w:eastAsia="Arial" w:hAnsi="Arial"/>
                <w:sz w:val="14"/>
                <w:szCs w:val="14"/>
                <w:b w:val="1"/>
                <w:bCs w:val="1"/>
                <w:color w:val="auto"/>
                <w:w w:val="87"/>
              </w:rPr>
              <w:t>Position for</w:t>
            </w:r>
          </w:p>
        </w:tc>
        <w:tc>
          <w:tcPr>
            <w:tcW w:w="100" w:type="dxa"/>
            <w:vAlign w:val="bottom"/>
          </w:tcPr>
          <w:p>
            <w:pPr>
              <w:spacing w:after="0"/>
              <w:rPr>
                <w:sz w:val="12"/>
                <w:szCs w:val="12"/>
                <w:color w:val="auto"/>
              </w:rPr>
            </w:pPr>
          </w:p>
        </w:tc>
        <w:tc>
          <w:tcPr>
            <w:tcW w:w="1780" w:type="dxa"/>
            <w:vAlign w:val="bottom"/>
            <w:gridSpan w:val="3"/>
          </w:tcPr>
          <w:p>
            <w:pPr>
              <w:jc w:val="center"/>
              <w:ind w:left="869"/>
              <w:spacing w:after="0" w:line="149" w:lineRule="exact"/>
              <w:rPr>
                <w:sz w:val="20"/>
                <w:szCs w:val="20"/>
                <w:color w:val="auto"/>
              </w:rPr>
            </w:pPr>
            <w:r>
              <w:rPr>
                <w:rFonts w:ascii="Arial" w:cs="Arial" w:eastAsia="Arial" w:hAnsi="Arial"/>
                <w:sz w:val="14"/>
                <w:szCs w:val="14"/>
                <w:b w:val="1"/>
                <w:bCs w:val="1"/>
                <w:color w:val="auto"/>
                <w:w w:val="87"/>
              </w:rPr>
              <w:t>Position for</w:t>
            </w:r>
          </w:p>
        </w:tc>
        <w:tc>
          <w:tcPr>
            <w:tcW w:w="940" w:type="dxa"/>
            <w:vAlign w:val="bottom"/>
          </w:tcPr>
          <w:p>
            <w:pPr>
              <w:spacing w:after="0"/>
              <w:rPr>
                <w:sz w:val="12"/>
                <w:szCs w:val="12"/>
                <w:color w:val="auto"/>
              </w:rPr>
            </w:pPr>
          </w:p>
        </w:tc>
      </w:tr>
      <w:tr>
        <w:trPr>
          <w:trHeight w:val="175"/>
        </w:trPr>
        <w:tc>
          <w:tcPr>
            <w:tcW w:w="2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Less than 12 Months</w:t>
            </w:r>
          </w:p>
        </w:tc>
        <w:tc>
          <w:tcPr>
            <w:tcW w:w="120" w:type="dxa"/>
            <w:vAlign w:val="bottom"/>
          </w:tcPr>
          <w:p>
            <w:pPr>
              <w:spacing w:after="0"/>
              <w:rPr>
                <w:sz w:val="15"/>
                <w:szCs w:val="15"/>
                <w:color w:val="auto"/>
              </w:rPr>
            </w:pPr>
          </w:p>
        </w:tc>
        <w:tc>
          <w:tcPr>
            <w:tcW w:w="28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12 Months or Longer</w:t>
            </w:r>
          </w:p>
        </w:tc>
        <w:tc>
          <w:tcPr>
            <w:tcW w:w="120" w:type="dxa"/>
            <w:vAlign w:val="bottom"/>
          </w:tcPr>
          <w:p>
            <w:pPr>
              <w:spacing w:after="0"/>
              <w:rPr>
                <w:sz w:val="15"/>
                <w:szCs w:val="15"/>
                <w:color w:val="auto"/>
              </w:rPr>
            </w:pPr>
          </w:p>
        </w:tc>
        <w:tc>
          <w:tcPr>
            <w:tcW w:w="2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Less than 12 Months</w:t>
            </w:r>
          </w:p>
        </w:tc>
        <w:tc>
          <w:tcPr>
            <w:tcW w:w="100" w:type="dxa"/>
            <w:vAlign w:val="bottom"/>
          </w:tcPr>
          <w:p>
            <w:pPr>
              <w:spacing w:after="0"/>
              <w:rPr>
                <w:sz w:val="15"/>
                <w:szCs w:val="15"/>
                <w:color w:val="auto"/>
              </w:rPr>
            </w:pPr>
          </w:p>
        </w:tc>
        <w:tc>
          <w:tcPr>
            <w:tcW w:w="2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12 Months or Longer</w:t>
            </w:r>
          </w:p>
        </w:tc>
      </w:tr>
      <w:tr>
        <w:trPr>
          <w:trHeight w:val="130"/>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center"/>
              <w:ind w:right="227"/>
              <w:spacing w:after="0" w:line="130" w:lineRule="exact"/>
              <w:rPr>
                <w:sz w:val="20"/>
                <w:szCs w:val="20"/>
                <w:color w:val="auto"/>
              </w:rPr>
            </w:pPr>
            <w:r>
              <w:rPr>
                <w:rFonts w:ascii="Arial" w:cs="Arial" w:eastAsia="Arial" w:hAnsi="Arial"/>
                <w:sz w:val="14"/>
                <w:szCs w:val="14"/>
                <w:b w:val="1"/>
                <w:bCs w:val="1"/>
                <w:color w:val="auto"/>
                <w:w w:val="87"/>
              </w:rPr>
              <w:t>Unrealized</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7"/>
              </w:rPr>
              <w:t>Unrealized</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7"/>
              </w:rPr>
              <w:t>Unrealized</w:t>
            </w: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jc w:val="center"/>
              <w:ind w:right="226"/>
              <w:spacing w:after="0" w:line="130" w:lineRule="exact"/>
              <w:rPr>
                <w:sz w:val="20"/>
                <w:szCs w:val="20"/>
                <w:color w:val="auto"/>
              </w:rPr>
            </w:pPr>
            <w:r>
              <w:rPr>
                <w:rFonts w:ascii="Arial" w:cs="Arial" w:eastAsia="Arial" w:hAnsi="Arial"/>
                <w:sz w:val="14"/>
                <w:szCs w:val="14"/>
                <w:b w:val="1"/>
                <w:bCs w:val="1"/>
                <w:color w:val="auto"/>
                <w:w w:val="90"/>
              </w:rPr>
              <w:t>Unrealized</w:t>
            </w:r>
          </w:p>
        </w:tc>
      </w:tr>
      <w:tr>
        <w:trPr>
          <w:trHeight w:val="175"/>
        </w:trPr>
        <w:tc>
          <w:tcPr>
            <w:tcW w:w="1800" w:type="dxa"/>
            <w:vAlign w:val="bottom"/>
            <w:gridSpan w:val="3"/>
          </w:tcPr>
          <w:p>
            <w:pPr>
              <w:ind w:left="400"/>
              <w:spacing w:after="0"/>
              <w:rPr>
                <w:sz w:val="20"/>
                <w:szCs w:val="20"/>
                <w:color w:val="auto"/>
              </w:rPr>
            </w:pPr>
            <w:r>
              <w:rPr>
                <w:rFonts w:ascii="Arial" w:cs="Arial" w:eastAsia="Arial" w:hAnsi="Arial"/>
                <w:sz w:val="14"/>
                <w:szCs w:val="14"/>
                <w:b w:val="1"/>
                <w:bCs w:val="1"/>
                <w:color w:val="auto"/>
              </w:rPr>
              <w:t>Fair Value</w:t>
            </w:r>
          </w:p>
        </w:tc>
        <w:tc>
          <w:tcPr>
            <w:tcW w:w="960" w:type="dxa"/>
            <w:vAlign w:val="bottom"/>
          </w:tcPr>
          <w:p>
            <w:pPr>
              <w:jc w:val="center"/>
              <w:ind w:right="227"/>
              <w:spacing w:after="0"/>
              <w:rPr>
                <w:sz w:val="20"/>
                <w:szCs w:val="20"/>
                <w:color w:val="auto"/>
              </w:rPr>
            </w:pPr>
            <w:r>
              <w:rPr>
                <w:rFonts w:ascii="Arial" w:cs="Arial" w:eastAsia="Arial" w:hAnsi="Arial"/>
                <w:sz w:val="14"/>
                <w:szCs w:val="14"/>
                <w:b w:val="1"/>
                <w:bCs w:val="1"/>
                <w:color w:val="auto"/>
                <w:w w:val="79"/>
              </w:rPr>
              <w:t>Loss</w:t>
            </w:r>
          </w:p>
        </w:tc>
        <w:tc>
          <w:tcPr>
            <w:tcW w:w="120" w:type="dxa"/>
            <w:vAlign w:val="bottom"/>
          </w:tcPr>
          <w:p>
            <w:pPr>
              <w:spacing w:after="0"/>
              <w:rPr>
                <w:sz w:val="15"/>
                <w:szCs w:val="15"/>
                <w:color w:val="auto"/>
              </w:rPr>
            </w:pPr>
          </w:p>
        </w:tc>
        <w:tc>
          <w:tcPr>
            <w:tcW w:w="1040" w:type="dxa"/>
            <w:vAlign w:val="bottom"/>
          </w:tcPr>
          <w:p>
            <w:pPr>
              <w:jc w:val="center"/>
              <w:ind w:left="287"/>
              <w:spacing w:after="0"/>
              <w:rPr>
                <w:sz w:val="20"/>
                <w:szCs w:val="20"/>
                <w:color w:val="auto"/>
              </w:rPr>
            </w:pPr>
            <w:r>
              <w:rPr>
                <w:rFonts w:ascii="Arial" w:cs="Arial" w:eastAsia="Arial" w:hAnsi="Arial"/>
                <w:sz w:val="14"/>
                <w:szCs w:val="14"/>
                <w:b w:val="1"/>
                <w:bCs w:val="1"/>
                <w:color w:val="auto"/>
                <w:w w:val="89"/>
              </w:rPr>
              <w:t>Fair Value</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79"/>
              </w:rPr>
              <w:t>Loss</w:t>
            </w:r>
          </w:p>
        </w:tc>
        <w:tc>
          <w:tcPr>
            <w:tcW w:w="120" w:type="dxa"/>
            <w:vAlign w:val="bottom"/>
          </w:tcPr>
          <w:p>
            <w:pPr>
              <w:spacing w:after="0"/>
              <w:rPr>
                <w:sz w:val="15"/>
                <w:szCs w:val="15"/>
                <w:color w:val="auto"/>
              </w:rPr>
            </w:pPr>
          </w:p>
        </w:tc>
        <w:tc>
          <w:tcPr>
            <w:tcW w:w="960" w:type="dxa"/>
            <w:vAlign w:val="bottom"/>
          </w:tcPr>
          <w:p>
            <w:pPr>
              <w:jc w:val="center"/>
              <w:ind w:left="207"/>
              <w:spacing w:after="0"/>
              <w:rPr>
                <w:sz w:val="20"/>
                <w:szCs w:val="20"/>
                <w:color w:val="auto"/>
              </w:rPr>
            </w:pPr>
            <w:r>
              <w:rPr>
                <w:rFonts w:ascii="Arial" w:cs="Arial" w:eastAsia="Arial" w:hAnsi="Arial"/>
                <w:sz w:val="14"/>
                <w:szCs w:val="14"/>
                <w:b w:val="1"/>
                <w:bCs w:val="1"/>
                <w:color w:val="auto"/>
                <w:w w:val="89"/>
              </w:rPr>
              <w:t>Fair Value</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79"/>
              </w:rPr>
              <w:t>Loss</w:t>
            </w:r>
          </w:p>
        </w:tc>
        <w:tc>
          <w:tcPr>
            <w:tcW w:w="100" w:type="dxa"/>
            <w:vAlign w:val="bottom"/>
          </w:tcPr>
          <w:p>
            <w:pPr>
              <w:spacing w:after="0"/>
              <w:rPr>
                <w:sz w:val="15"/>
                <w:szCs w:val="15"/>
                <w:color w:val="auto"/>
              </w:rPr>
            </w:pPr>
          </w:p>
        </w:tc>
        <w:tc>
          <w:tcPr>
            <w:tcW w:w="1780" w:type="dxa"/>
            <w:vAlign w:val="bottom"/>
            <w:gridSpan w:val="3"/>
          </w:tcPr>
          <w:p>
            <w:pPr>
              <w:ind w:left="380"/>
              <w:spacing w:after="0"/>
              <w:rPr>
                <w:sz w:val="20"/>
                <w:szCs w:val="20"/>
                <w:color w:val="auto"/>
              </w:rPr>
            </w:pPr>
            <w:r>
              <w:rPr>
                <w:rFonts w:ascii="Arial" w:cs="Arial" w:eastAsia="Arial" w:hAnsi="Arial"/>
                <w:sz w:val="14"/>
                <w:szCs w:val="14"/>
                <w:b w:val="1"/>
                <w:bCs w:val="1"/>
                <w:color w:val="auto"/>
              </w:rPr>
              <w:t>Fair Value</w:t>
            </w:r>
          </w:p>
        </w:tc>
        <w:tc>
          <w:tcPr>
            <w:tcW w:w="940" w:type="dxa"/>
            <w:vAlign w:val="bottom"/>
          </w:tcPr>
          <w:p>
            <w:pPr>
              <w:jc w:val="center"/>
              <w:ind w:right="226"/>
              <w:spacing w:after="0"/>
              <w:rPr>
                <w:sz w:val="20"/>
                <w:szCs w:val="20"/>
                <w:color w:val="auto"/>
              </w:rPr>
            </w:pPr>
            <w:r>
              <w:rPr>
                <w:rFonts w:ascii="Arial" w:cs="Arial" w:eastAsia="Arial" w:hAnsi="Arial"/>
                <w:sz w:val="14"/>
                <w:szCs w:val="14"/>
                <w:b w:val="1"/>
                <w:bCs w:val="1"/>
                <w:color w:val="auto"/>
                <w:w w:val="85"/>
              </w:rPr>
              <w:t>Loss</w:t>
            </w:r>
          </w:p>
        </w:tc>
      </w:tr>
      <w:tr>
        <w:trPr>
          <w:trHeight w:val="210"/>
        </w:trPr>
        <w:tc>
          <w:tcPr>
            <w:tcW w:w="13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$166,094</w:t>
            </w:r>
          </w:p>
        </w:tc>
        <w:tc>
          <w:tcPr>
            <w:tcW w:w="3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$21,381</w:t>
            </w:r>
          </w:p>
        </w:tc>
        <w:tc>
          <w:tcPr>
            <w:tcW w:w="1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$210,866</w:t>
            </w:r>
          </w:p>
        </w:tc>
        <w:tc>
          <w:tcPr>
            <w:tcW w:w="28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6"/>
              </w:rPr>
              <w:t>$52,883</w:t>
            </w:r>
          </w:p>
        </w:tc>
        <w:tc>
          <w:tcPr>
            <w:tcW w:w="100" w:type="dxa"/>
            <w:vAlign w:val="bottom"/>
          </w:tcPr>
          <w:p>
            <w:pPr>
              <w:spacing w:after="0"/>
              <w:rPr>
                <w:sz w:val="18"/>
                <w:szCs w:val="18"/>
                <w:color w:val="auto"/>
              </w:rPr>
            </w:pPr>
          </w:p>
        </w:tc>
        <w:tc>
          <w:tcPr>
            <w:tcW w:w="13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$58,368</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center"/>
              <w:ind w:right="226"/>
              <w:spacing w:after="0"/>
              <w:rPr>
                <w:sz w:val="20"/>
                <w:szCs w:val="20"/>
                <w:color w:val="auto"/>
              </w:rPr>
            </w:pPr>
            <w:r>
              <w:rPr>
                <w:rFonts w:ascii="Arial" w:cs="Arial" w:eastAsia="Arial" w:hAnsi="Arial"/>
                <w:sz w:val="18"/>
                <w:szCs w:val="18"/>
                <w:color w:val="auto"/>
                <w:w w:val="86"/>
              </w:rPr>
              <w:t>$10,794</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unrealized loss for securities in a continuous loss position for 12 months or longer at December 31, 2009 has been reduced by an other-than-temporary impairment charge of $1,825 reclassified from AOCI to “revenue-other” on the consolidated statement of operations during the year ended December 31, 2009. Such amount represents management’s estimate of the credit loss component of debt securities whose fair value is below its amortized cost. There was no other-than-temporary impairment charge recognized during the years ended December 31, 2008 and 2007.</w:t>
      </w:r>
    </w:p>
    <w:p>
      <w:pPr>
        <w:spacing w:after="0" w:line="99"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LFB does not intend to sell its debt securities classified as “available-for-sale”, nor is it more likely than not that LFB will be required to sell such debt securities before their anticipated recovery. Based on the qualitative and quantitative analysis performed, debt securities in unrealized loss positions were not considered to be other-than-temporarily impaired at December 31, 2009, except for the amount recognized above.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and amortized cost basis pertaining to debt securities classified as “held-to-maturity” at December 31, 2009, by maturity date, are as follows:</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Amortized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Cost</w:t>
            </w:r>
          </w:p>
        </w:tc>
        <w:tc>
          <w:tcPr>
            <w:tcW w:w="0" w:type="dxa"/>
            <w:vAlign w:val="bottom"/>
          </w:tcPr>
          <w:p>
            <w:pPr>
              <w:spacing w:after="0"/>
              <w:rPr>
                <w:sz w:val="1"/>
                <w:szCs w:val="1"/>
                <w:color w:val="auto"/>
              </w:rPr>
            </w:pPr>
          </w:p>
        </w:tc>
      </w:tr>
      <w:tr>
        <w:trPr>
          <w:trHeight w:val="161"/>
        </w:trPr>
        <w:tc>
          <w:tcPr>
            <w:tcW w:w="4600" w:type="dxa"/>
            <w:vAlign w:val="bottom"/>
            <w:gridSpan w:val="3"/>
          </w:tcPr>
          <w:p>
            <w:pPr>
              <w:spacing w:after="0"/>
              <w:rPr>
                <w:sz w:val="20"/>
                <w:szCs w:val="20"/>
                <w:color w:val="auto"/>
              </w:rPr>
            </w:pPr>
            <w:r>
              <w:rPr>
                <w:rFonts w:ascii="Arial" w:cs="Arial" w:eastAsia="Arial" w:hAnsi="Arial"/>
                <w:sz w:val="14"/>
                <w:szCs w:val="14"/>
                <w:b w:val="1"/>
                <w:bCs w:val="1"/>
                <w:color w:val="auto"/>
              </w:rPr>
              <w:t>Maturity Date</w:t>
            </w:r>
          </w:p>
        </w:tc>
        <w:tc>
          <w:tcPr>
            <w:tcW w:w="26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 1 year through 5 years</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$ 137,776</w:t>
            </w:r>
          </w:p>
        </w:tc>
        <w:tc>
          <w:tcPr>
            <w:tcW w:w="120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94"/>
              </w:rPr>
              <w:t>$ 136,630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debt securities classified as “held-to-maturity” at December 31, 2009 that were in an unrecognized loss position.</w:t>
      </w:r>
    </w:p>
    <w:p>
      <w:pPr>
        <w:spacing w:after="0" w:line="15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Equities principally represent the Company’s investments in marketable equity securities of large-, mid- and small-cap domestic, international and global companies to seed new Asset Management products and includes investments in public and private asset management funds managed both by LAM and third-party asset managers.</w:t>
      </w:r>
    </w:p>
    <w:p>
      <w:pPr>
        <w:spacing w:after="0" w:line="12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2008, LFNY was a party to a Prime Brokerage Agreement with LBI for certain accounts involving investment strategies managed by LAM. On September 9, 2008, LAM requested a transfer of such accounts, of which $11,368 was not received. On September 15, 2008, LBI, the ultimate parent company in the Lehman Group, filed for protection under Chapter 11 of the United States Bankruptcy Code and a number of Lehman Group entities in the UK entered into administration proceedings under the Insolvency Act 1986. In addition, the Securities Investor Protection Corporation (“SIPC”) commenced liquidation proceedings on September 19, 2008 pursuant to the Securities Investor Protection Act of 1970, as amended, with respect to Lehman Brothers Holdings, Inc. The Chapter 11 filing, Insolvency Act Administration and SIPC proceedings exposed Lazard to possible loss due to counterparty credit and other risk. During 2008, the Company reserved the entire amount of such possible loss, and, through December 31, 2009, no funds have been received by the Company. We continue to actively seek recovery of all amounts.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Interests in LAM alternative asset management funds represent (i) GP interests owned by Lazard in LAM-managed alternative asset management funds and (ii) GP interests consolidated by the Company pertaining to noncontrolling interests in LAM alternative asset management funds. Such noncontrolling interests in LAM alternative asset management funds, which represent GP interests held directly by certain of our LAM managing directors or employees of the Company, are deemed to be controlled by, and therefore consolidated by, the Company in accordance with U.S. GAAP. Noncontrolling interests are presented within “members’ equity” on the consolidated statements of financial condition (see Note 16 of Notes to Consolidated Financial Statements).</w:t>
      </w:r>
    </w:p>
    <w:p>
      <w:pPr>
        <w:spacing w:after="0" w:line="10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Private equity investments owned by Lazard are primarily comprised of investments in private equity funds and direct private equity interests. Such investments primarily include (i) a mezzanine fund, which invests in mezzanine debt of a diversified selection of small- to mid-cap European companies; (ii) Corporate Partners II Limited (“CP II”), a private equity fund targeting significant noncontrolling-stake investments in established public and private companies and (iii) Lazard Senior Housing Partners LP (“Senior Housing”), which acquires companies and assets in the senior housing, extended-stay hotel and shopping center sectors.</w:t>
      </w:r>
    </w:p>
    <w:p>
      <w:pPr>
        <w:spacing w:after="0" w:line="129"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Private equity investments consolidated but not owned by Lazard are related solely to Lazard’s establishment of a private equity business with the Edgewater Funds (“Edgewater”), a Chicago-based private equity firm, through the acquisition of Edgewater’s management vehicles on July 15, 2009. The acquisition was structured as a purchase by Lazard of interests in a holding company that owns interests in the general partner and management company entities of the current Edgewater private equity funds (the “Edgewater Acquisition”). Edgewater is focused on buyout and growth equity investments in middle market companies. The economic interests that the Company does not own are owned by the current leadership team and other investors in the Edgewater management vehicles.</w:t>
      </w:r>
    </w:p>
    <w:p>
      <w:pPr>
        <w:spacing w:after="0" w:line="13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Equity method investments include investments made in the first quarter of 2008 in Sapphire Industrials Corp. (“Sapphire”) (approximately $13,000 of which was subsequently written-off in the fourth quarter of 2009 principally relating to the Company’s investment in Sapphire warrants) and Merchant Bankers Asociados (“MBA”), an Argentina-based financial advisory services firm with offices across Central and South America and the parent company of MBA Banco de Inversiones (see Notes 9 and 15 of Notes to Consolidated Financial Statements for additional information regarding MBA and Sapphire, respectively).</w:t>
      </w:r>
    </w:p>
    <w:p>
      <w:pPr>
        <w:spacing w:after="0" w:line="9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recognized gross investment gains and losses on investments measured at fair value for the years ended December 31, 2009, 2008 and 2007 in “revenue-other” on the respective consolidated statements of operations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8"/>
          </w:tcPr>
          <w:p>
            <w:pPr>
              <w:jc w:val="center"/>
              <w:ind w:left="342"/>
              <w:spacing w:after="0"/>
              <w:rPr>
                <w:sz w:val="20"/>
                <w:szCs w:val="20"/>
                <w:color w:val="auto"/>
              </w:rPr>
            </w:pPr>
            <w:r>
              <w:rPr>
                <w:rFonts w:ascii="Arial" w:cs="Arial" w:eastAsia="Arial" w:hAnsi="Arial"/>
                <w:sz w:val="14"/>
                <w:szCs w:val="14"/>
                <w:b w:val="1"/>
                <w:bCs w:val="1"/>
                <w:color w:val="auto"/>
                <w:w w:val="87"/>
              </w:rPr>
              <w:t>Year Ended December 31,</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83"/>
              </w:rPr>
              <w:t>2008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Gross investment gains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53,319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52,748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63,721</w:t>
            </w:r>
          </w:p>
        </w:tc>
        <w:tc>
          <w:tcPr>
            <w:tcW w:w="20" w:type="dxa"/>
            <w:vAlign w:val="bottom"/>
          </w:tcPr>
          <w:p>
            <w:pPr>
              <w:spacing w:after="0"/>
              <w:rPr>
                <w:sz w:val="18"/>
                <w:szCs w:val="18"/>
                <w:color w:val="auto"/>
              </w:rPr>
            </w:pPr>
          </w:p>
        </w:tc>
      </w:tr>
      <w:tr>
        <w:trPr>
          <w:trHeight w:val="222"/>
        </w:trPr>
        <w:tc>
          <w:tcPr>
            <w:tcW w:w="8660" w:type="dxa"/>
            <w:vAlign w:val="bottom"/>
          </w:tcPr>
          <w:p>
            <w:pPr>
              <w:spacing w:after="0"/>
              <w:rPr>
                <w:sz w:val="20"/>
                <w:szCs w:val="20"/>
                <w:color w:val="auto"/>
              </w:rPr>
            </w:pPr>
            <w:r>
              <w:rPr>
                <w:rFonts w:ascii="Arial" w:cs="Arial" w:eastAsia="Arial" w:hAnsi="Arial"/>
                <w:sz w:val="18"/>
                <w:szCs w:val="18"/>
                <w:color w:val="auto"/>
              </w:rPr>
              <w:t>Gross investment losses</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19,740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164,135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47,501</w:t>
            </w:r>
          </w:p>
        </w:tc>
        <w:tc>
          <w:tcPr>
            <w:tcW w:w="20" w:type="dxa"/>
            <w:vAlign w:val="bottom"/>
          </w:tcPr>
          <w:p>
            <w:pPr>
              <w:spacing w:after="0"/>
              <w:rPr>
                <w:sz w:val="19"/>
                <w:szCs w:val="19"/>
                <w:color w:val="auto"/>
              </w:rPr>
            </w:pPr>
          </w:p>
        </w:tc>
      </w:tr>
      <w:tr>
        <w:trPr>
          <w:trHeight w:val="356"/>
        </w:trPr>
        <w:tc>
          <w:tcPr>
            <w:tcW w:w="8660" w:type="dxa"/>
            <w:vAlign w:val="bottom"/>
          </w:tcPr>
          <w:p>
            <w:pPr>
              <w:ind w:left="460"/>
              <w:spacing w:after="0"/>
              <w:rPr>
                <w:sz w:val="20"/>
                <w:szCs w:val="20"/>
                <w:color w:val="auto"/>
              </w:rPr>
            </w:pPr>
            <w:r>
              <w:rPr>
                <w:rFonts w:ascii="Arial" w:cs="Arial" w:eastAsia="Arial" w:hAnsi="Arial"/>
                <w:sz w:val="18"/>
                <w:szCs w:val="18"/>
                <w:color w:val="auto"/>
                <w:w w:val="89"/>
              </w:rPr>
              <w:t>The table above includes gross unrealized investment gains and losses pertaining to “trading” securities as follows: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9"/>
        </w:trPr>
        <w:tc>
          <w:tcPr>
            <w:tcW w:w="8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8"/>
          </w:tcPr>
          <w:p>
            <w:pPr>
              <w:jc w:val="center"/>
              <w:ind w:left="342"/>
              <w:spacing w:after="0"/>
              <w:rPr>
                <w:sz w:val="20"/>
                <w:szCs w:val="20"/>
                <w:color w:val="auto"/>
              </w:rPr>
            </w:pPr>
            <w:r>
              <w:rPr>
                <w:rFonts w:ascii="Arial" w:cs="Arial" w:eastAsia="Arial" w:hAnsi="Arial"/>
                <w:sz w:val="14"/>
                <w:szCs w:val="14"/>
                <w:b w:val="1"/>
                <w:bCs w:val="1"/>
                <w:color w:val="auto"/>
                <w:w w:val="87"/>
              </w:rPr>
              <w:t>Year Ended December 31,</w:t>
            </w: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8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83"/>
              </w:rPr>
              <w:t>2008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Gross unrealized investment gains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18,672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8,610</w:t>
            </w:r>
          </w:p>
        </w:tc>
        <w:tc>
          <w:tcPr>
            <w:tcW w:w="20" w:type="dxa"/>
            <w:vAlign w:val="bottom"/>
          </w:tcPr>
          <w:p>
            <w:pPr>
              <w:spacing w:after="0"/>
              <w:rPr>
                <w:sz w:val="18"/>
                <w:szCs w:val="18"/>
                <w:color w:val="auto"/>
              </w:rPr>
            </w:pPr>
          </w:p>
        </w:tc>
      </w:tr>
      <w:tr>
        <w:trPr>
          <w:trHeight w:val="222"/>
        </w:trPr>
        <w:tc>
          <w:tcPr>
            <w:tcW w:w="866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9,125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24,186</w:t>
            </w:r>
          </w:p>
        </w:tc>
        <w:tc>
          <w:tcPr>
            <w:tcW w:w="20" w:type="dxa"/>
            <w:vAlign w:val="bottom"/>
          </w:tcPr>
          <w:p>
            <w:pPr>
              <w:spacing w:after="0"/>
              <w:rPr>
                <w:sz w:val="19"/>
                <w:szCs w:val="19"/>
                <w:color w:val="auto"/>
              </w:rPr>
            </w:pPr>
          </w:p>
        </w:tc>
      </w:tr>
    </w:tbl>
    <w:p>
      <w:pPr>
        <w:spacing w:after="0" w:line="134"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In addition, within AOCI, the Company recorded gross pre-tax unrealized investment losses of $195, $62,655 and $1,022 during the years ended December 31, 2009, 2008 and 2007, respectively, and gross pre-tax</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unrealized investment gains of $46,468, $308 and $0 during the years ended December 31, 2009, 2008 and 2007, respectively, pertaining to debt securities held at LFB that are designated as “available-for-sale”. The average cost basis is utilized for purposes of calculating realized investment gains and losses.</w:t>
      </w:r>
    </w:p>
    <w:p>
      <w:pPr>
        <w:spacing w:after="0" w:line="72"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00"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37" w:lineRule="exact"/>
        <w:rPr>
          <w:sz w:val="20"/>
          <w:szCs w:val="20"/>
          <w:color w:val="auto"/>
        </w:rPr>
      </w:pPr>
    </w:p>
    <w:p>
      <w:pPr>
        <w:ind w:left="920" w:hanging="904"/>
        <w:spacing w:after="0" w:line="259"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quoted prices for similar assets or liabilities in an active market, quoted prices for identical or similar assets or liabilities in non-active markets or inputs other than quoted prices that are directly observable or derived principally from or corroborated by market data.</w:t>
      </w:r>
    </w:p>
    <w:p>
      <w:pPr>
        <w:spacing w:after="0" w:line="46" w:lineRule="exact"/>
        <w:rPr>
          <w:sz w:val="20"/>
          <w:szCs w:val="20"/>
          <w:color w:val="auto"/>
        </w:rPr>
      </w:pPr>
    </w:p>
    <w:p>
      <w:pPr>
        <w:ind w:left="920" w:hanging="904"/>
        <w:spacing w:after="0" w:line="255"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w:t>
      </w:r>
    </w:p>
    <w:p>
      <w:pPr>
        <w:spacing w:after="0" w:line="129"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Principally all of the Company’s investments in corporate debt securities are considered Level 2 investments with such fair value based on observable data, principally broker quotes as provided by external pricing services. The Company’s other debt securities at fair value are considered Level 1 investments with such fair value based on unadjusted quoted prices in active markets.</w:t>
      </w:r>
    </w:p>
    <w:p>
      <w:pPr>
        <w:spacing w:after="0" w:line="127"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fair value of equities is principally classified as Level 1 or Level 2 as follows: marketable equity securities are classified as Level 1 and are valued based on the last trade price on the primary exchange for that security; public asset management funds are classified as Level 1 and are valued based on the reported closing 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99"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fair value of interests in LAM alternative asset management funds is classified as Level 2 and is based on information provided by external pricing services.</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fair value of private equity investments is classified as Level 3 and is based on financial statements provided by fund managers, appraisals and internal valuations.</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Where information reported is based on data received from fund managers or from external pricing services, the Company reviews such information to ascertain at which level within the fair value hierarchy to classify the investment.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categorization of investments and certain other assets and liabilities measured at fair value on a recurring basis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 and 2008 into a three-level fair value hierarchy in accordance with fair value measurement disclosure requirements: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60" w:type="dxa"/>
            <w:vAlign w:val="bottom"/>
            <w:gridSpan w:val="14"/>
          </w:tcPr>
          <w:p>
            <w:pPr>
              <w:jc w:val="center"/>
              <w:ind w:right="100"/>
              <w:spacing w:after="0"/>
              <w:rPr>
                <w:sz w:val="20"/>
                <w:szCs w:val="20"/>
                <w:color w:val="auto"/>
              </w:rPr>
            </w:pPr>
            <w:r>
              <w:rPr>
                <w:rFonts w:ascii="Arial" w:cs="Arial" w:eastAsia="Arial" w:hAnsi="Arial"/>
                <w:sz w:val="14"/>
                <w:szCs w:val="14"/>
                <w:b w:val="1"/>
                <w:bCs w:val="1"/>
                <w:color w:val="auto"/>
                <w:w w:val="86"/>
              </w:rPr>
              <w:t>Fair Value Measurements on a Recurring Basis</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8"/>
          </w:tcPr>
          <w:p>
            <w:pPr>
              <w:jc w:val="center"/>
              <w:ind w:right="460"/>
              <w:spacing w:after="0"/>
              <w:rPr>
                <w:sz w:val="20"/>
                <w:szCs w:val="20"/>
                <w:color w:val="auto"/>
              </w:rPr>
            </w:pPr>
            <w:r>
              <w:rPr>
                <w:rFonts w:ascii="Arial" w:cs="Arial" w:eastAsia="Arial" w:hAnsi="Arial"/>
                <w:sz w:val="14"/>
                <w:szCs w:val="14"/>
                <w:b w:val="1"/>
                <w:bCs w:val="1"/>
                <w:color w:val="auto"/>
                <w:w w:val="86"/>
              </w:rPr>
              <w:t>As of December 31, 2009</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2"/>
              </w:rPr>
              <w:t>Level 2</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w w:val="84"/>
              </w:rPr>
              <w:t>Level 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Investments: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securities at amortized cost)</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87"/>
              </w:rPr>
              <w:t>70,556</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253,663</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324,219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center"/>
              <w:ind w:left="13"/>
              <w:spacing w:after="0"/>
              <w:rPr>
                <w:sz w:val="20"/>
                <w:szCs w:val="20"/>
                <w:color w:val="auto"/>
              </w:rPr>
            </w:pPr>
            <w:r>
              <w:rPr>
                <w:rFonts w:ascii="Arial" w:cs="Arial" w:eastAsia="Arial" w:hAnsi="Arial"/>
                <w:sz w:val="18"/>
                <w:szCs w:val="18"/>
                <w:color w:val="auto"/>
                <w:w w:val="87"/>
              </w:rPr>
              <w:t>65,932</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16,205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ind w:left="360"/>
              <w:spacing w:after="0"/>
              <w:rPr>
                <w:sz w:val="20"/>
                <w:szCs w:val="20"/>
                <w:color w:val="auto"/>
              </w:rPr>
            </w:pPr>
            <w:r>
              <w:rPr>
                <w:rFonts w:ascii="Arial" w:cs="Arial" w:eastAsia="Arial" w:hAnsi="Arial"/>
                <w:sz w:val="18"/>
                <w:szCs w:val="18"/>
                <w:color w:val="auto"/>
              </w:rPr>
              <w:t>305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880"/>
              <w:spacing w:after="0"/>
              <w:rPr>
                <w:sz w:val="20"/>
                <w:szCs w:val="20"/>
                <w:color w:val="auto"/>
              </w:rPr>
            </w:pPr>
            <w:r>
              <w:rPr>
                <w:rFonts w:ascii="Arial" w:cs="Arial" w:eastAsia="Arial" w:hAnsi="Arial"/>
                <w:sz w:val="18"/>
                <w:szCs w:val="18"/>
                <w:color w:val="auto"/>
              </w:rPr>
              <w:t>Interest in LAM alternative asset management funds: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GP interests owned</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50,080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300"/>
              <w:spacing w:after="0"/>
              <w:rPr>
                <w:sz w:val="20"/>
                <w:szCs w:val="20"/>
                <w:color w:val="auto"/>
              </w:rPr>
            </w:pPr>
            <w:r>
              <w:rPr>
                <w:rFonts w:ascii="Arial" w:cs="Arial" w:eastAsia="Arial" w:hAnsi="Arial"/>
                <w:sz w:val="18"/>
                <w:szCs w:val="18"/>
                <w:color w:val="auto"/>
              </w:rPr>
              <w:t>GP interests consolidated</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13,038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300"/>
              <w:spacing w:after="0"/>
              <w:rPr>
                <w:sz w:val="20"/>
                <w:szCs w:val="20"/>
                <w:color w:val="auto"/>
              </w:rPr>
            </w:pPr>
            <w:r>
              <w:rPr>
                <w:rFonts w:ascii="Arial" w:cs="Arial" w:eastAsia="Arial" w:hAnsi="Arial"/>
                <w:sz w:val="18"/>
                <w:szCs w:val="18"/>
                <w:color w:val="auto"/>
              </w:rPr>
              <w:t>Investments owned</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2,812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ind w:left="40"/>
              <w:spacing w:after="0"/>
              <w:rPr>
                <w:sz w:val="20"/>
                <w:szCs w:val="20"/>
                <w:color w:val="auto"/>
              </w:rPr>
            </w:pPr>
            <w:r>
              <w:rPr>
                <w:rFonts w:ascii="Arial" w:cs="Arial" w:eastAsia="Arial" w:hAnsi="Arial"/>
                <w:sz w:val="18"/>
                <w:szCs w:val="18"/>
                <w:color w:val="auto"/>
              </w:rPr>
              <w:t>100,171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102,983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Investments consolidated but not owned</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87"/>
              </w:rPr>
              <w:t>35,743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Derivatives</w:t>
            </w:r>
          </w:p>
        </w:tc>
        <w:tc>
          <w:tcPr>
            <w:tcW w:w="2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916</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136,493</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336,714</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136,219</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609,426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20" w:type="dxa"/>
            <w:vAlign w:val="bottom"/>
            <w:vMerge w:val="continue"/>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Derivatives</w:t>
            </w:r>
          </w:p>
        </w:tc>
        <w:tc>
          <w:tcPr>
            <w:tcW w:w="2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17,383</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17,383</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0" w:type="dxa"/>
            <w:vAlign w:val="bottom"/>
            <w:gridSpan w:val="13"/>
          </w:tcPr>
          <w:p>
            <w:pPr>
              <w:jc w:val="right"/>
              <w:ind w:right="60"/>
              <w:spacing w:after="0"/>
              <w:rPr>
                <w:sz w:val="20"/>
                <w:szCs w:val="20"/>
                <w:color w:val="auto"/>
              </w:rPr>
            </w:pPr>
            <w:r>
              <w:rPr>
                <w:rFonts w:ascii="Arial" w:cs="Arial" w:eastAsia="Arial" w:hAnsi="Arial"/>
                <w:sz w:val="14"/>
                <w:szCs w:val="14"/>
                <w:b w:val="1"/>
                <w:bCs w:val="1"/>
                <w:color w:val="auto"/>
                <w:w w:val="86"/>
              </w:rPr>
              <w:t>Fair Value Measurements on a Recurring Basis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8"/>
          </w:tcPr>
          <w:p>
            <w:pPr>
              <w:jc w:val="right"/>
              <w:ind w:right="520"/>
              <w:spacing w:after="0"/>
              <w:rPr>
                <w:sz w:val="20"/>
                <w:szCs w:val="20"/>
                <w:color w:val="auto"/>
              </w:rPr>
            </w:pPr>
            <w:r>
              <w:rPr>
                <w:rFonts w:ascii="Arial" w:cs="Arial" w:eastAsia="Arial" w:hAnsi="Arial"/>
                <w:sz w:val="14"/>
                <w:szCs w:val="14"/>
                <w:b w:val="1"/>
                <w:bCs w:val="1"/>
                <w:color w:val="auto"/>
                <w:w w:val="95"/>
              </w:rPr>
              <w:t>As of December 31, 2008</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w w:val="84"/>
              </w:rPr>
              <w:t>Level 1</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2"/>
              </w:rPr>
              <w:t>Level 2</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w w:val="88"/>
              </w:rPr>
              <w:t>Level 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Investments: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2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43,969</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$ 289,101</w:t>
            </w: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333,070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0"/>
              </w:rPr>
              <w:t>54,108</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14,544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2,453</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880"/>
              <w:spacing w:after="0"/>
              <w:rPr>
                <w:sz w:val="20"/>
                <w:szCs w:val="20"/>
                <w:color w:val="auto"/>
              </w:rPr>
            </w:pPr>
            <w:r>
              <w:rPr>
                <w:rFonts w:ascii="Arial" w:cs="Arial" w:eastAsia="Arial" w:hAnsi="Arial"/>
                <w:sz w:val="18"/>
                <w:szCs w:val="18"/>
                <w:color w:val="auto"/>
              </w:rPr>
              <w:t>Interest in LAM alternative asset management funds: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GP interests owned</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300"/>
              <w:spacing w:after="0"/>
              <w:rPr>
                <w:sz w:val="20"/>
                <w:szCs w:val="20"/>
                <w:color w:val="auto"/>
              </w:rPr>
            </w:pPr>
            <w:r>
              <w:rPr>
                <w:rFonts w:ascii="Arial" w:cs="Arial" w:eastAsia="Arial" w:hAnsi="Arial"/>
                <w:sz w:val="18"/>
                <w:szCs w:val="18"/>
                <w:color w:val="auto"/>
              </w:rPr>
              <w:t>GP interests consolidated</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center"/>
              <w:ind w:left="33"/>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20,866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 investments owned</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83,931</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Derivatives</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left="93"/>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ind w:left="94"/>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98,077</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$ 364,472</w:t>
            </w: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86,384</w:t>
            </w:r>
          </w:p>
        </w:tc>
        <w:tc>
          <w:tcPr>
            <w:tcW w:w="3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548,933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20" w:type="dxa"/>
            <w:vAlign w:val="bottom"/>
            <w:vMerge w:val="continue"/>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Derivatives</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left="93"/>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43,990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ind w:left="94"/>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2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43,990</w:t>
            </w: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080" w:type="dxa"/>
            <w:vAlign w:val="bottom"/>
            <w:vMerge w:val="restart"/>
          </w:tcPr>
          <w:p>
            <w:pPr>
              <w:jc w:val="right"/>
              <w:ind w:right="1312"/>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12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for the years ended December 31, 2009 and 2008: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2"/>
              </w:rPr>
              <w:t>Level 3 Assets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13"/>
          </w:tcPr>
          <w:p>
            <w:pPr>
              <w:jc w:val="center"/>
              <w:ind w:right="500"/>
              <w:spacing w:after="0"/>
              <w:rPr>
                <w:sz w:val="20"/>
                <w:szCs w:val="20"/>
                <w:color w:val="auto"/>
              </w:rPr>
            </w:pPr>
            <w:r>
              <w:rPr>
                <w:rFonts w:ascii="Arial" w:cs="Arial" w:eastAsia="Arial" w:hAnsi="Arial"/>
                <w:sz w:val="14"/>
                <w:szCs w:val="14"/>
                <w:b w:val="1"/>
                <w:bCs w:val="1"/>
                <w:color w:val="auto"/>
                <w:w w:val="87"/>
              </w:rPr>
              <w:t>For the Year Ended December 31, 2009</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3"/>
          </w:tcPr>
          <w:p>
            <w:pPr>
              <w:jc w:val="center"/>
              <w:ind w:right="580"/>
              <w:spacing w:after="0" w:line="129" w:lineRule="exact"/>
              <w:rPr>
                <w:sz w:val="20"/>
                <w:szCs w:val="20"/>
                <w:color w:val="auto"/>
              </w:rPr>
            </w:pPr>
            <w:r>
              <w:rPr>
                <w:rFonts w:ascii="Arial" w:cs="Arial" w:eastAsia="Arial" w:hAnsi="Arial"/>
                <w:sz w:val="14"/>
                <w:szCs w:val="14"/>
                <w:b w:val="1"/>
                <w:bCs w:val="1"/>
                <w:color w:val="auto"/>
                <w:w w:val="88"/>
              </w:rPr>
              <w:t>Net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Net Unrealized/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2"/>
              </w:rPr>
              <w:t>Purchases,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Realized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79"/>
              </w:rPr>
              <w:t>Issuances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Foreign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Currency</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Beginning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Included In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Settlements/</w:t>
            </w:r>
          </w:p>
        </w:tc>
        <w:tc>
          <w:tcPr>
            <w:tcW w:w="140" w:type="dxa"/>
            <w:vAlign w:val="bottom"/>
          </w:tcPr>
          <w:p>
            <w:pPr>
              <w:spacing w:after="0"/>
              <w:rPr>
                <w:sz w:val="12"/>
                <w:szCs w:val="12"/>
                <w:color w:val="auto"/>
              </w:rPr>
            </w:pPr>
          </w:p>
        </w:tc>
        <w:tc>
          <w:tcPr>
            <w:tcW w:w="7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5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Revenue-Other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3"/>
              </w:rPr>
              <w:t>Acquisitions</w:t>
            </w:r>
          </w:p>
        </w:tc>
        <w:tc>
          <w:tcPr>
            <w:tcW w:w="14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84"/>
              </w:rPr>
              <w:t>Adjustments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$ 2,453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320"/>
              <w:spacing w:after="0"/>
              <w:rPr>
                <w:sz w:val="20"/>
                <w:szCs w:val="20"/>
                <w:color w:val="auto"/>
              </w:rPr>
            </w:pPr>
            <w:r>
              <w:rPr>
                <w:rFonts w:ascii="Arial" w:cs="Arial" w:eastAsia="Arial" w:hAnsi="Arial"/>
                <w:sz w:val="18"/>
                <w:szCs w:val="18"/>
                <w:color w:val="auto"/>
                <w:w w:val="91"/>
              </w:rPr>
              <w:t>(2,051)</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880"/>
              <w:spacing w:after="0"/>
              <w:rPr>
                <w:sz w:val="20"/>
                <w:szCs w:val="20"/>
                <w:color w:val="auto"/>
              </w:rPr>
            </w:pPr>
            <w:r>
              <w:rPr>
                <w:rFonts w:ascii="Arial" w:cs="Arial" w:eastAsia="Arial" w:hAnsi="Arial"/>
                <w:sz w:val="18"/>
                <w:szCs w:val="18"/>
                <w:color w:val="auto"/>
              </w:rPr>
              <w:t>Investments owned</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83,931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2,769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w w:val="87"/>
              </w:rPr>
              <w:t>11,932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1,539</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100,171</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Investments consolidated but not owned</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31,919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35,743</w:t>
            </w:r>
          </w:p>
        </w:tc>
        <w:tc>
          <w:tcPr>
            <w:tcW w:w="0" w:type="dxa"/>
            <w:vAlign w:val="bottom"/>
          </w:tcPr>
          <w:p>
            <w:pPr>
              <w:spacing w:after="0"/>
              <w:rPr>
                <w:sz w:val="1"/>
                <w:szCs w:val="1"/>
                <w:color w:val="auto"/>
              </w:rPr>
            </w:pPr>
          </w:p>
        </w:tc>
      </w:tr>
      <w:tr>
        <w:trPr>
          <w:trHeight w:val="222"/>
        </w:trPr>
        <w:tc>
          <w:tcPr>
            <w:tcW w:w="5560" w:type="dxa"/>
            <w:vAlign w:val="bottom"/>
          </w:tcPr>
          <w:p>
            <w:pPr>
              <w:ind w:left="440"/>
              <w:spacing w:after="0"/>
              <w:rPr>
                <w:sz w:val="20"/>
                <w:szCs w:val="20"/>
                <w:color w:val="auto"/>
              </w:rPr>
            </w:pPr>
            <w:r>
              <w:rPr>
                <w:rFonts w:ascii="Arial" w:cs="Arial" w:eastAsia="Arial" w:hAnsi="Arial"/>
                <w:sz w:val="18"/>
                <w:szCs w:val="18"/>
                <w:color w:val="auto"/>
              </w:rPr>
              <w:t>Total Level 3 Assets</w:t>
            </w:r>
          </w:p>
        </w:tc>
        <w:tc>
          <w:tcPr>
            <w:tcW w:w="4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2"/>
              </w:rPr>
              <w:t>$ 86,384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6,496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w w:val="87"/>
              </w:rPr>
              <w:t>41,800</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1,539</w:t>
            </w:r>
          </w:p>
        </w:tc>
        <w:tc>
          <w:tcPr>
            <w:tcW w:w="10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136,219</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5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w w:val="88"/>
              </w:rPr>
              <w:t>Level 3 Assets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5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12"/>
          </w:tcPr>
          <w:p>
            <w:pPr>
              <w:ind w:left="260"/>
              <w:spacing w:after="0"/>
              <w:rPr>
                <w:sz w:val="20"/>
                <w:szCs w:val="20"/>
                <w:color w:val="auto"/>
              </w:rPr>
            </w:pPr>
            <w:r>
              <w:rPr>
                <w:rFonts w:ascii="Arial" w:cs="Arial" w:eastAsia="Arial" w:hAnsi="Arial"/>
                <w:sz w:val="14"/>
                <w:szCs w:val="14"/>
                <w:b w:val="1"/>
                <w:bCs w:val="1"/>
                <w:color w:val="auto"/>
                <w:w w:val="89"/>
              </w:rPr>
              <w:t>For the Year Ended December 31, 2008</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6"/>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Net Unrealized/</w:t>
            </w:r>
          </w:p>
        </w:tc>
        <w:tc>
          <w:tcPr>
            <w:tcW w:w="140" w:type="dxa"/>
            <w:vAlign w:val="bottom"/>
          </w:tcPr>
          <w:p>
            <w:pPr>
              <w:spacing w:after="0"/>
              <w:rPr>
                <w:sz w:val="12"/>
                <w:szCs w:val="12"/>
                <w:color w:val="auto"/>
              </w:rPr>
            </w:pPr>
          </w:p>
        </w:tc>
        <w:tc>
          <w:tcPr>
            <w:tcW w:w="1320" w:type="dxa"/>
            <w:vAlign w:val="bottom"/>
            <w:gridSpan w:val="6"/>
          </w:tcPr>
          <w:p>
            <w:pPr>
              <w:jc w:val="center"/>
              <w:ind w:right="580"/>
              <w:spacing w:after="0" w:line="149" w:lineRule="exact"/>
              <w:rPr>
                <w:sz w:val="20"/>
                <w:szCs w:val="20"/>
                <w:color w:val="auto"/>
              </w:rPr>
            </w:pPr>
            <w:r>
              <w:rPr>
                <w:rFonts w:ascii="Arial" w:cs="Arial" w:eastAsia="Arial" w:hAnsi="Arial"/>
                <w:sz w:val="14"/>
                <w:szCs w:val="14"/>
                <w:b w:val="1"/>
                <w:bCs w:val="1"/>
                <w:color w:val="auto"/>
                <w:w w:val="82"/>
              </w:rPr>
              <w:t>Purchases,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5"/>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Realized</w:t>
            </w:r>
          </w:p>
        </w:tc>
        <w:tc>
          <w:tcPr>
            <w:tcW w:w="140" w:type="dxa"/>
            <w:vAlign w:val="bottom"/>
          </w:tcPr>
          <w:p>
            <w:pPr>
              <w:spacing w:after="0"/>
              <w:rPr>
                <w:sz w:val="12"/>
                <w:szCs w:val="12"/>
                <w:color w:val="auto"/>
              </w:rPr>
            </w:pPr>
          </w:p>
        </w:tc>
        <w:tc>
          <w:tcPr>
            <w:tcW w:w="1320" w:type="dxa"/>
            <w:vAlign w:val="bottom"/>
            <w:gridSpan w:val="6"/>
          </w:tcPr>
          <w:p>
            <w:pPr>
              <w:jc w:val="center"/>
              <w:ind w:right="600"/>
              <w:spacing w:after="0" w:line="149" w:lineRule="exact"/>
              <w:rPr>
                <w:sz w:val="20"/>
                <w:szCs w:val="20"/>
                <w:color w:val="auto"/>
              </w:rPr>
            </w:pPr>
            <w:r>
              <w:rPr>
                <w:rFonts w:ascii="Arial" w:cs="Arial" w:eastAsia="Arial" w:hAnsi="Arial"/>
                <w:sz w:val="14"/>
                <w:szCs w:val="14"/>
                <w:b w:val="1"/>
                <w:bCs w:val="1"/>
                <w:color w:val="auto"/>
                <w:w w:val="82"/>
              </w:rPr>
              <w:t>Issuances</w:t>
            </w:r>
          </w:p>
        </w:tc>
        <w:tc>
          <w:tcPr>
            <w:tcW w:w="14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Foreign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6"/>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and</w:t>
            </w:r>
          </w:p>
        </w:tc>
        <w:tc>
          <w:tcPr>
            <w:tcW w:w="880" w:type="dxa"/>
            <w:vAlign w:val="bottom"/>
            <w:gridSpan w:val="4"/>
          </w:tcPr>
          <w:p>
            <w:pPr>
              <w:jc w:val="right"/>
              <w:ind w:right="220"/>
              <w:spacing w:after="0" w:line="149" w:lineRule="exact"/>
              <w:rPr>
                <w:sz w:val="20"/>
                <w:szCs w:val="20"/>
                <w:color w:val="auto"/>
              </w:rPr>
            </w:pPr>
            <w:r>
              <w:rPr>
                <w:rFonts w:ascii="Arial" w:cs="Arial" w:eastAsia="Arial" w:hAnsi="Arial"/>
                <w:sz w:val="14"/>
                <w:szCs w:val="14"/>
                <w:b w:val="1"/>
                <w:bCs w:val="1"/>
                <w:color w:val="auto"/>
              </w:rPr>
              <w:t>Currency</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06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Beginning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5"/>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Included In</w:t>
            </w:r>
          </w:p>
        </w:tc>
        <w:tc>
          <w:tcPr>
            <w:tcW w:w="140" w:type="dxa"/>
            <w:vAlign w:val="bottom"/>
          </w:tcPr>
          <w:p>
            <w:pPr>
              <w:spacing w:after="0"/>
              <w:rPr>
                <w:sz w:val="12"/>
                <w:szCs w:val="12"/>
                <w:color w:val="auto"/>
              </w:rPr>
            </w:pPr>
          </w:p>
        </w:tc>
        <w:tc>
          <w:tcPr>
            <w:tcW w:w="1320" w:type="dxa"/>
            <w:vAlign w:val="bottom"/>
            <w:gridSpan w:val="6"/>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Settlements/</w:t>
            </w:r>
          </w:p>
        </w:tc>
        <w:tc>
          <w:tcPr>
            <w:tcW w:w="880" w:type="dxa"/>
            <w:vAlign w:val="bottom"/>
            <w:gridSpan w:val="4"/>
          </w:tcPr>
          <w:p>
            <w:pPr>
              <w:jc w:val="right"/>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5560" w:type="dxa"/>
            <w:vAlign w:val="bottom"/>
          </w:tcPr>
          <w:p>
            <w:pPr>
              <w:spacing w:after="0"/>
              <w:rPr>
                <w:sz w:val="14"/>
                <w:szCs w:val="14"/>
                <w:color w:val="auto"/>
              </w:rPr>
            </w:pPr>
          </w:p>
        </w:tc>
        <w:tc>
          <w:tcPr>
            <w:tcW w:w="10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5"/>
              </w:rPr>
              <w:t>Balance</w:t>
            </w:r>
          </w:p>
        </w:tc>
        <w:tc>
          <w:tcPr>
            <w:tcW w:w="40" w:type="dxa"/>
            <w:vAlign w:val="bottom"/>
          </w:tcPr>
          <w:p>
            <w:pPr>
              <w:spacing w:after="0"/>
              <w:rPr>
                <w:sz w:val="14"/>
                <w:szCs w:val="14"/>
                <w:color w:val="auto"/>
              </w:rPr>
            </w:pPr>
          </w:p>
        </w:tc>
        <w:tc>
          <w:tcPr>
            <w:tcW w:w="136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87"/>
              </w:rPr>
              <w:t>Revenue-Other</w:t>
            </w:r>
          </w:p>
        </w:tc>
        <w:tc>
          <w:tcPr>
            <w:tcW w:w="140" w:type="dxa"/>
            <w:vAlign w:val="bottom"/>
          </w:tcPr>
          <w:p>
            <w:pPr>
              <w:spacing w:after="0"/>
              <w:rPr>
                <w:sz w:val="14"/>
                <w:szCs w:val="14"/>
                <w:color w:val="auto"/>
              </w:rPr>
            </w:pPr>
          </w:p>
        </w:tc>
        <w:tc>
          <w:tcPr>
            <w:tcW w:w="1320" w:type="dxa"/>
            <w:vAlign w:val="bottom"/>
            <w:gridSpan w:val="6"/>
          </w:tcPr>
          <w:p>
            <w:pPr>
              <w:jc w:val="center"/>
              <w:ind w:right="600"/>
              <w:spacing w:after="0"/>
              <w:rPr>
                <w:sz w:val="20"/>
                <w:szCs w:val="20"/>
                <w:color w:val="auto"/>
              </w:rPr>
            </w:pPr>
            <w:r>
              <w:rPr>
                <w:rFonts w:ascii="Arial" w:cs="Arial" w:eastAsia="Arial" w:hAnsi="Arial"/>
                <w:sz w:val="14"/>
                <w:szCs w:val="14"/>
                <w:b w:val="1"/>
                <w:bCs w:val="1"/>
                <w:color w:val="auto"/>
                <w:w w:val="85"/>
              </w:rPr>
              <w:t>Acquisitions</w:t>
            </w: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w w:val="99"/>
              </w:rPr>
              <w:t>Adjustments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440"/>
              <w:spacing w:after="0"/>
              <w:rPr>
                <w:sz w:val="20"/>
                <w:szCs w:val="20"/>
                <w:color w:val="auto"/>
              </w:rPr>
            </w:pPr>
            <w:r>
              <w:rPr>
                <w:rFonts w:ascii="Arial" w:cs="Arial" w:eastAsia="Arial" w:hAnsi="Arial"/>
                <w:sz w:val="18"/>
                <w:szCs w:val="18"/>
                <w:color w:val="auto"/>
              </w:rPr>
              <w:t>Equities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6"/>
              </w:rPr>
              <w:t>$ 4,469</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rPr>
              <w:t>(1,944)</w:t>
            </w: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(284)</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investments owned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74,051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12"/>
              <w:spacing w:after="0"/>
              <w:rPr>
                <w:sz w:val="20"/>
                <w:szCs w:val="20"/>
                <w:color w:val="auto"/>
              </w:rPr>
            </w:pPr>
            <w:r>
              <w:rPr>
                <w:rFonts w:ascii="Arial" w:cs="Arial" w:eastAsia="Arial" w:hAnsi="Arial"/>
                <w:sz w:val="18"/>
                <w:szCs w:val="18"/>
                <w:color w:val="auto"/>
              </w:rPr>
              <w:t>(12,391)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25,733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(3,462)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83,931</w:t>
            </w:r>
          </w:p>
        </w:tc>
        <w:tc>
          <w:tcPr>
            <w:tcW w:w="0" w:type="dxa"/>
            <w:vAlign w:val="bottom"/>
          </w:tcPr>
          <w:p>
            <w:pPr>
              <w:spacing w:after="0"/>
              <w:rPr>
                <w:sz w:val="1"/>
                <w:szCs w:val="1"/>
                <w:color w:val="auto"/>
              </w:rPr>
            </w:pPr>
          </w:p>
        </w:tc>
      </w:tr>
      <w:tr>
        <w:trPr>
          <w:trHeight w:val="20"/>
        </w:trPr>
        <w:tc>
          <w:tcPr>
            <w:tcW w:w="556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6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60" w:type="dxa"/>
            <w:vAlign w:val="bottom"/>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2"/>
              </w:rPr>
              <w:t>$ 78,520</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4"/>
          </w:tcPr>
          <w:p>
            <w:pPr>
              <w:jc w:val="right"/>
              <w:ind w:right="212"/>
              <w:spacing w:after="0"/>
              <w:rPr>
                <w:sz w:val="20"/>
                <w:szCs w:val="20"/>
                <w:color w:val="auto"/>
              </w:rPr>
            </w:pPr>
            <w:r>
              <w:rPr>
                <w:rFonts w:ascii="Arial" w:cs="Arial" w:eastAsia="Arial" w:hAnsi="Arial"/>
                <w:sz w:val="18"/>
                <w:szCs w:val="18"/>
                <w:color w:val="auto"/>
              </w:rPr>
              <w:t>(12,179)</w:t>
            </w:r>
          </w:p>
        </w:tc>
        <w:tc>
          <w:tcPr>
            <w:tcW w:w="1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tcPr>
          <w:p>
            <w:pPr>
              <w:ind w:left="120"/>
              <w:spacing w:after="0"/>
              <w:rPr>
                <w:sz w:val="20"/>
                <w:szCs w:val="20"/>
                <w:color w:val="auto"/>
              </w:rPr>
            </w:pPr>
            <w:r>
              <w:rPr>
                <w:rFonts w:ascii="Arial" w:cs="Arial" w:eastAsia="Arial" w:hAnsi="Arial"/>
                <w:sz w:val="18"/>
                <w:szCs w:val="18"/>
                <w:color w:val="auto"/>
              </w:rPr>
              <w:t>23,789</w:t>
            </w:r>
          </w:p>
        </w:tc>
        <w:tc>
          <w:tcPr>
            <w:tcW w:w="3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(3,746)</w:t>
            </w:r>
          </w:p>
        </w:tc>
        <w:tc>
          <w:tcPr>
            <w:tcW w:w="10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86,384</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There were net realized gains (losses) of $(682) and $1,810 included in income during the years ended December 31, 2009 and 2008, respectively, with respect to Level 3 assets.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table below represents the fair values of the Company’s derivative assets and liabilities reported within “other assets” and “other liabilities” on the accompanying consolidated statements of financial condition as of December 31, 2009 and 2008:</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ind w:left="20"/>
              <w:spacing w:after="0"/>
              <w:rPr>
                <w:sz w:val="20"/>
                <w:szCs w:val="20"/>
                <w:color w:val="auto"/>
              </w:rPr>
            </w:pPr>
            <w:r>
              <w:rPr>
                <w:rFonts w:ascii="Arial" w:cs="Arial" w:eastAsia="Arial" w:hAnsi="Arial"/>
                <w:sz w:val="14"/>
                <w:szCs w:val="14"/>
                <w:b w:val="1"/>
                <w:bCs w:val="1"/>
                <w:color w:val="auto"/>
                <w:w w:val="99"/>
              </w:rPr>
              <w:t>Derivatives Designated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6"/>
              </w:rPr>
              <w:t>Derivatives Not Designated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5"/>
              </w:rPr>
              <w:t>as Hedging Instruments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6"/>
              </w:rPr>
              <w:t>as Hedging Instruments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gridSpan w:val="4"/>
          </w:tcPr>
          <w:p>
            <w:pPr>
              <w:ind w:left="300"/>
              <w:spacing w:after="0" w:line="142"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60" w:type="dxa"/>
            <w:vAlign w:val="bottom"/>
            <w:tcBorders>
              <w:top w:val="single" w:sz="8" w:color="auto"/>
              <w:bottom w:val="single" w:sz="8" w:color="auto"/>
            </w:tcBorders>
            <w:gridSpan w:val="5"/>
          </w:tcPr>
          <w:p>
            <w:pPr>
              <w:jc w:val="center"/>
              <w:ind w:right="14"/>
              <w:spacing w:after="0" w:line="142"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gridSpan w:val="5"/>
          </w:tcPr>
          <w:p>
            <w:pPr>
              <w:jc w:val="right"/>
              <w:ind w:right="214"/>
              <w:spacing w:after="0" w:line="142"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4,377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836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tcPr>
          <w:p>
            <w:pPr>
              <w:ind w:left="440"/>
              <w:spacing w:after="0"/>
              <w:rPr>
                <w:sz w:val="20"/>
                <w:szCs w:val="20"/>
                <w:color w:val="auto"/>
              </w:rPr>
            </w:pPr>
            <w:r>
              <w:rPr>
                <w:rFonts w:ascii="Arial" w:cs="Arial" w:eastAsia="Arial" w:hAnsi="Arial"/>
                <w:sz w:val="18"/>
                <w:szCs w:val="18"/>
                <w:color w:val="auto"/>
              </w:rPr>
              <w:t>Other derivatives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26,593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440"/>
              <w:spacing w:after="0"/>
              <w:rPr>
                <w:sz w:val="20"/>
                <w:szCs w:val="20"/>
                <w:color w:val="auto"/>
              </w:rPr>
            </w:pPr>
            <w:r>
              <w:rPr>
                <w:rFonts w:ascii="Arial" w:cs="Arial" w:eastAsia="Arial" w:hAnsi="Arial"/>
                <w:sz w:val="18"/>
                <w:szCs w:val="18"/>
                <w:color w:val="auto"/>
              </w:rPr>
              <w:t>Interest rate swaps</w:t>
            </w:r>
          </w:p>
        </w:tc>
        <w:tc>
          <w:tcPr>
            <w:tcW w:w="10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w w:val="83"/>
              </w:rPr>
              <w:t>14,147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12,980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14,203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swaps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14,147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12,980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3,236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31,010</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17,383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43,990</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effect of gains (losses) with respect to derivatives not designated as hedging instruments on the accompanying consolidated statement of operations for the year ended December 31, 2009 (predominantly reflected in “revenue-other”), by type of derivative, is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Year Ended</w:t>
            </w:r>
          </w:p>
        </w:tc>
      </w:tr>
      <w:tr>
        <w:trPr>
          <w:trHeight w:val="161"/>
        </w:trPr>
        <w:tc>
          <w:tcPr>
            <w:tcW w:w="10220" w:type="dxa"/>
            <w:vAlign w:val="bottom"/>
          </w:tcPr>
          <w:p>
            <w:pPr>
              <w:spacing w:after="0"/>
              <w:rPr>
                <w:sz w:val="14"/>
                <w:szCs w:val="1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December 31, 2009</w:t>
            </w:r>
          </w:p>
        </w:tc>
        <w:tc>
          <w:tcPr>
            <w:tcW w:w="100" w:type="dxa"/>
            <w:vAlign w:val="bottom"/>
          </w:tcPr>
          <w:p>
            <w:pPr>
              <w:spacing w:after="0"/>
              <w:rPr>
                <w:sz w:val="14"/>
                <w:szCs w:val="14"/>
                <w:color w:val="auto"/>
              </w:rPr>
            </w:pPr>
          </w:p>
        </w:tc>
      </w:tr>
      <w:tr>
        <w:trPr>
          <w:trHeight w:val="210"/>
        </w:trPr>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Forward foreign currency exchange rate contracts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3,311</w:t>
            </w:r>
          </w:p>
        </w:tc>
      </w:tr>
      <w:tr>
        <w:trPr>
          <w:trHeight w:val="216"/>
        </w:trPr>
        <w:tc>
          <w:tcPr>
            <w:tcW w:w="10220" w:type="dxa"/>
            <w:vAlign w:val="bottom"/>
          </w:tcPr>
          <w:p>
            <w:pPr>
              <w:spacing w:after="0"/>
              <w:rPr>
                <w:sz w:val="20"/>
                <w:szCs w:val="20"/>
                <w:color w:val="auto"/>
              </w:rPr>
            </w:pPr>
            <w:r>
              <w:rPr>
                <w:rFonts w:ascii="Arial" w:cs="Arial" w:eastAsia="Arial" w:hAnsi="Arial"/>
                <w:sz w:val="18"/>
                <w:szCs w:val="18"/>
                <w:color w:val="auto"/>
              </w:rPr>
              <w:t>Interest rate swaps</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r>
      <w:tr>
        <w:trPr>
          <w:trHeight w:val="216"/>
        </w:trPr>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Equity swaps and other derivatives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(13,810)</w:t>
            </w:r>
          </w:p>
        </w:tc>
      </w:tr>
      <w:tr>
        <w:trPr>
          <w:trHeight w:val="20"/>
        </w:trPr>
        <w:tc>
          <w:tcPr>
            <w:tcW w:w="10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102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(9,874)</w:t>
            </w:r>
          </w:p>
        </w:tc>
      </w:tr>
      <w:tr>
        <w:trPr>
          <w:trHeight w:val="20"/>
        </w:trPr>
        <w:tc>
          <w:tcPr>
            <w:tcW w:w="10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With respect to derivatives designated as hedging instruments, such derivatives relate to interest rate swaps that hedge “available-for-sale” securities and are being accounted for as fair value hedges. For the year ended December 31, 2009, net pre-tax losses of $1,263 pertaining to such interest rate swaps were recognized, which was substantially offset by an equivalent amount on the hedged risk portion of such “available-for-sale” securities.</w:t>
      </w:r>
    </w:p>
    <w:p>
      <w:pPr>
        <w:spacing w:after="0" w:line="93"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LAM MERGER TRANSACTION</w:t>
      </w:r>
    </w:p>
    <w:p>
      <w:pPr>
        <w:spacing w:after="0" w:line="77" w:lineRule="exact"/>
        <w:rPr>
          <w:sz w:val="20"/>
          <w:szCs w:val="20"/>
          <w:color w:val="auto"/>
        </w:rPr>
      </w:pPr>
    </w:p>
    <w:p>
      <w:pPr>
        <w:jc w:val="both"/>
        <w:ind w:right="180" w:firstLine="456"/>
        <w:spacing w:after="0" w:line="284" w:lineRule="auto"/>
        <w:rPr>
          <w:sz w:val="20"/>
          <w:szCs w:val="20"/>
          <w:color w:val="auto"/>
        </w:rPr>
      </w:pPr>
      <w:r>
        <w:rPr>
          <w:rFonts w:ascii="Arial" w:cs="Arial" w:eastAsia="Arial" w:hAnsi="Arial"/>
          <w:sz w:val="16"/>
          <w:szCs w:val="16"/>
          <w:color w:val="auto"/>
        </w:rPr>
        <w:t>On September 25, 2008, the Company, LAM and LAZ Sub I, LLC, a then newly-formed subsidiary of LFNY, completed the merger of LAZ Sub I, LLC with and into LAM (the “LAM Merger”). Prior to the LAM Merger, the common equity interests of LAM were held by LFNY and certain other equity interests of LAM, representing contingent payments should a fundamental transaction occur, as described below, were held by present and former employees of LAM.</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Following the LAM Merger, all equity interests of LAM are owned directly or indirectly by LFNY. The equity interests of LAM that were held, prior to the LAM Merger, by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then present and former employees of LAM and its subsidiaries (and certain related phantom rights issued as incentive compensation) entitled the holders to payments totaling approximately 23% of the net proceeds or imputed valuation of LAM (after deductions for payments to creditors of LAM and the return of capital in LAM) in connection with certain specified fundamental transactions concerning LAM or Lazard, including a sale of LAM or Lazard, certain non-ordinary course asset sales and major acquisitions. As a consequence of the LAM Merger, during the three month period ended September 30, 2008, the Company recorded a reduction to its after-tax income of $192,123, consisting of compensation and benefits expense of $197,550 related to the equity interests of LAM held by present and former employees of LAM and $2,000 of non-compensation related transaction costs (together aggregating to a reduction of operating income of $199,550), with these charges partially offset by an associated income tax credit of $7,427.</w:t>
      </w:r>
    </w:p>
    <w:p>
      <w:pPr>
        <w:spacing w:after="0" w:line="105"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aggregate non-contingent consideration relating to the equity interests of LAM (and the phantom rights referred to above) held by present and former employees of LAM and its subsidiaries (the “Transaction Consideration”) consists of (i) cash payments made from the closing of the LAM Merger through January 2, 2009 of approximately $60,100, (ii) a cash payment on October 31, 2011 of approximately $90,300 and (iii) an issuance on October 31, 2011 of 2,201,457 shares of Lazard Ltd’s Class A common stock (plus additional shares of Class A common stock in an amount determined by reference to the cash dividends paid on Class A common stock since the closing of the LAM Merger), subject, in the case of clause (ii) and (iii) and with respect to certain present employees of LAM and its subsidiaries, to delayed payment/issuance until the eighth anniversary of the closing of the LAM Merger if the applicable employee is no longer employed by Lazard or its affiliates on October 31, 2011, subject to certain exceptions. The merger agreement also generally provides that if there is a change in control of the Company or a sale of LAM, any and all of the Transaction Consideration will be payable as of the date of such change in control. The related liabilities for the present value of the unpaid cash consideration have been recorded in “accrued compensation and benefits” and “other liabilities”, and amounted to $14,252 and $65,308, respectively, as of December 31, 2009, and $16,013 and $60,324, respectively, as of December 31, 2008.</w:t>
      </w:r>
    </w:p>
    <w:p>
      <w:pPr>
        <w:spacing w:after="0" w:line="10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connection with the LAM Merger, Lazard Group recorded a related party payable to subsidiaries of Lazard Ltd of $64,305 and $64,512 at December 31, 2009 and 2008, respectively, which corresponds to the increase in stockholders’ equity recorded by Lazard Ltd for such merger (see Note 21 of Notes to Consolidated Financial Statements).</w:t>
      </w:r>
    </w:p>
    <w:p>
      <w:pPr>
        <w:spacing w:after="0" w:line="127"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ACQUISITIONS AND JOINT VENTURE INVESTMENT</w:t>
      </w:r>
    </w:p>
    <w:p>
      <w:pPr>
        <w:spacing w:after="0" w:line="7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On July 15, 2009, the Company established a private equity business with Edgewater, a private equity firm based in Chicago, Illinois, through the Edgewater Acquisition. Following such acquisition, Edgewater’s current leadership team retained a substantial economic interest in such entities. Edgewater primarily manages two middle market funds, Edgewater Growth Capital Partners, L.P. and Edgewater Growth Capital Partners II, L.P. (the “underlying funds”), with an aggregate of approximately $700,000 of capital raised. The acquisition was structured as a purchase by Lazard Group of interests in a holding company that in turn owns interests in the general partner and management company entities of the current Edgewater private equity funds.</w:t>
      </w:r>
    </w:p>
    <w:p>
      <w:pPr>
        <w:spacing w:after="0" w:line="10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subject to earnout criteria and payable over time (the “Earnout Shares”). The Initial Shares are subject to transfer restrictions and forfeiture provisions that lapse only upon the achievement of certain performance thresholds for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next Edgewater fund that must be met by July 15, 2011. The Earnout Shares will be issued only if certain performance thresholds for the next two Edgewater funds are met.</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Edgewater Acquisition was accounted for under the acquisition method of accounting, whereby the results of the acquired business are included in our consolidated financial results from July 15, 2009, the effective date of the acquisition. As a result of the acquisition, we recorded net tangible assets, identifiable intangible assets and goodwill of approximately $53,635 (consisting primarily of Edgewater’s investments in their underlying funds and cash), $56,200 and $61,630, respectively, which include amounts for Edgewater’s noncontrolling interests held (whose economic interests approximate 50%) aggregating approximately $109,841. Goodwill pertaining to this acquisition is deductible for income tax purposes. See Note 12 of Notes to Consolidated Financial Statements for additional information relating to goodwill and other intangible assets. The operating results relating to Edgewater, which have not been material, are included in the Company’s Asset Management segment.</w:t>
      </w:r>
    </w:p>
    <w:p>
      <w:pPr>
        <w:spacing w:after="0" w:line="105"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On August 13, 2007, Lazard Group acquired all of the outstanding ownership interests of Goldsmith, Agio, Helms &amp; Lynner, LLC (“GAHL”), a Minneapolis-based investment bank specializing in financial advisory services to mid-sized private companies. On July 31, 2007, Lazard Ltd acquired all of the outstanding shares of Carnegie, Wylie &amp; Company (Holdings) PTY LTD (“CWC”), an Australia-based financial advisory firm, and concurrently sold such investment to Lazard Group. These purchases were effected through an exchange of a combination of cash, Class A common stock, and by Lazard Ltd issuing shares of non-participating convertible Series A and Series B preferred stock (the “Series A preferred stock” and “Series B preferred stock”, respectively, which are or were each convertible into Class A common stock). The total number of Class A common shares to be issued in connection with the acquisitions will depend, in part, upon the future performance of each of GAHL and CWC.</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aggregate non-contingent consideration relating to the GAHL and the CWC acquisitions (before transaction costs) consisted of cash and Lazard Ltd stock and aggregated to approximately $227,100 and $216,200 through December 31, 2009 and 2008, respectively. At December 31, 2009 and 2008, 662,015 and 993,024 shares of Class A common stock, respectively, were issuable on a non-contingent basis. Additionally, at both December 31, 2009 and 2008, 7,293 shares of Series A preferred stock were convertible into Class A common shares on a non-contingent basis, with the number of Class A common shares dependent, in part, upon future prices of the Class A common stock. At both December 31, 2009 and 2008, 948,631 shares of Class A common stock were contingently issuable and, at December 31, 2009 and 2008, 19,590 and 24,452 shares of Series A preferred stock, respectively, were contingently convertible into shares of Class A common stock, dependent upon the future performance of GAHL and CWC. The Class A common stock described above related to the GAHL and CWC acquisitions is issuable over multi-year periods.</w:t>
      </w:r>
    </w:p>
    <w:p>
      <w:pPr>
        <w:spacing w:after="0" w:line="10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connection with Lazard Group’s acquisitions of GAHL and Edgewater’s management vehicles, as well as Lazard Ltd’s acquisition of CWC and subsequent contribution of CWC to Lazard Group, Lazard Group recorded related party payables of $39,820 and $43,634 at December 31, 2009 and 2008, respectively, to subsidiaries of Lazard Ltd. When combined with the additional members’ equity recorded by Lazard Group of $50,800 and $18,416 at December 31, 2009 and 2008, respectively, these increases correspond to the increases in stockholders’ equity recorded by Lazard Ltd for such acquisitions (see Note 21 of Notes to Consolidated Financial Statements).</w:t>
      </w:r>
    </w:p>
    <w:p>
      <w:pPr>
        <w:spacing w:after="0" w:line="129"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On January 31, 2008, Lazard Group acquired a 50% interest in MBA. The Company accounts for the investment in MBA using the equity method of accounting.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LAZARD ALTERNATIVE INVESTMENTS</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May 10, 2005, Lazard Group and LFCM Holdings LLC (“LFCM Holdings”) entered into the business alliance agreement (the “business alliance agreement”) that, among other things, granted Lazard Group the option to acquire the North American and European fund management activities of Lazard Alternative Investments Holdings LLC (“LAI”), the subsidiary of LFCM Holdings that owns and operates LFCM Holdings’ alternative investment (including private equity) activities, for an aggregate purchase price of $8,000 and $2,000, respectively. On December 15, 2009, Lazard Group exercised its option to acquire the European fund management activities of LAI for a purchase price of $2,000. The remaining option to purchase the North American fund management activities is currently exercisable at any time prior to May 10, 2014, for a purchase price of $2,500. The reduced option price for the North American option reflects (i) a reduction of $1,500 due to the payment of a like amount in February 2008 to LFCM Holdings in connection with the initial public offering of Sapphire whereby LFCM Holdings agreed not to assert certain claims that it may believe that it had under the business alliance agreement and (ii) a reduction of $4,000 due to the payment of a like amount in February 2009 to LFCM Holdings in connection with the spin-off of the management company of CP II and the amendments to the business alliance agreement described below. LAI’s fund management activities consist of the fund management and general partner entities, together with Lazard Group’s direct investments in related funds that were transferred to LFCM Holdings pursuant to or in anticipation of the May 10, 2005 separation (the “separation”) from the Company of its former Capital Markets and Other business segment.</w:t>
      </w:r>
    </w:p>
    <w:p>
      <w:pPr>
        <w:spacing w:after="0" w:line="11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business alliance agreement provides Lazard Group with certain governance rights with respect to LAI and provides for support by LFCM Holdings of the business of LAI. With respect to historical investments and funds transferred to LFCM Holdings as part of the separation, profits realized prior to the exercise of the option are for the account of LFCM Holdings, whereas profits realized after the exercise of the option are for the account of Lazard Group. The master separation agreement, dated as of May 10, 2005, by and among Lazard Ltd, Lazard Group, LAZ-MD Holdings and LFCM Holdings (the “master separation agreement”) and the business alliance agreement provide for Lazard Group (i) to invest capital in future funds to be managed by LFCM Holdings’ subsidiaries and (ii) to receive incentive distributions from such funds, as well as profits related to such investments, if any, irrespective of whether it exercises its purchase option.</w:t>
      </w:r>
    </w:p>
    <w:p>
      <w:pPr>
        <w:spacing w:after="0" w:line="13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February 2005, Lazard Group formed CP II, with a maximum of $1,000,000 of institutional capital commitments and a $100,000 maximum capital commitment from Lazard Group, the principal portion of which may require funding at any time through 2010, except for potential follow-on investments and/or CP II expenses (see Note 15 of Notes to Consolidated Financial Statements). As of December 31, 2009, Lazard Group contributed $43,079 of its capital commitment, which is recorded as a private equity investment within “investments - other” on the consolidated statement of financial condition. Pursuant to the master separation and business alliance agreements, CP II was managed by a subsidiary of LFCM Holdings (“CP II MgmtCo”), and Lazard Group retained a capital commitment to CP II and is entitled to receive the carried interest distributions made by CP II (other than the carried interest distributions made to investment professionals who manage the fund).</w:t>
      </w:r>
    </w:p>
    <w:p>
      <w:pPr>
        <w:spacing w:after="0" w:line="105"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February 2009, pursuant to agreements entered into by the Company with a subsidiary of LAI (“LAI North America”), LFCM Holdings and the investment professionals who manage CP II, equity ownership of CP II MgmtCo was transferred from LAI North America to the investment professionals who manage CP II (the “CP II MgmtCo Spin-Off”). Concurrently with the CP II MgmtCo Spin-Off, CP II MgmtCo became a standalone entity and Lazard Group’s capital commitment to CP II was reduced from $100,000 to $50,000 (and CP II’s institutional capital commitments were reduced from $1,000,000 to $500,000). In addition, in connection with a $4,000 cash payment from Lazard Group to LFCM Holdings, the business alliance agreement was amended to remove any restriction on the Company engaging in private equity businesses in North America other than certain investments in real estate and technology and information services. Such amendment reduced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the then purchase price relating to our option to acquire the fund management activities of LAI in North America from $6,500 to $2,500. As part of the CP II MgmtCo Spin-Off, we retained our entitlement to receive a slightly reduced portion of the carried interest distributions made by CP II.</w:t>
      </w:r>
    </w:p>
    <w:p>
      <w:pPr>
        <w:spacing w:after="0" w:line="7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See Note 15 of Notes to Consolidated Financial Statements for additional information relating to LFCM Holdings, and with respect to commitments to CP II and to private equity funds managed by LAI.</w:t>
      </w:r>
    </w:p>
    <w:p>
      <w:pPr>
        <w:spacing w:after="0" w:line="118" w:lineRule="exact"/>
        <w:rPr>
          <w:sz w:val="20"/>
          <w:szCs w:val="20"/>
          <w:color w:val="auto"/>
        </w:rPr>
      </w:pPr>
    </w:p>
    <w:p>
      <w:pPr>
        <w:ind w:left="400" w:hanging="392"/>
        <w:spacing w:after="0"/>
        <w:tabs>
          <w:tab w:leader="none" w:pos="400" w:val="left"/>
        </w:tabs>
        <w:numPr>
          <w:ilvl w:val="0"/>
          <w:numId w:val="5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PROPERTY-NET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2009 and 2008 property-net consists of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Estimated</w:t>
            </w:r>
          </w:p>
        </w:tc>
        <w:tc>
          <w:tcPr>
            <w:tcW w:w="1480" w:type="dxa"/>
            <w:vAlign w:val="bottom"/>
            <w:gridSpan w:val="5"/>
            <w:vMerge w:val="restart"/>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100" w:type="dxa"/>
            <w:vAlign w:val="bottom"/>
          </w:tcPr>
          <w:p>
            <w:pPr>
              <w:spacing w:after="0"/>
              <w:rPr>
                <w:sz w:val="6"/>
                <w:szCs w:val="6"/>
                <w:color w:val="auto"/>
              </w:rPr>
            </w:pPr>
          </w:p>
        </w:tc>
        <w:tc>
          <w:tcPr>
            <w:tcW w:w="1260" w:type="dxa"/>
            <w:vAlign w:val="bottom"/>
            <w:gridSpan w:val="2"/>
            <w:vMerge w:val="restart"/>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Depreciable</w:t>
            </w:r>
          </w:p>
        </w:tc>
        <w:tc>
          <w:tcPr>
            <w:tcW w:w="1480" w:type="dxa"/>
            <w:vAlign w:val="bottom"/>
            <w:tcBorders>
              <w:bottom w:val="single" w:sz="8" w:color="auto"/>
            </w:tcBorders>
            <w:gridSpan w:val="5"/>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Life in Years</w:t>
            </w:r>
          </w:p>
        </w:tc>
        <w:tc>
          <w:tcPr>
            <w:tcW w:w="720" w:type="dxa"/>
            <w:vAlign w:val="bottom"/>
          </w:tcPr>
          <w:p>
            <w:pPr>
              <w:jc w:val="right"/>
              <w:ind w:right="136"/>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$ 181,679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$ 175,426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5-20</w:t>
            </w:r>
          </w:p>
        </w:tc>
        <w:tc>
          <w:tcPr>
            <w:tcW w:w="720" w:type="dxa"/>
            <w:vAlign w:val="bottom"/>
          </w:tcPr>
          <w:p>
            <w:pPr>
              <w:jc w:val="right"/>
              <w:spacing w:after="0"/>
              <w:rPr>
                <w:sz w:val="20"/>
                <w:szCs w:val="20"/>
                <w:color w:val="auto"/>
              </w:rPr>
            </w:pPr>
            <w:r>
              <w:rPr>
                <w:rFonts w:ascii="Arial" w:cs="Arial" w:eastAsia="Arial" w:hAnsi="Arial"/>
                <w:sz w:val="18"/>
                <w:szCs w:val="18"/>
                <w:color w:val="auto"/>
              </w:rPr>
              <w:t>157,335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w w:val="89"/>
              </w:rPr>
              <w:t>149,043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60,223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10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406,516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w w:val="89"/>
              </w:rPr>
              <w:t>384,692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Less - Accumulated depreciation and amortization</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(239,603)</w:t>
            </w:r>
          </w:p>
        </w:tc>
        <w:tc>
          <w:tcPr>
            <w:tcW w:w="13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(213,249)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vMerge w:val="restart"/>
          </w:tcPr>
          <w:p>
            <w:pPr>
              <w:spacing w:after="0"/>
              <w:rPr>
                <w:sz w:val="20"/>
                <w:szCs w:val="20"/>
                <w:color w:val="auto"/>
              </w:rPr>
            </w:pPr>
            <w:r>
              <w:rPr>
                <w:rFonts w:ascii="Arial" w:cs="Arial" w:eastAsia="Arial" w:hAnsi="Arial"/>
                <w:sz w:val="18"/>
                <w:szCs w:val="18"/>
                <w:color w:val="auto"/>
              </w:rPr>
              <w:t>Property-net</w:t>
            </w: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10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$ 166,913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6"/>
          </w:tcPr>
          <w:p>
            <w:pPr>
              <w:jc w:val="right"/>
              <w:ind w:right="100"/>
              <w:spacing w:after="0"/>
              <w:rPr>
                <w:sz w:val="20"/>
                <w:szCs w:val="20"/>
                <w:color w:val="auto"/>
              </w:rPr>
            </w:pPr>
            <w:r>
              <w:rPr>
                <w:rFonts w:ascii="Arial" w:cs="Arial" w:eastAsia="Arial" w:hAnsi="Arial"/>
                <w:sz w:val="18"/>
                <w:szCs w:val="18"/>
                <w:color w:val="auto"/>
              </w:rPr>
              <w:t>$ 171,443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12.  GOODWILL AND OTHER INTANGIBLE ASSETS</w:t>
            </w: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40" w:type="dxa"/>
            <w:vAlign w:val="bottom"/>
            <w:gridSpan w:val="3"/>
            <w:vMerge w:val="continue"/>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680" w:type="dxa"/>
            <w:vAlign w:val="bottom"/>
            <w:gridSpan w:val="8"/>
          </w:tcPr>
          <w:p>
            <w:pPr>
              <w:jc w:val="right"/>
              <w:ind w:right="500"/>
              <w:spacing w:after="0"/>
              <w:rPr>
                <w:sz w:val="20"/>
                <w:szCs w:val="20"/>
                <w:color w:val="auto"/>
              </w:rPr>
            </w:pPr>
            <w:r>
              <w:rPr>
                <w:rFonts w:ascii="Arial" w:cs="Arial" w:eastAsia="Arial" w:hAnsi="Arial"/>
                <w:sz w:val="18"/>
                <w:szCs w:val="18"/>
                <w:color w:val="auto"/>
                <w:w w:val="92"/>
              </w:rPr>
              <w:t>The components of goodwill and other intangible assets at December 31, 2009 and 2008 are presented below:</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7"/>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$ 261,703</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170,277</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56,077</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4,867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$ 317,780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175,144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At December 31, 2009, $200,073 of goodwill was attributable to the Company’s Financial Advisory segment and $61,630 of goodwill was attributable to the Company’s Asset Management segment. At December 31, 2008, the entire amount of goodwill was attributable to the Company’s Financial Advisory segment.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years ended December 31, 2009, 2008 and 2007 are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Borders>
              <w:bottom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68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$170,277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$178,446</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w w:val="97"/>
              </w:rPr>
              <w:t>Business acquisitions, including additional contingent consideration earned</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70,965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9,282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20,461</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(17,451)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w:t>
            </w:r>
          </w:p>
        </w:tc>
        <w:tc>
          <w:tcPr>
            <w:tcW w:w="6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80" w:type="dxa"/>
            <w:vAlign w:val="bottom"/>
            <w:gridSpan w:val="2"/>
            <w:vMerge w:val="continue"/>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261,703</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170,277</w:t>
            </w:r>
          </w:p>
        </w:tc>
        <w:tc>
          <w:tcPr>
            <w:tcW w:w="2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178,446</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jc w:val="right"/>
              <w:ind w:right="1092"/>
              <w:spacing w:after="0"/>
              <w:rPr>
                <w:sz w:val="20"/>
                <w:szCs w:val="20"/>
                <w:color w:val="auto"/>
              </w:rPr>
            </w:pPr>
            <w:r>
              <w:rPr>
                <w:rFonts w:ascii="Arial" w:cs="Arial" w:eastAsia="Arial" w:hAnsi="Arial"/>
                <w:sz w:val="18"/>
                <w:szCs w:val="18"/>
                <w:color w:val="auto"/>
              </w:rPr>
              <w:t>103</w:t>
            </w: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8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performs a goodwill impairment test annually or more frequently if circumstances indicate that impairment may have occurred. The Company has selected December 31 as the date to perform its annual impairment test. Pursuant to the Company’s goodwill impairment review for the years ended December 31, 2009, 2008 and 2007, the Company compared the fair value of each of its applicable reporting units to their corresponding carrying amounts, including goodwill, and determined that no impairment existed.</w:t>
      </w:r>
    </w:p>
    <w:p>
      <w:pPr>
        <w:spacing w:after="0" w:line="13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December 31, 2009 and 2008, by major intangible asset category,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1"/>
              </w:rPr>
              <w:t>December 31, 2009</w:t>
            </w:r>
          </w:p>
        </w:tc>
        <w:tc>
          <w:tcPr>
            <w:tcW w:w="5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8"/>
              </w:rPr>
              <w:t>December 31, 2008</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340" w:type="dxa"/>
            <w:vAlign w:val="bottom"/>
          </w:tcPr>
          <w:p>
            <w:pPr>
              <w:spacing w:after="0"/>
              <w:rPr>
                <w:sz w:val="12"/>
                <w:szCs w:val="12"/>
                <w:color w:val="auto"/>
              </w:rPr>
            </w:pPr>
          </w:p>
        </w:tc>
        <w:tc>
          <w:tcPr>
            <w:tcW w:w="60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5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Cost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60" w:type="dxa"/>
            <w:vAlign w:val="bottom"/>
            <w:gridSpan w:val="3"/>
          </w:tcPr>
          <w:p>
            <w:pPr>
              <w:ind w:left="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Success/performance fees</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$30,740</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w w:val="94"/>
              </w:rPr>
              <w:t>Management fees, customer relationships and non-compete agreements</w:t>
            </w:r>
          </w:p>
        </w:tc>
        <w:tc>
          <w:tcPr>
            <w:tcW w:w="4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32,477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7,140</w:t>
            </w:r>
          </w:p>
        </w:tc>
        <w:tc>
          <w:tcPr>
            <w:tcW w:w="580" w:type="dxa"/>
            <w:vAlign w:val="bottom"/>
          </w:tcPr>
          <w:p>
            <w:pPr>
              <w:jc w:val="right"/>
              <w:spacing w:after="0"/>
              <w:rPr>
                <w:sz w:val="20"/>
                <w:szCs w:val="20"/>
                <w:color w:val="auto"/>
              </w:rPr>
            </w:pPr>
            <w:r>
              <w:rPr>
                <w:rFonts w:ascii="Arial" w:cs="Arial" w:eastAsia="Arial" w:hAnsi="Arial"/>
                <w:sz w:val="18"/>
                <w:szCs w:val="18"/>
                <w:color w:val="auto"/>
              </w:rPr>
              <w:t>25,337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7,017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63,217</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7,140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56,077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7,017</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4,867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Amortization expense of intangible assets for the years ended December 31, 2009, 2008 and 2007 was $4,990, $4,596 and $21,523, respectively. Estimated future amortization expense is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gridSpan w:val="4"/>
          </w:tcPr>
          <w:p>
            <w:pPr>
              <w:jc w:val="right"/>
              <w:spacing w:after="0"/>
              <w:rPr>
                <w:sz w:val="20"/>
                <w:szCs w:val="20"/>
                <w:color w:val="auto"/>
              </w:rPr>
            </w:pPr>
            <w:r>
              <w:rPr>
                <w:rFonts w:ascii="Arial" w:cs="Arial" w:eastAsia="Arial" w:hAnsi="Arial"/>
                <w:sz w:val="14"/>
                <w:szCs w:val="14"/>
                <w:b w:val="1"/>
                <w:bCs w:val="1"/>
                <w:color w:val="auto"/>
              </w:rPr>
              <w:t>Amortization</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500" w:type="dxa"/>
            <w:vAlign w:val="bottom"/>
            <w:gridSpan w:val="4"/>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9"/>
              </w:rPr>
              <w:t>Expense (a)</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74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66"/>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6,987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2011</w:t>
            </w:r>
          </w:p>
        </w:tc>
        <w:tc>
          <w:tcPr>
            <w:tcW w:w="74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5,718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74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6,302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2013</w:t>
            </w:r>
          </w:p>
        </w:tc>
        <w:tc>
          <w:tcPr>
            <w:tcW w:w="74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660" w:type="dxa"/>
            <w:vAlign w:val="bottom"/>
            <w:gridSpan w:val="5"/>
          </w:tcPr>
          <w:p>
            <w:pPr>
              <w:jc w:val="right"/>
              <w:spacing w:after="0"/>
              <w:rPr>
                <w:sz w:val="20"/>
                <w:szCs w:val="20"/>
                <w:color w:val="auto"/>
              </w:rPr>
            </w:pPr>
            <w:r>
              <w:rPr>
                <w:rFonts w:ascii="Arial" w:cs="Arial" w:eastAsia="Arial" w:hAnsi="Arial"/>
                <w:sz w:val="18"/>
                <w:szCs w:val="18"/>
                <w:color w:val="auto"/>
              </w:rPr>
              <w:t>13,022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74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6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10,083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6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880" w:type="dxa"/>
            <w:vAlign w:val="bottom"/>
            <w:gridSpan w:val="2"/>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13,965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16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56,077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560" w:type="dxa"/>
            <w:vAlign w:val="bottom"/>
            <w:gridSpan w:val="2"/>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580" w:type="dxa"/>
            <w:vAlign w:val="bottom"/>
          </w:tcPr>
          <w:p>
            <w:pPr>
              <w:spacing w:after="0"/>
              <w:rPr>
                <w:sz w:val="20"/>
                <w:szCs w:val="20"/>
                <w:color w:val="auto"/>
              </w:rPr>
            </w:pPr>
          </w:p>
        </w:tc>
        <w:tc>
          <w:tcPr>
            <w:tcW w:w="540" w:type="dxa"/>
            <w:vAlign w:val="bottom"/>
            <w:gridSpan w:val="2"/>
          </w:tcPr>
          <w:p>
            <w:pPr>
              <w:ind w:left="340"/>
              <w:spacing w:after="0"/>
              <w:rPr>
                <w:sz w:val="20"/>
                <w:szCs w:val="20"/>
                <w:color w:val="auto"/>
              </w:rPr>
            </w:pPr>
            <w:r>
              <w:rPr>
                <w:rFonts w:ascii="Arial" w:cs="Arial" w:eastAsia="Arial" w:hAnsi="Arial"/>
                <w:sz w:val="18"/>
                <w:szCs w:val="18"/>
                <w:color w:val="auto"/>
                <w:w w:val="81"/>
              </w:rPr>
              <w:t>(a)</w:t>
            </w:r>
          </w:p>
        </w:tc>
        <w:tc>
          <w:tcPr>
            <w:tcW w:w="40" w:type="dxa"/>
            <w:vAlign w:val="bottom"/>
          </w:tcPr>
          <w:p>
            <w:pPr>
              <w:spacing w:after="0"/>
              <w:rPr>
                <w:sz w:val="20"/>
                <w:szCs w:val="20"/>
                <w:color w:val="auto"/>
              </w:rPr>
            </w:pPr>
          </w:p>
        </w:tc>
        <w:tc>
          <w:tcPr>
            <w:tcW w:w="7460" w:type="dxa"/>
            <w:vAlign w:val="bottom"/>
            <w:gridSpan w:val="3"/>
          </w:tcPr>
          <w:p>
            <w:pPr>
              <w:ind w:left="320"/>
              <w:spacing w:after="0"/>
              <w:rPr>
                <w:sz w:val="20"/>
                <w:szCs w:val="20"/>
                <w:color w:val="auto"/>
              </w:rPr>
            </w:pPr>
            <w:r>
              <w:rPr>
                <w:rFonts w:ascii="Arial" w:cs="Arial" w:eastAsia="Arial" w:hAnsi="Arial"/>
                <w:sz w:val="18"/>
                <w:szCs w:val="18"/>
                <w:color w:val="auto"/>
                <w:w w:val="96"/>
              </w:rPr>
              <w:t>Approximately 47% of intangible asset amortization is attributable to a noncontrolling interest.</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620" w:type="dxa"/>
            <w:vAlign w:val="bottom"/>
            <w:gridSpan w:val="7"/>
          </w:tcPr>
          <w:p>
            <w:pPr>
              <w:jc w:val="right"/>
              <w:ind w:right="4780"/>
              <w:spacing w:after="0"/>
              <w:rPr>
                <w:sz w:val="20"/>
                <w:szCs w:val="20"/>
                <w:color w:val="auto"/>
              </w:rPr>
            </w:pPr>
            <w:r>
              <w:rPr>
                <w:rFonts w:ascii="Arial" w:cs="Arial" w:eastAsia="Arial" w:hAnsi="Arial"/>
                <w:sz w:val="18"/>
                <w:szCs w:val="18"/>
                <w:b w:val="1"/>
                <w:bCs w:val="1"/>
                <w:i w:val="1"/>
                <w:iCs w:val="1"/>
                <w:color w:val="auto"/>
                <w:w w:val="96"/>
              </w:rPr>
              <w:t>13.  OTHER ASSETS AND OTHER LIABILITIES</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620" w:type="dxa"/>
            <w:vAlign w:val="bottom"/>
            <w:gridSpan w:val="7"/>
          </w:tcPr>
          <w:p>
            <w:pPr>
              <w:jc w:val="right"/>
              <w:ind w:right="920"/>
              <w:spacing w:after="0"/>
              <w:rPr>
                <w:sz w:val="20"/>
                <w:szCs w:val="20"/>
                <w:color w:val="auto"/>
              </w:rPr>
            </w:pPr>
            <w:r>
              <w:rPr>
                <w:rFonts w:ascii="Arial" w:cs="Arial" w:eastAsia="Arial" w:hAnsi="Arial"/>
                <w:sz w:val="18"/>
                <w:szCs w:val="18"/>
                <w:color w:val="auto"/>
                <w:w w:val="93"/>
              </w:rPr>
              <w:t>The following table sets forth the Company’s other assets, by type, as of December 31, 2009 and 2008:</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ind w:right="41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Borders>
              <w:bottom w:val="single" w:sz="8" w:color="auto"/>
            </w:tcBorders>
            <w:gridSpan w:val="2"/>
          </w:tcPr>
          <w:p>
            <w:pPr>
              <w:jc w:val="right"/>
              <w:ind w:right="166"/>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96"/>
              </w:rPr>
              <w:t>2008</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8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Current and deferred income taxes receivable (net of valuation allowance) and other taxes</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88,117</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87,389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40" w:type="dxa"/>
            <w:vAlign w:val="bottom"/>
            <w:gridSpan w:val="6"/>
          </w:tcPr>
          <w:p>
            <w:pPr>
              <w:spacing w:after="0"/>
              <w:rPr>
                <w:sz w:val="20"/>
                <w:szCs w:val="20"/>
                <w:color w:val="auto"/>
              </w:rPr>
            </w:pPr>
            <w:r>
              <w:rPr>
                <w:rFonts w:ascii="Arial" w:cs="Arial" w:eastAsia="Arial" w:hAnsi="Arial"/>
                <w:sz w:val="18"/>
                <w:szCs w:val="18"/>
                <w:color w:val="auto"/>
              </w:rPr>
              <w:t>Accruals and prepayments (including prepaid pension assets, see Note 18)</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65,311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75,293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Deferred debt issuance costs</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7,550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8,957</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40,575</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56,888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$ 201,553</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228,527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500" w:type="dxa"/>
            <w:vAlign w:val="bottom"/>
            <w:gridSpan w:val="4"/>
            <w:vMerge w:val="restart"/>
          </w:tcPr>
          <w:p>
            <w:pPr>
              <w:jc w:val="right"/>
              <w:ind w:right="2780"/>
              <w:spacing w:after="0"/>
              <w:rPr>
                <w:sz w:val="20"/>
                <w:szCs w:val="20"/>
                <w:color w:val="auto"/>
              </w:rPr>
            </w:pPr>
            <w:r>
              <w:rPr>
                <w:rFonts w:ascii="Arial" w:cs="Arial" w:eastAsia="Arial" w:hAnsi="Arial"/>
                <w:sz w:val="18"/>
                <w:szCs w:val="18"/>
                <w:color w:val="auto"/>
              </w:rPr>
              <w:t>104</w:t>
            </w: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00" w:type="dxa"/>
            <w:vAlign w:val="bottom"/>
            <w:gridSpan w:val="4"/>
            <w:vMerge w:val="continue"/>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Company’s other liabilities, by type, as of December 31, 2009 and 2008:</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6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20" w:type="dxa"/>
            <w:vAlign w:val="bottom"/>
            <w:tcBorders>
              <w:bottom w:val="single" w:sz="8" w:color="auto"/>
            </w:tcBorders>
          </w:tcPr>
          <w:p>
            <w:pPr>
              <w:jc w:val="right"/>
              <w:ind w:right="166"/>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$ 132,125</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114,856</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Current and deferred income taxes and other taxes</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105,094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68,493</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benefit-related liabilities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80,349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69,345</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LAM Merger (present value of unpaid cash consideration)</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65,308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60,324</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Unclaimed funds at LFB</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26,329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55,583</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Abandoned leased space (principally in the U.K.)</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10,850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10,259</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w:t>
            </w: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Other</w:t>
            </w:r>
          </w:p>
        </w:tc>
        <w:tc>
          <w:tcPr>
            <w:tcW w:w="22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65,987</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99,153</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$ 491,221</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484,988</w:t>
            </w: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i w:val="1"/>
          <w:iCs w:val="1"/>
          <w:color w:val="auto"/>
        </w:rPr>
        <w:t>14.</w:t>
        <w:tab/>
        <w:t>SENIOR AND SUBORDINATED DEBT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Senior Debt</w:t>
      </w:r>
      <w:r>
        <w:rPr>
          <w:rFonts w:ascii="Arial" w:cs="Arial" w:eastAsia="Arial" w:hAnsi="Arial"/>
          <w:sz w:val="18"/>
          <w:szCs w:val="18"/>
          <w:color w:val="auto"/>
        </w:rPr>
        <w:t>—Senior debt is comprised of the following as of December 31, 2009 and 2008:</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Initial</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Annual</w:t>
            </w:r>
          </w:p>
        </w:tc>
        <w:tc>
          <w:tcPr>
            <w:tcW w:w="120" w:type="dxa"/>
            <w:vAlign w:val="bottom"/>
          </w:tcPr>
          <w:p>
            <w:pPr>
              <w:spacing w:after="0"/>
              <w:rPr>
                <w:sz w:val="14"/>
                <w:szCs w:val="14"/>
                <w:color w:val="auto"/>
              </w:rPr>
            </w:pPr>
          </w:p>
        </w:tc>
        <w:tc>
          <w:tcPr>
            <w:tcW w:w="19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Outstanding As Of</w:t>
            </w:r>
          </w:p>
        </w:tc>
      </w:tr>
      <w:tr>
        <w:trPr>
          <w:trHeight w:val="161"/>
        </w:trPr>
        <w:tc>
          <w:tcPr>
            <w:tcW w:w="11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Principal</w:t>
            </w: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Maturity</w:t>
            </w:r>
          </w:p>
        </w:tc>
        <w:tc>
          <w:tcPr>
            <w:tcW w:w="11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6"/>
              </w:rPr>
              <w:t>Interest</w:t>
            </w:r>
          </w:p>
        </w:tc>
        <w:tc>
          <w:tcPr>
            <w:tcW w:w="120" w:type="dxa"/>
            <w:vAlign w:val="bottom"/>
          </w:tcPr>
          <w:p>
            <w:pPr>
              <w:spacing w:after="0"/>
              <w:rPr>
                <w:sz w:val="14"/>
                <w:szCs w:val="14"/>
                <w:color w:val="auto"/>
              </w:rPr>
            </w:pPr>
          </w:p>
        </w:tc>
        <w:tc>
          <w:tcPr>
            <w:tcW w:w="19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1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Amount</w:t>
            </w:r>
          </w:p>
        </w:tc>
        <w:tc>
          <w:tcPr>
            <w:tcW w:w="340" w:type="dxa"/>
            <w:vAlign w:val="bottom"/>
          </w:tcPr>
          <w:p>
            <w:pPr>
              <w:spacing w:after="0"/>
              <w:rPr>
                <w:sz w:val="12"/>
                <w:szCs w:val="12"/>
                <w:color w:val="auto"/>
              </w:rPr>
            </w:pPr>
          </w:p>
        </w:tc>
        <w:tc>
          <w:tcPr>
            <w:tcW w:w="5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Date</w:t>
            </w:r>
          </w:p>
        </w:tc>
        <w:tc>
          <w:tcPr>
            <w:tcW w:w="340" w:type="dxa"/>
            <w:vAlign w:val="bottom"/>
          </w:tcPr>
          <w:p>
            <w:pPr>
              <w:spacing w:after="0"/>
              <w:rPr>
                <w:sz w:val="12"/>
                <w:szCs w:val="12"/>
                <w:color w:val="auto"/>
              </w:rPr>
            </w:pPr>
          </w:p>
        </w:tc>
        <w:tc>
          <w:tcPr>
            <w:tcW w:w="4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Rate</w:t>
            </w:r>
          </w:p>
        </w:tc>
        <w:tc>
          <w:tcPr>
            <w:tcW w:w="6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21"/>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Group 7.125% Senior Notes(a)</w:t>
            </w:r>
          </w:p>
        </w:tc>
        <w:tc>
          <w:tcPr>
            <w:tcW w:w="2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$ 550,000</w:t>
            </w:r>
          </w:p>
        </w:tc>
        <w:tc>
          <w:tcPr>
            <w:tcW w:w="9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5/15/15</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538,500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538,500</w:t>
            </w:r>
          </w:p>
        </w:tc>
        <w:tc>
          <w:tcPr>
            <w:tcW w:w="20" w:type="dxa"/>
            <w:vAlign w:val="bottom"/>
          </w:tcPr>
          <w:p>
            <w:pPr>
              <w:spacing w:after="0"/>
              <w:rPr>
                <w:sz w:val="18"/>
                <w:szCs w:val="18"/>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Lazard Group 6.85% Senior Notes(b)</w:t>
            </w:r>
          </w:p>
        </w:tc>
        <w:tc>
          <w:tcPr>
            <w:tcW w:w="2820" w:type="dxa"/>
            <w:vAlign w:val="bottom"/>
            <w:gridSpan w:val="3"/>
          </w:tcPr>
          <w:p>
            <w:pPr>
              <w:jc w:val="right"/>
              <w:ind w:right="340"/>
              <w:spacing w:after="0"/>
              <w:rPr>
                <w:sz w:val="20"/>
                <w:szCs w:val="20"/>
                <w:color w:val="auto"/>
              </w:rPr>
            </w:pPr>
            <w:r>
              <w:rPr>
                <w:rFonts w:ascii="Arial" w:cs="Arial" w:eastAsia="Arial" w:hAnsi="Arial"/>
                <w:sz w:val="18"/>
                <w:szCs w:val="18"/>
                <w:color w:val="auto"/>
              </w:rPr>
              <w:t>600,000</w:t>
            </w:r>
          </w:p>
        </w:tc>
        <w:tc>
          <w:tcPr>
            <w:tcW w:w="9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6/15/17</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548,350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549,250</w:t>
            </w:r>
          </w:p>
        </w:tc>
        <w:tc>
          <w:tcPr>
            <w:tcW w:w="20" w:type="dxa"/>
            <w:vAlign w:val="bottom"/>
          </w:tcPr>
          <w:p>
            <w:pPr>
              <w:spacing w:after="0"/>
              <w:rPr>
                <w:sz w:val="18"/>
                <w:szCs w:val="18"/>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Group Credit Facility(c)</w:t>
            </w:r>
          </w:p>
        </w:tc>
        <w:tc>
          <w:tcPr>
            <w:tcW w:w="2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150,000</w:t>
            </w:r>
          </w:p>
        </w:tc>
        <w:tc>
          <w:tcPr>
            <w:tcW w:w="9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5/10/10</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450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1,086,850</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1,087,750</w:t>
            </w:r>
          </w:p>
        </w:tc>
      </w:tr>
      <w:tr>
        <w:trPr>
          <w:trHeight w:val="20"/>
        </w:trPr>
        <w:tc>
          <w:tcPr>
            <w:tcW w:w="11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3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56"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Concurrent with Lazard Ltd’s initial public offering on May 10, 2005 (the “equity public offering”), Lazard Group issued $550,000 aggregate principal amount of 7.125% senior notes due May 15, 2015 (the “7.125% Senior Notes”). During the year ended December 31, 2008, the Company repurchased $11,500 principal amount of the 7.125% Senior Notes at a cost, excluding accrued interest, of $7,974 and, after the write-off of applicable unamortized debt issuance costs of $75, the Company recognized a pre-tax gain of $3,451.</w:t>
      </w:r>
    </w:p>
    <w:p>
      <w:pPr>
        <w:spacing w:after="0" w:line="48" w:lineRule="exact"/>
        <w:rPr>
          <w:rFonts w:ascii="Arial" w:cs="Arial" w:eastAsia="Arial" w:hAnsi="Arial"/>
          <w:sz w:val="18"/>
          <w:szCs w:val="18"/>
          <w:color w:val="auto"/>
        </w:rPr>
      </w:pPr>
    </w:p>
    <w:p>
      <w:pPr>
        <w:ind w:left="460" w:right="80"/>
        <w:spacing w:after="0" w:line="255" w:lineRule="auto"/>
        <w:rPr>
          <w:rFonts w:ascii="Arial" w:cs="Arial" w:eastAsia="Arial" w:hAnsi="Arial"/>
          <w:sz w:val="18"/>
          <w:szCs w:val="18"/>
          <w:color w:val="auto"/>
        </w:rPr>
      </w:pPr>
      <w:r>
        <w:rPr>
          <w:rFonts w:ascii="Arial" w:cs="Arial" w:eastAsia="Arial" w:hAnsi="Arial"/>
          <w:sz w:val="18"/>
          <w:szCs w:val="18"/>
          <w:color w:val="auto"/>
        </w:rPr>
        <w:t>In connection with the issuance of the 7.125% Senior Notes, on April 1, 2005, Lazard Group entered into an interest rate forward agreement for a notional amount of $650,000 to ensure that the base rate (excluding market-driven credit spreads) on the 7.125% Senior Notes would be no greater than 4.5%. Lazard Group settled the interest rate forward agreement as of May 9, 2005, which required a payment by Lazard Group of $13,004. Of this amount, $11,003 was deemed to be the effective portion of the hedge and recorded within AOCI, and is being amortized as a charge to interest expense over the ten year term of the 7.125% Senior Notes.</w:t>
      </w:r>
    </w:p>
    <w:p>
      <w:pPr>
        <w:spacing w:after="0" w:line="48" w:lineRule="exact"/>
        <w:rPr>
          <w:rFonts w:ascii="Arial" w:cs="Arial" w:eastAsia="Arial" w:hAnsi="Arial"/>
          <w:sz w:val="18"/>
          <w:szCs w:val="18"/>
          <w:color w:val="auto"/>
        </w:rPr>
      </w:pPr>
    </w:p>
    <w:p>
      <w:pPr>
        <w:ind w:left="460" w:right="40" w:hanging="452"/>
        <w:spacing w:after="0" w:line="298" w:lineRule="auto"/>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On June 21, 2007, Lazard Group issued $600,000 aggregate principal amount of 6.85% senior notes due June 15, 2017 (the “6.85% Senior Notes”). During the years ended December 31, 2009 and 2008, the Company repurchased $900 and $50,750 principal amount of the 6.85% Senior Notes, respectively, at a cost, excluding accrued interest, of $635 and $33,463, respectively, and, after the write-off of unamortized debt issuance costs of $7 and $485 in the respective years, the Company recognized pre-tax gains of $258 and $16,802, respectively.</w:t>
      </w:r>
    </w:p>
    <w:p>
      <w:pPr>
        <w:spacing w:after="0" w:line="18" w:lineRule="exact"/>
        <w:rPr>
          <w:rFonts w:ascii="Arial" w:cs="Arial" w:eastAsia="Arial" w:hAnsi="Arial"/>
          <w:sz w:val="16"/>
          <w:szCs w:val="16"/>
          <w:color w:val="auto"/>
        </w:rPr>
      </w:pPr>
    </w:p>
    <w:p>
      <w:pPr>
        <w:ind w:left="460" w:right="220" w:hanging="452"/>
        <w:spacing w:after="0" w:line="268"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Lazard Group maintains a $150,000 senior revolving credit facility with a group of lenders that matures on May 10, 2010 (the “Credit Facility”). Interest rates under the Credit Facility vary and are based on either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Federal Funds rate or a Eurodollar rate, in each case plus an applicable margin. As of December 31, 2009 and 2008, the annual interest rate for a loan accruing interest (based on the Federal Funds overnight rate), including the applicable margin, was 1.69% and 1.75%, respectively. At December 31, 2009 and 2008, no amounts were outstanding under the Credit Facility.</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Subordinated Debt—</w:t>
      </w:r>
      <w:r>
        <w:rPr>
          <w:rFonts w:ascii="Arial" w:cs="Arial" w:eastAsia="Arial" w:hAnsi="Arial"/>
          <w:sz w:val="16"/>
          <w:szCs w:val="16"/>
          <w:color w:val="auto"/>
        </w:rPr>
        <w:t>Subordinated debt at December 31, 2009 and 2008 amounted to $150,000 at each date and represents a note which is convertible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maximum of 2,631,570 shares of Class A common stock at an effective conversion price of $57 per share. The note matures on September 30, 2016 and has a fixed interest rate of 3.25% per annum. One-third in principal amount became convertible on and after July 1, 2008, an additional one-third became convertible on and after July 1, 2009 and a final one-third in principal amount will become convertible on and after July 1, 2010, and no principal amount will be convertible after June 30, 2011. As of December 31, 2009 there have been no conversions of the note.</w:t>
      </w:r>
    </w:p>
    <w:p>
      <w:pPr>
        <w:spacing w:after="0" w:line="1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Debt maturities relating to senior and subordinated borrowings outstanding at December 31, 2009 for each of the five years in the period ending December 31, 2014 and thereafter are set forth in the table below. For purposes of this table, it was assumed that the $150,000 subordinated convertible note remains outstanding in accordance with its stated terms.</w:t>
      </w:r>
    </w:p>
    <w:p>
      <w:pPr>
        <w:spacing w:after="0" w:line="11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Subordinated</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1"/>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3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6"/>
              </w:rPr>
              <w:t>Senior Debt</w:t>
            </w:r>
          </w:p>
        </w:tc>
        <w:tc>
          <w:tcPr>
            <w:tcW w:w="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Debt</w:t>
            </w: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Total</w:t>
            </w:r>
          </w:p>
        </w:tc>
      </w:tr>
      <w:tr>
        <w:trPr>
          <w:trHeight w:val="210"/>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2010-2014</w:t>
            </w:r>
          </w:p>
        </w:tc>
        <w:tc>
          <w:tcPr>
            <w:tcW w:w="3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660" w:type="dxa"/>
            <w:vAlign w:val="bottom"/>
          </w:tcPr>
          <w:p>
            <w:pPr>
              <w:spacing w:after="0"/>
              <w:rPr>
                <w:sz w:val="20"/>
                <w:szCs w:val="20"/>
                <w:color w:val="auto"/>
              </w:rPr>
            </w:pPr>
            <w:r>
              <w:rPr>
                <w:rFonts w:ascii="Arial" w:cs="Arial" w:eastAsia="Arial" w:hAnsi="Arial"/>
                <w:sz w:val="18"/>
                <w:szCs w:val="18"/>
                <w:color w:val="auto"/>
              </w:rPr>
              <w:t>Thereafter</w:t>
            </w:r>
          </w:p>
        </w:tc>
        <w:tc>
          <w:tcPr>
            <w:tcW w:w="3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1,086,850</w:t>
            </w: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1,236,850</w:t>
            </w:r>
          </w:p>
        </w:tc>
      </w:tr>
      <w:tr>
        <w:trPr>
          <w:trHeight w:val="216"/>
        </w:trPr>
        <w:tc>
          <w:tcPr>
            <w:tcW w:w="1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1,086,850</w:t>
            </w:r>
          </w:p>
        </w:tc>
        <w:tc>
          <w:tcPr>
            <w:tcW w:w="6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1,236,850</w:t>
            </w:r>
          </w:p>
        </w:tc>
      </w:tr>
      <w:tr>
        <w:trPr>
          <w:trHeight w:val="20"/>
        </w:trPr>
        <w:tc>
          <w:tcPr>
            <w:tcW w:w="16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Credit Facility contains certain financial condition covenants. In addition, the Credit Facility, the indenture and supplemental indentures relating to Lazard Group’s senior notes as well as its subordinated convertible note contain certain covenants (none of which relate to financial condition), events of default and other customary provisions, including a customary make-whole provision in the event of early redemption where applicable. As of December 31, 2009, the Company was in compliance with all of these provisions. All of the Company’s senior and subordinated debt obligations are unsecured.</w:t>
      </w:r>
    </w:p>
    <w:p>
      <w:pPr>
        <w:spacing w:after="0" w:line="9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As of December 31, 2009, the Company had approximately $262,000 in unused lines of credit available to it, including approximately $44,000 and</w:t>
      </w:r>
    </w:p>
    <w:p>
      <w:pPr>
        <w:spacing w:after="0" w:line="3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$45,000 of unused lines of credit available to LFB and Edgewater, respectively. In addition, LFB has access to the Eurosystem Covered Bond Purchase Program of the Banque de France.</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senior and subordinated debt are recorded at historical amounts. At December 31, 2009, the fair value of the Company’s senior and subordinated debt of $1,255,254 exceeded the aggregate carrying value by $18,404. At December 31, 2008, the fair value of the Company’s senior and subordinated debt of $883,368 was less than the aggregate carrying value by $354,382. The fair value of the Company’s senior and subordinated debt was estimated using a discounted cash flow analysis based on the Company’s current borrowing rates for similar types of borrowing arrangements or based on market quotations where available.</w:t>
      </w:r>
    </w:p>
    <w:p>
      <w:pPr>
        <w:spacing w:after="0" w:line="1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15.</w:t>
      </w:r>
      <w:r>
        <w:rPr>
          <w:sz w:val="20"/>
          <w:szCs w:val="20"/>
          <w:color w:val="auto"/>
        </w:rPr>
        <w:tab/>
      </w:r>
      <w:r>
        <w:rPr>
          <w:rFonts w:ascii="Arial" w:cs="Arial" w:eastAsia="Arial" w:hAnsi="Arial"/>
          <w:sz w:val="16"/>
          <w:szCs w:val="16"/>
          <w:b w:val="1"/>
          <w:bCs w:val="1"/>
          <w:i w:val="1"/>
          <w:iCs w:val="1"/>
          <w:color w:val="auto"/>
        </w:rPr>
        <w:t>COMMITMENTS AND CONTINGENCIES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Leases—</w:t>
      </w:r>
      <w:r>
        <w:rPr>
          <w:rFonts w:ascii="Arial" w:cs="Arial" w:eastAsia="Arial" w:hAnsi="Arial"/>
          <w:sz w:val="16"/>
          <w:szCs w:val="16"/>
          <w:color w:val="auto"/>
        </w:rPr>
        <w:t>The Company leases office space and equipment under non-cancelable lease agreements, which expire on various dates through 2022.</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60"/>
          </w:cols>
          <w:pgMar w:left="240" w:top="459" w:right="2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Occupancy lease agreements, in addition to base rentals, generally are subject to escalation provisions based on certain costs incurred by the landlord. For the years ended December 31, 2009, 2008 and 2007, aggregate rental expense relating to operating leases amounted to $69,404, $74,550 and $73,302, respectively, and is included in “occupancy and equipment” or “technology and information services” on the consolidated statements of operations, depending on the nature of the underlying asset. The Company subleases office space under agreements, which expire on various dates through 2022. Sublease income from such agreements was $11,327, $11,531 and $12,511 for the years ended December 31, 2009, 2008 and 2007, respectively.</w:t>
      </w:r>
    </w:p>
    <w:p>
      <w:pPr>
        <w:spacing w:after="0" w:line="10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Capital lease obligations recorded under sale/leaseback transactions are payable through 2017 at a weighted average interest rate of approximately 6.31%. Such obligations are collateralized by certain buildings with a net book value of approximately $27,364 and $27,458 at December 31, 2009 and 2008, respectively. The net book value of all assets recorded under capital leases aggregated $28,728 and $30,089 at December 31, 2009 and 2008, respectively.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2009, minimum rental commitments under non-cancelable leases, net of sublease income, are approximately as follows: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Minimum Rental Commitments</w:t>
            </w:r>
          </w:p>
        </w:tc>
        <w:tc>
          <w:tcPr>
            <w:tcW w:w="0" w:type="dxa"/>
            <w:vAlign w:val="bottom"/>
          </w:tcPr>
          <w:p>
            <w:pPr>
              <w:spacing w:after="0"/>
              <w:rPr>
                <w:sz w:val="1"/>
                <w:szCs w:val="1"/>
                <w:color w:val="auto"/>
              </w:rPr>
            </w:pPr>
          </w:p>
        </w:tc>
      </w:tr>
      <w:tr>
        <w:trPr>
          <w:trHeight w:val="142"/>
        </w:trPr>
        <w:tc>
          <w:tcPr>
            <w:tcW w:w="4720" w:type="dxa"/>
            <w:vAlign w:val="bottom"/>
            <w:gridSpan w:val="3"/>
            <w:vMerge w:val="continue"/>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w w:val="98"/>
              </w:rPr>
              <w:t>Capital</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0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2011</w:t>
            </w:r>
          </w:p>
        </w:tc>
        <w:tc>
          <w:tcPr>
            <w:tcW w:w="3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3,711</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0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2013</w:t>
            </w:r>
          </w:p>
        </w:tc>
        <w:tc>
          <w:tcPr>
            <w:tcW w:w="3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3,202</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0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15,166</w:t>
            </w:r>
          </w:p>
        </w:tc>
        <w:tc>
          <w:tcPr>
            <w:tcW w:w="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31,723</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Less amount representing interest</w:t>
            </w:r>
          </w:p>
        </w:tc>
        <w:tc>
          <w:tcPr>
            <w:tcW w:w="1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7,095</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capital lease commitments</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24,628</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3"/>
            <w:vMerge w:val="restart"/>
          </w:tcPr>
          <w:p>
            <w:pPr>
              <w:spacing w:after="0"/>
              <w:rPr>
                <w:sz w:val="20"/>
                <w:szCs w:val="20"/>
                <w:color w:val="auto"/>
              </w:rPr>
            </w:pPr>
            <w:r>
              <w:rPr>
                <w:rFonts w:ascii="Arial" w:cs="Arial" w:eastAsia="Arial" w:hAnsi="Arial"/>
                <w:sz w:val="18"/>
                <w:szCs w:val="18"/>
                <w:color w:val="auto"/>
              </w:rPr>
              <w:t>Sublease proceeds</w:t>
            </w:r>
          </w:p>
        </w:tc>
        <w:tc>
          <w:tcPr>
            <w:tcW w:w="1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101,017</w:t>
            </w:r>
          </w:p>
        </w:tc>
        <w:tc>
          <w:tcPr>
            <w:tcW w:w="0" w:type="dxa"/>
            <w:vAlign w:val="bottom"/>
          </w:tcPr>
          <w:p>
            <w:pPr>
              <w:spacing w:after="0" w:line="20" w:lineRule="exact"/>
              <w:rPr>
                <w:sz w:val="1"/>
                <w:szCs w:val="1"/>
                <w:color w:val="auto"/>
              </w:rPr>
            </w:pPr>
          </w:p>
        </w:tc>
      </w:tr>
      <w:tr>
        <w:trPr>
          <w:trHeight w:val="217"/>
        </w:trPr>
        <w:tc>
          <w:tcPr>
            <w:tcW w:w="4720" w:type="dxa"/>
            <w:vAlign w:val="bottom"/>
            <w:gridSpan w:val="3"/>
            <w:vMerge w:val="continue"/>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lease payments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With respect to abandoned leased facilities in the U.K., at December 31, 2009 and 2008, the Company has recognized liabilities of $9,991 and $9,522, respectively, which are included in “other liabilities” on the consolidated statements of financial condition. Payments toward the liabilities continue through the remaining term of the leases. Such liabilities are based on the discounted future commitment, net of expected sublease income.</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On March 12, 2007, Lazard entered into an agreement to guarantee to a foreign tax jurisdiction the deferred payment of certain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obligations and potential tax penalties of certain managing directors of Lazard Group, which, as of December 31, 2009, aggregate to $7,659. In order to collateralize such guarantee, these managing directors have pledged their interests in LAZ-MD Holdings (which are exchangeable into shares of Class A common stock) and unsold shares of Class A common stock received in exchange for such interests, with the value of such collateral in each case exceeding the guarantee provided by Lazard.</w:t>
      </w:r>
    </w:p>
    <w:p>
      <w:pPr>
        <w:spacing w:after="0" w:line="129"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 the normal course of business, LFB provides indemnifications to third parties to protect them in the event of non-performance by its clients. At December 31, 2009, LFB had $6,882 of such indemnifications and held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$4,394 of collateral/counter-guarantees to secure these commitments. The Company believes the likelihood of loss with respect to these indemnities is remote.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Accordingly, no liability is recorded in the consolidated statement of financial condition.</w:t>
      </w:r>
    </w:p>
    <w:p>
      <w:pPr>
        <w:spacing w:after="0" w:line="151"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b w:val="1"/>
          <w:bCs w:val="1"/>
          <w:i w:val="1"/>
          <w:iCs w:val="1"/>
          <w:color w:val="auto"/>
        </w:rPr>
        <w:t>Private Equity Funding Commitments</w:t>
      </w:r>
      <w:r>
        <w:rPr>
          <w:rFonts w:ascii="Arial" w:cs="Arial" w:eastAsia="Arial" w:hAnsi="Arial"/>
          <w:sz w:val="16"/>
          <w:szCs w:val="16"/>
          <w:color w:val="auto"/>
        </w:rPr>
        <w:t>—At December 31, 2009, the principal commitments by the Company for capital contributions to private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funds were as set forth below. Senior Housing is managed by LAI. CP II was managed by a subsidiary of LAI until February 16, 2009. Effective February 17, 2009, ownership and control of CP II was transferred to the investment professionals who manage CP II.</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9"/>
              </w:rPr>
              <w:t>Total</w:t>
            </w:r>
          </w:p>
        </w:tc>
        <w:tc>
          <w:tcPr>
            <w:tcW w:w="760" w:type="dxa"/>
            <w:vAlign w:val="bottom"/>
          </w:tcPr>
          <w:p>
            <w:pPr>
              <w:spacing w:after="0"/>
              <w:rPr>
                <w:sz w:val="14"/>
                <w:szCs w:val="14"/>
                <w:color w:val="auto"/>
              </w:rPr>
            </w:pPr>
          </w:p>
        </w:tc>
        <w:tc>
          <w:tcPr>
            <w:tcW w:w="2860" w:type="dxa"/>
            <w:vAlign w:val="bottom"/>
            <w:gridSpan w:val="5"/>
          </w:tcPr>
          <w:p>
            <w:pPr>
              <w:ind w:left="160"/>
              <w:spacing w:after="0"/>
              <w:rPr>
                <w:sz w:val="20"/>
                <w:szCs w:val="20"/>
                <w:color w:val="auto"/>
              </w:rPr>
            </w:pPr>
            <w:r>
              <w:rPr>
                <w:rFonts w:ascii="Arial" w:cs="Arial" w:eastAsia="Arial" w:hAnsi="Arial"/>
                <w:sz w:val="14"/>
                <w:szCs w:val="14"/>
                <w:b w:val="1"/>
                <w:bCs w:val="1"/>
                <w:color w:val="auto"/>
              </w:rPr>
              <w:t>Total Lazard Commitment (a)</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Funding</w:t>
            </w:r>
          </w:p>
        </w:tc>
        <w:tc>
          <w:tcPr>
            <w:tcW w:w="5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Unfunded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Institutional</w:t>
            </w: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Maximum</w:t>
            </w:r>
          </w:p>
        </w:tc>
        <w:tc>
          <w:tcPr>
            <w:tcW w:w="5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540" w:type="dxa"/>
            <w:vAlign w:val="bottom"/>
          </w:tcPr>
          <w:p>
            <w:pPr>
              <w:spacing w:after="0"/>
              <w:rPr>
                <w:sz w:val="12"/>
                <w:szCs w:val="12"/>
                <w:color w:val="auto"/>
              </w:rPr>
            </w:pPr>
          </w:p>
        </w:tc>
        <w:tc>
          <w:tcPr>
            <w:tcW w:w="11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61"/>
        </w:trPr>
        <w:tc>
          <w:tcPr>
            <w:tcW w:w="6500" w:type="dxa"/>
            <w:vAlign w:val="bottom"/>
            <w:gridSpan w:val="4"/>
          </w:tcPr>
          <w:p>
            <w:pPr>
              <w:spacing w:after="0"/>
              <w:rPr>
                <w:sz w:val="20"/>
                <w:szCs w:val="20"/>
                <w:color w:val="auto"/>
              </w:rPr>
            </w:pPr>
            <w:r>
              <w:rPr>
                <w:rFonts w:ascii="Arial" w:cs="Arial" w:eastAsia="Arial" w:hAnsi="Arial"/>
                <w:sz w:val="14"/>
                <w:szCs w:val="14"/>
                <w:b w:val="1"/>
                <w:bCs w:val="1"/>
                <w:color w:val="auto"/>
              </w:rPr>
              <w:t>Name of Fund</w:t>
            </w:r>
          </w:p>
        </w:tc>
        <w:tc>
          <w:tcPr>
            <w:tcW w:w="13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Commitment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86"/>
              </w:rPr>
              <w:t>Commitment</w:t>
            </w:r>
          </w:p>
        </w:tc>
        <w:tc>
          <w:tcPr>
            <w:tcW w:w="5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54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December 31,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CP II</w:t>
            </w:r>
          </w:p>
        </w:tc>
        <w:tc>
          <w:tcPr>
            <w:tcW w:w="5620" w:type="dxa"/>
            <w:vAlign w:val="bottom"/>
            <w:gridSpan w:val="2"/>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5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5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2/9/10(b)</w:t>
            </w:r>
          </w:p>
        </w:tc>
        <w:tc>
          <w:tcPr>
            <w:tcW w:w="5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Senior Housing</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201,000</w:t>
            </w:r>
          </w:p>
        </w:tc>
        <w:tc>
          <w:tcPr>
            <w:tcW w:w="5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54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7/6/09(c)</w:t>
            </w:r>
          </w:p>
        </w:tc>
        <w:tc>
          <w:tcPr>
            <w:tcW w:w="540" w:type="dxa"/>
            <w:vAlign w:val="bottom"/>
          </w:tcPr>
          <w:p>
            <w:pPr>
              <w:spacing w:after="0"/>
              <w:rPr>
                <w:sz w:val="19"/>
                <w:szCs w:val="19"/>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$701,000</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right="440" w:hanging="452"/>
        <w:spacing w:after="0" w:line="347" w:lineRule="auto"/>
        <w:tabs>
          <w:tab w:leader="none" w:pos="4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Excludes other unfunded commitments by Lazard at December 31, 2009 of $2,355 to Company-sponsored private equity investment funds (including $1,741 in connection with the Company’s compensation plans), which are contingent upon certain events and have no definitive final payment dates.</w:t>
      </w:r>
    </w:p>
    <w:p>
      <w:pPr>
        <w:ind w:left="460" w:right="260" w:hanging="452"/>
        <w:spacing w:after="0" w:line="26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remaining unfunded commitment after February 9, 2010 is for potential “follow-on investments” and/or for CP II expenses through the earlier of (i) February 25, 2017 or (ii) the liquidation of the fund.</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Certain additional funding of up to $829 may be called at anytime until liquidation of the fund.</w:t>
      </w:r>
    </w:p>
    <w:p>
      <w:pPr>
        <w:spacing w:after="0" w:line="158"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predominately at variable interest rates.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have an expiration date and, once drawn upon, may require the counterparty to post collateral depending on the counterparty’s creditworthiness. Outstanding commitments at December 31, 2009 were $17,408. This amount may not represent future cash requirements as commitments may expire without being drawn upon.</w:t>
      </w:r>
    </w:p>
    <w:p>
      <w:pPr>
        <w:spacing w:after="0" w:line="13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January 24, 2008, Sapphire, a then newly-organized special purpose acquisition company formed by Lazard Funding Limited LLC (“Lazard Funding”), a wholly-owned subsidiary of Lazard Group, completed an initial public offering which, prior to offering costs, raised $800,000 through the sale of 80,000,000 units at an offering price of $10.00 per unit (the “Sapphire IPO”). Each unit consisted of one share of Sapphire common stock and one warrant, with such warrant entitling the holder to purchase one share of Sapphire common stock for $7.00. Sapphire was formed for the purpose of effecting a merger, capital stock exchange, asset acquisition, stock purchase, reorganization or similar business combination with one or more operating businesses primarily with general industrial companies in North America within a 24-month period (collectively referred to as the “Initial Business Combination”). Net proceeds from the Sapphire IPO were placed in a trust account by Sapphire (the “Trust Account”) pending consummation of the Initial Business Combination.</w:t>
      </w:r>
    </w:p>
    <w:p>
      <w:pPr>
        <w:spacing w:after="0" w:line="10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connection with the formation of Sapphire, Lazard Funding purchased from Sapphire 15,144,000 founders’ units (“Founders’ Units”) at a total cost of approximately $95. Each Founders’ Unit consisted of one share of Sapphire common stock and one warrant to purchase one share of Sapphire common stock for $7.50. On January 24, 2008, in connection with the Sapphire IPO, Lazard Funding purchased (i) 5,000,000 units in the Sapphire IPO at a purchase price equal to the public offering price of $10.00 per unit (for an aggregate purchase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price of $50,000), and (ii) an aggregate of 12,500,000 warrants from Sapphire at a price of $1.00 per warrant (for a total purchase price of $12,500). Furthermore, Lazard Funding entered into an agreement with the underwriter to purchase up to an additional $37,500 worth of Sapphire common shares in open market purchases, commencing two business days after Sapphire files a proxy statement relating to the Initial Business Combination and ending on the business day immediately preceding the record date for the meeting of Sapphire stockholders at which such Initial Business Combination is to be approved, or earlier in certain circumstances (the “Sapphire Commitment”).</w:t>
      </w:r>
    </w:p>
    <w:p>
      <w:pPr>
        <w:spacing w:after="0" w:line="129" w:lineRule="exact"/>
        <w:rPr>
          <w:sz w:val="20"/>
          <w:szCs w:val="20"/>
          <w:color w:val="auto"/>
        </w:rPr>
      </w:pPr>
    </w:p>
    <w:p>
      <w:pPr>
        <w:jc w:val="both"/>
        <w:ind w:right="140" w:firstLine="456"/>
        <w:spacing w:after="0" w:line="291" w:lineRule="auto"/>
        <w:rPr>
          <w:sz w:val="20"/>
          <w:szCs w:val="20"/>
          <w:color w:val="auto"/>
        </w:rPr>
      </w:pPr>
      <w:r>
        <w:rPr>
          <w:rFonts w:ascii="Arial" w:cs="Arial" w:eastAsia="Arial" w:hAnsi="Arial"/>
          <w:sz w:val="16"/>
          <w:szCs w:val="16"/>
          <w:color w:val="auto"/>
        </w:rPr>
        <w:t>On January 6, 2010, Sapphire announced that it had not completed the Initial Business Combination and it would dissolve and distribute the funds in the Trust Account to all its public shareholders, to the extent they are holders of shares issued in the Sapphire IPO, in proportion to their respective equity interests. Pursuant to such dissolution, on January 26, 2010, Sapphire distributed an initial distribution equivalent to approximately $10.06 per share of Sapphire common stock. All Sapphire warrants expired without value. During the fourth quarter of 2009, the Company recognized a loss of approximately $13,000 with respect to its investment in warrants of Sapphire, with such loss being recorded in “revenue-other” in the accompanying Consolidated Statement of Operations. As a result of the Initial Business Combination not being consummated, the Sapphire Commitment terminated.</w:t>
      </w:r>
    </w:p>
    <w:p>
      <w:pPr>
        <w:spacing w:after="0" w:line="107" w:lineRule="exact"/>
        <w:rPr>
          <w:sz w:val="20"/>
          <w:szCs w:val="20"/>
          <w:color w:val="auto"/>
        </w:rPr>
      </w:pPr>
    </w:p>
    <w:p>
      <w:pPr>
        <w:ind w:right="600" w:firstLine="456"/>
        <w:spacing w:after="0" w:line="370" w:lineRule="auto"/>
        <w:rPr>
          <w:sz w:val="20"/>
          <w:szCs w:val="20"/>
          <w:color w:val="auto"/>
        </w:rPr>
      </w:pPr>
      <w:r>
        <w:rPr>
          <w:rFonts w:ascii="Arial" w:cs="Arial" w:eastAsia="Arial" w:hAnsi="Arial"/>
          <w:sz w:val="15"/>
          <w:szCs w:val="15"/>
          <w:color w:val="auto"/>
        </w:rPr>
        <w:t>See Notes 8 and 9 of Notes to Consolidated Financial Statements for information regarding commitments relating to the LAM Merger and business acquisitions, respectively. See Note 18 of Notes to Consolidated Financial Statements for information regarding obligations to fund our pension plans.</w:t>
      </w:r>
    </w:p>
    <w:p>
      <w:pPr>
        <w:spacing w:after="0" w:line="49"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Company has various other contractual commitments arising in the ordinary course of business. In the opinion of management, the consummation of such commitments will not have a material adverse effect on the Company’s consolidated financial position or results of operations. In addition, from time to time, LFB enters into underwriting commitments in which it participates as a joint underwriter. The settlement of such transactions are not expected to have a material adverse effect on the Company’s consolidated financial position or results of operations.</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Company’s businesses, as well as the financial services industry generally, are subject to extensive regulation throughout the world.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reserves if a loss is probable and the amount of such loss can be reasonably estimated. Management believes, based on currently available information, that the results of such matters, in the aggregate, will not have a material adverse effect on its financial condition but might be material to its operating results or cash flows for any particular period, depending upon the operating results for such period.</w:t>
      </w:r>
    </w:p>
    <w:p>
      <w:pPr>
        <w:spacing w:after="0" w:line="107"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MEMBERS’ EQUITY</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Pursuant to Lazard Group’s Operating Agreement, Lazard Group allocates and distributes to its members a substantial portion of its distributable profits in three monthly installments, as soon as practicable after the end of each fiscal year. Such installment distributions usually begin in February. In addition, other periodic distributions to members included, as applicable, capital withdrawals, fixed return on members’ equity and income tax advances made on behalf of members.</w:t>
      </w:r>
    </w:p>
    <w:p>
      <w:pPr>
        <w:spacing w:after="0" w:line="13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At December 31, 2009 and 2008, Lazard Group common membership interests held by subsidiaries of Lazard Ltd amounted to 74.5% and 62.4%, respectively, and by LAZ-MD Holdings amounted to 25.5%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37.6%, respectively. Pursuant to provisions of its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 During the years ended December 31, 2009, 2008 and 2007, Lazard Group distributed $17,403, $20,694 and $20,056, respectively, to LAZ-MD Holdings and $33,451, $23,056 and $18,308, respectively, to the subsidiaries of Lazard Ltd, which latter amounts were used by Lazard Ltd to pay dividends to third-party holders of its Class A common stock. In addition, during the years ended December 31, 2009, 2008 and 2007, Lazard Group made tax distributions of $67,360, $83,358 and $109,908, respectively, including $25,316, $39,205 and $60,334, respectively, paid to LAZ-MD Holdings and $42,044, $44,153 and $49,574, respectively, paid to subsidiaries of Lazard Ltd.</w:t>
      </w:r>
    </w:p>
    <w:p>
      <w:pPr>
        <w:spacing w:after="0" w:line="105"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b w:val="1"/>
          <w:bCs w:val="1"/>
          <w:i w:val="1"/>
          <w:iCs w:val="1"/>
          <w:color w:val="auto"/>
        </w:rPr>
        <w:t>Secondary Offerings</w:t>
      </w:r>
      <w:r>
        <w:rPr>
          <w:rFonts w:ascii="Arial" w:cs="Arial" w:eastAsia="Arial" w:hAnsi="Arial"/>
          <w:sz w:val="16"/>
          <w:szCs w:val="16"/>
          <w:color w:val="auto"/>
        </w:rPr>
        <w:t>—Pursuant to a Prospectus Supplement dated September 3, 2008, certain selling shareholders of Lazard Ltd (which include current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former managing directors of Lazard (and certain of our executive officers) who hold LAZ-MD Holdings exchangeable interests and/or Class A common stock) offered to sell 6,442,721 shares of Class A common stock pursuant to an underwriting agreement and pricing agreement.</w:t>
      </w:r>
    </w:p>
    <w:p>
      <w:pPr>
        <w:spacing w:after="0" w:line="9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Pursuant to the underwriting agreement and the pricing agreement, the underwriters had the option to purchase up to an additional 715,858 shares of Class A common stock (together with the offering of 6,442,721 shares of Class A common stock (the “2008 Secondary Offering”)) from the selling shareholders (the “2008 Selling Shareholders”). To the extent that this option was not exercised in full, Lazard Group agreed to separately purchase from the 2008 Selling Shareholders, at the public offering price less the underwriting discount, all of those shares covered by the option and not purchased pursuant to the option. Pursuant to that separate purchase agreement, Lazard Group purchased 68,238 shares of Class A common stock for an aggregate cost of $2,430 ($35.61 per share). In addition, pursuant to the underwriting agreement, Lazard Group also separately purchased 715,858 shares of Class A common stock from the 2008 Selling Shareholders for an aggregate cost of $25,493 ($35.61 per share). The shares of Class A common stock described in this paragraph purchased by Lazard Group were purchased as part of the share repurchase program described below. In the aggregate, the 2008 Selling Shareholders sold a total of 7,874,437 shares of Class A common stock (including 1,472,906 shares of Class A common stock previously exchanged for LAZ-MD Holdings exchangeable interests and 6,401,531 shares of Class A common stock exchanged for LAZ-MD Holdings interests simultaneously with the 2008 Secondary Offering).</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result of the 2008 offering, Lazard Ltd’s ownership interest in Lazard Group increased from 56.8% prior to the offerings to 62.0% subsequent thereto.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Correspondingly, LAZ-MD Holdings’ ownership in Lazard Group decreased from 43.2% prior to the offerings to 38.0% subsequent thereto.</w:t>
      </w:r>
    </w:p>
    <w:p>
      <w:pPr>
        <w:spacing w:after="0" w:line="151"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Lazard Capital Markets LLC (“LCM”), a wholly-owned subsidiary of LFCM Holdings, was a member of the underwriting group for the 2008 Secondary Offering, and, in such capacity, earned revenue, net of estimated underwriting expenses, of approximately $1,852. The business alliance agreement provides for Lazard Group to receive a referral fee equal to approximately one-half of the net revenue obtained by LCM in respect of any underwriting or distribution opportunity referred to it by Lazard Group. In that connection, as of December 31, 2008, Lazard Group had recorded a receivable from LCM of approximately $926, and recognized a corresponding amount of income in “revenue-other.” See Note 21 of Notes to Consolidated Financial Statements for additional information regarding the business alliance agreement.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June 2009, pursuant to a Prospectus Supplement dated June 2, 2009, certain selling shareholders of Lazard Ltd (which include current and former managing directors of Lazard and certain of our executive officers) and their permitted transferees (the “June 2009 Selling Shareholders”) sold 4,000,000 shares of Class A common stock at a price of $26.00 per share (the “June 2009 Secondary Offering”). Separately, in connection with the June 2009 Secondary Offering, Lazard Group agreed to purchase from the June 2009 Selling Shareholders 1,700,000 shares of Class A common stock for an aggregate cost of $44,200 ($26.00 per share), with such purchase being part of the share repurchase program described below. In the aggregate, the June 2009 Selling Shareholders sold a total of 5,700,000 shares of Class A common stock (including 2,110,754 shares of Class A common stock previously received upon the exchange of a like number of LAZ-MD Holdings exchangeable interests and 3,589,246 shares of Class A common stock received upon a simultaneous exchange of a like number of LAZ-MD Holdings exchangeable interests).</w:t>
      </w:r>
    </w:p>
    <w:p>
      <w:pPr>
        <w:spacing w:after="0" w:line="10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September 2009, pursuant to a Prospectus Supplement dated September 8, 2009, certain selling shareholders of Lazard Ltd (which include current and former managing directors of Lazard and certain of our executive officers) and their permitted transferees (the “September 2009 Selling Shareholders”) sold 5,215,921 shares of Class A common stock (including 2,411,001 shares of Class A common stock previously received upon the exchange of a like number of LAZ-MD Holdings exchangeable interests and 2,804,920 shares of Class A common stock received upon a simultaneous exchange of a like number of LAZ-MD Holdings exchangeable interests) at a price of $37.00 per share (the “September 2009 Secondary Offering”, together with the June 2009 Secondary Offering, the “2009 Secondary Offerings”).</w:t>
      </w:r>
    </w:p>
    <w:p>
      <w:pPr>
        <w:spacing w:after="0" w:line="13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Lazard Ltd did not receive any net proceeds from the sales of Class A common stock from the 2008 Secondary Offering and from the 2009 Secondary Offerings (collectively, the “2008 and 2009 Secondary Offerings”).</w:t>
      </w:r>
    </w:p>
    <w:p>
      <w:pPr>
        <w:spacing w:after="0" w:line="118"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b w:val="1"/>
          <w:bCs w:val="1"/>
          <w:i w:val="1"/>
          <w:iCs w:val="1"/>
          <w:color w:val="auto"/>
        </w:rPr>
        <w:t>Exchange of Lazard Group Common Membership Interests</w:t>
      </w:r>
      <w:r>
        <w:rPr>
          <w:rFonts w:ascii="Arial" w:cs="Arial" w:eastAsia="Arial" w:hAnsi="Arial"/>
          <w:sz w:val="18"/>
          <w:szCs w:val="18"/>
          <w:color w:val="auto"/>
        </w:rPr>
        <w:t>—In addition to the simultaneous exchanges that occurred in connection with the 2008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2009 Secondary Offerings, during 2008 and 2009 Lazard Ltd issued 2,910,657 and 7,523,236 shares of Class A common stock, respectively, in connection with the exchange of a like number of common membership interests of Lazard Group (received from members of LAZ-MD Holdings in exchange for a like number of LAZ-MD Holdings exchangeable interests).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Board of Directors of Lazard Ltd had authorized, on a cumulative basis, the repurchase of up to $500,000 in aggregate cost of its Class A common stock and Lazard Group common membership interests through December 31, 2009. Pursuant to this authorization, purchases have been made in the open market or through privately negotiated transactions, and since inception of the program in February 2006 through December 31, 2009, Lazard Group purchased an aggregate of 12,086,767 shares of Class A common stock at an average price of $33.08 per share (including, during the year ended December 31, 2009, 1,984,997 shares at an average price of $25.43 per share, inclusive of the 1,700,000 shares purchased in connection with the June 2009 Secondary Offering described above), and an aggregate of 1,156,675 Lazard Group common membership interests at an average price of $32.58 per common membership interest (including, during the year ended December 31, 2009, 500,924 common membership interests at an average price of $26.52 per common membership interest). As a result of Lazard Group’s delivery of an aggregate of 6,235,992 shares for the settlement of vested restricted stock unit grants (“RSUs”) and deferred stock unit grants (“DSUs”) during the three year period ended December 31, 2009, there were 5,850,775 and 9,376,162 shares of Class A common stock held by Lazard Group at December 31, 2009 and 2008, respectively. Such Class A common shares are reported, at cost, as a reduction of members’ equity within the consolidated statements of financial condition.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of December 31, 2009, $62,542 of the initial $500,000 repurchase authorization under the share repurchase program was unused and expired. On January 27, 2010, the Board of Directors of Lazard Ltd authorized, on a cumulative basis, a new share repurchase program for the repurchase of up to $200,000 in aggregate cost of its Class A common stock and Lazard Group common membership interests through December 31, 2011.</w:t>
      </w:r>
    </w:p>
    <w:p>
      <w:pPr>
        <w:spacing w:after="0" w:line="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expects that the share repurchase program, with respect to the Class A common stock, will be used primarily to offset a portion of the shares that have been or will be issued under the Lazard Ltd 2005 Equity Incentive Plan (the “2005 Plan”) and the Lazard Ltd 2008 Incentive Compensation Plan (the “2008 Plan”).</w:t>
      </w:r>
    </w:p>
    <w:p>
      <w:pPr>
        <w:spacing w:after="0" w:line="12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b w:val="1"/>
          <w:bCs w:val="1"/>
          <w:i w:val="1"/>
          <w:iCs w:val="1"/>
          <w:color w:val="auto"/>
        </w:rPr>
        <w:t>ESU Settlement</w:t>
      </w:r>
      <w:r>
        <w:rPr>
          <w:rFonts w:ascii="Arial" w:cs="Arial" w:eastAsia="Arial" w:hAnsi="Arial"/>
          <w:sz w:val="18"/>
          <w:szCs w:val="18"/>
          <w:color w:val="auto"/>
        </w:rPr>
        <w:t>—Concurrent with Lazard Ltd’s equity public offering on May 10, 2005, Lazard Ltd consummated an initial offering of equity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units (the “ESUs”) in an aggregate offering amount of $287,500, and issued an additional $150,000 aggregate principal amount of ESUs in a private placement. Each ESU was issued for $25 and consisted of (i) a purchase contract (the “purchase contract”) which obligated holders to purchase, and Lazard Ltd to sell, on May 15, 2008, a number of newly issued shares of Class A common stock equal to a settlement rate (the “settlement rate”) based on the trading price of its Class A common stock during a period preceding that date and (ii) a 1/40, or 2.5%, ownership interest in a 6.12% senior note due 2035 of Lazard Group (the “6.12% Senior Notes”).</w:t>
      </w:r>
    </w:p>
    <w:p>
      <w:pPr>
        <w:spacing w:after="0" w:line="5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terms of the ESUs provided for a remarketing of the 6.12% Senior Notes, which commenced on May 2, 2008 (the “remarketing”). In connection with the remarketing, on May 15, 2008 (i) the stated maturity of the 6.12% Senior Notes was reset to May 15, 2010, (ii) the interest rate on the 6.12% Senior Notes was reset to 4.00% per annum and (iii) $437,488 aggregate principal amount of the 6.12% Senior Notes was purchased by Lazard Group. The $12 aggregate principal amount of the 6.12% Senior Notes remaining outstanding has been included in “other liabilities” on the consolidated statement of financial condition at December 31, 2009 and 2008.</w:t>
      </w:r>
    </w:p>
    <w:p>
      <w:pPr>
        <w:spacing w:after="0" w:line="48"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On May 15, 2008, Lazard Ltd settled the purchase contracts with respect to its then outstanding aggregate principal amount of ESUs at the settlement rate and, in connection therewith, the Company issued 14,582,750 common membership interests. This resulted in an increase in members’ equity of $437,500.</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Accumulated Other Comprehensive Income (Loss), Net of Tax</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AOCI at December 31, 2009 and 2008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4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35,890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Interest rate hedge</w:t>
            </w:r>
          </w:p>
        </w:tc>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(5,774)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4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(12,630)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Employee benefit plans</w:t>
            </w:r>
          </w:p>
        </w:tc>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(76,079)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(45,745)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AOCI</w:t>
            </w:r>
          </w:p>
        </w:tc>
        <w:tc>
          <w:tcPr>
            <w:tcW w:w="4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(58,593)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(121,407)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Less amount attributable to noncontrolling interests</w:t>
            </w:r>
          </w:p>
        </w:tc>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199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Lazard Group AOCI</w:t>
            </w:r>
          </w:p>
        </w:tc>
        <w:tc>
          <w:tcPr>
            <w:tcW w:w="4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(58,792)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(121,407)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620" w:type="dxa"/>
            <w:vAlign w:val="bottom"/>
            <w:vMerge w:val="restart"/>
          </w:tcPr>
          <w:p>
            <w:pPr>
              <w:jc w:val="right"/>
              <w:ind w:right="3292"/>
              <w:spacing w:after="0"/>
              <w:rPr>
                <w:sz w:val="20"/>
                <w:szCs w:val="20"/>
                <w:color w:val="auto"/>
              </w:rPr>
            </w:pPr>
            <w:r>
              <w:rPr>
                <w:rFonts w:ascii="Arial" w:cs="Arial" w:eastAsia="Arial" w:hAnsi="Arial"/>
                <w:sz w:val="18"/>
                <w:szCs w:val="18"/>
                <w:color w:val="auto"/>
              </w:rPr>
              <w:t>112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Noncontrolling interests represent interests in various LAM-related GP interests and Edgewater’s management vehicles that the Company is deemed to control but does not own.</w:t>
      </w:r>
    </w:p>
    <w:p>
      <w:pPr>
        <w:spacing w:after="0" w:line="11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tables below summarize noncontrolling interest in net income (loss) for the years ended December 31, 2009, 2008 and 2007 and noncontrolling interest as of December 31, 2009 and 2008 in the Company’s consolidated financial statements: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060" w:type="dxa"/>
            <w:vAlign w:val="bottom"/>
            <w:gridSpan w:val="13"/>
          </w:tcPr>
          <w:p>
            <w:pPr>
              <w:jc w:val="center"/>
              <w:ind w:right="20"/>
              <w:spacing w:after="0"/>
              <w:rPr>
                <w:sz w:val="20"/>
                <w:szCs w:val="20"/>
                <w:color w:val="auto"/>
              </w:rPr>
            </w:pPr>
            <w:r>
              <w:rPr>
                <w:rFonts w:ascii="Arial" w:cs="Arial" w:eastAsia="Arial" w:hAnsi="Arial"/>
                <w:sz w:val="14"/>
                <w:szCs w:val="14"/>
                <w:b w:val="1"/>
                <w:bCs w:val="1"/>
                <w:color w:val="auto"/>
                <w:w w:val="86"/>
              </w:rPr>
              <w:t>Noncontrolling Interests in Net Income</w:t>
            </w: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56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20"/>
              <w:spacing w:after="0" w:line="142" w:lineRule="exact"/>
              <w:rPr>
                <w:sz w:val="20"/>
                <w:szCs w:val="20"/>
                <w:color w:val="auto"/>
              </w:rPr>
            </w:pPr>
            <w:r>
              <w:rPr>
                <w:rFonts w:ascii="Arial" w:cs="Arial" w:eastAsia="Arial" w:hAnsi="Arial"/>
                <w:sz w:val="14"/>
                <w:szCs w:val="14"/>
                <w:b w:val="1"/>
                <w:bCs w:val="1"/>
                <w:color w:val="auto"/>
                <w:w w:val="89"/>
              </w:rPr>
              <w:t>2008</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LAM GPs</w:t>
            </w:r>
          </w:p>
        </w:tc>
        <w:tc>
          <w:tcPr>
            <w:tcW w:w="4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$ 266</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9"/>
              </w:rPr>
              <w:t>(13,348)</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Edgewater</w:t>
            </w:r>
          </w:p>
        </w:tc>
        <w:tc>
          <w:tcPr>
            <w:tcW w:w="4500" w:type="dxa"/>
            <w:vAlign w:val="bottom"/>
            <w:gridSpan w:val="3"/>
          </w:tcPr>
          <w:p>
            <w:pPr>
              <w:jc w:val="right"/>
              <w:ind w:right="140"/>
              <w:spacing w:after="0"/>
              <w:rPr>
                <w:sz w:val="20"/>
                <w:szCs w:val="20"/>
                <w:color w:val="auto"/>
              </w:rPr>
            </w:pPr>
            <w:r>
              <w:rPr>
                <w:rFonts w:ascii="Arial" w:cs="Arial" w:eastAsia="Arial" w:hAnsi="Arial"/>
                <w:sz w:val="18"/>
                <w:szCs w:val="18"/>
                <w:color w:val="auto"/>
              </w:rPr>
              <w:t>2,927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8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8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80" w:type="dxa"/>
            <w:vAlign w:val="bottom"/>
            <w:vMerge w:val="continue"/>
          </w:tcPr>
          <w:p>
            <w:pPr>
              <w:spacing w:after="0"/>
              <w:rPr>
                <w:sz w:val="19"/>
                <w:szCs w:val="19"/>
                <w:color w:val="auto"/>
              </w:rPr>
            </w:pPr>
          </w:p>
        </w:tc>
        <w:tc>
          <w:tcPr>
            <w:tcW w:w="38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$ 2,832</w:t>
            </w: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w w:val="89"/>
              </w:rPr>
              <w:t>(13,333)</w:t>
            </w: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5,144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8"/>
          </w:tcPr>
          <w:p>
            <w:pPr>
              <w:ind w:left="100"/>
              <w:spacing w:after="0"/>
              <w:rPr>
                <w:sz w:val="20"/>
                <w:szCs w:val="20"/>
                <w:color w:val="auto"/>
              </w:rPr>
            </w:pPr>
            <w:r>
              <w:rPr>
                <w:rFonts w:ascii="Arial" w:cs="Arial" w:eastAsia="Arial" w:hAnsi="Arial"/>
                <w:sz w:val="14"/>
                <w:szCs w:val="14"/>
                <w:b w:val="1"/>
                <w:bCs w:val="1"/>
                <w:color w:val="auto"/>
              </w:rPr>
              <w:t>Noncontrolling Interests</w:t>
            </w: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8"/>
          </w:tcPr>
          <w:p>
            <w:pPr>
              <w:ind w:left="2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LAM GPs</w:t>
            </w:r>
          </w:p>
        </w:tc>
        <w:tc>
          <w:tcPr>
            <w:tcW w:w="3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13,409</w:t>
            </w:r>
          </w:p>
        </w:tc>
        <w:tc>
          <w:tcPr>
            <w:tcW w:w="40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Edgewater</w:t>
            </w:r>
          </w:p>
        </w:tc>
        <w:tc>
          <w:tcPr>
            <w:tcW w:w="3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112,158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Total</w:t>
            </w:r>
          </w:p>
        </w:tc>
        <w:tc>
          <w:tcPr>
            <w:tcW w:w="3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5"/>
          </w:tcPr>
          <w:p>
            <w:pPr>
              <w:jc w:val="right"/>
              <w:spacing w:after="0"/>
              <w:rPr>
                <w:sz w:val="20"/>
                <w:szCs w:val="20"/>
                <w:color w:val="auto"/>
              </w:rPr>
            </w:pPr>
            <w:r>
              <w:rPr>
                <w:rFonts w:ascii="Arial" w:cs="Arial" w:eastAsia="Arial" w:hAnsi="Arial"/>
                <w:sz w:val="18"/>
                <w:szCs w:val="18"/>
                <w:color w:val="auto"/>
              </w:rPr>
              <w:t>$ 127,560</w:t>
            </w:r>
          </w:p>
        </w:tc>
        <w:tc>
          <w:tcPr>
            <w:tcW w:w="400" w:type="dxa"/>
            <w:vAlign w:val="bottom"/>
          </w:tcPr>
          <w:p>
            <w:pPr>
              <w:spacing w:after="0"/>
              <w:rPr>
                <w:sz w:val="19"/>
                <w:szCs w:val="19"/>
                <w:color w:val="auto"/>
              </w:rPr>
            </w:pPr>
          </w:p>
        </w:tc>
        <w:tc>
          <w:tcPr>
            <w:tcW w:w="2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20,881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years ended December 31, 2009, 2008 and 2007, is presented below.</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restricted stock, stock units and other equity-based awards. Each stock unit granted under the 2005 Plan represents a contingent right to receive one share of Class A common stock, at no cost to the recipient. The fair value of such stock unit awards is determined based on the closing market price of Lazard Ltd’s Class A common stock at the date of grant.</w:t>
      </w:r>
    </w:p>
    <w:p>
      <w:pPr>
        <w:spacing w:after="0" w:line="13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to the shares available under the 2005 Plan, additional shares of Class A common stock are available under the 2008 Plan, which was approved by the stockholders of Lazard Ltd on May 6, 2008.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and Deferred Stock Units</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RSUs require future service as a condition for the delivery of the underlying shares of Class A common stock and convert into Class A common stock on a one-for-one basis after the stipulated vesting periods. The grant date fair value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of the RSUs, net of an estimated forfeiture rate, is amortized over the vesting periods or requisite service periods. Expense relating to RSUs is charged to “compensation and benefits” expense (and, as applicable in 2009, “restructuring” expense, with respect to the expense associated with the acceleration of unrecognized expense pertaining to RSUs granted previously to individuals who were terminated in the restructuring) within the consolidated statements of operations, and amounted to $358,062 (including a charge of $86,514 relating to the acceleration of the amortization expense relating to the vesting of RSUs held by Lazard’s former Chairman and Chief Executive Officer as a result of his death in October 2009 and $24,239 in restructuring expense recognized in the first quarter of 2009), $234,602 and $104,765 for the years ended December 31, 2009, 2008 and 2007, respectively. RSUs issued subsequent to December 31, 2005 generally include a dividend participation right that provides that during vesting periods each RSU is attributed additional RSUs (or fractions thereof) equivalent to any ordinary quarterly dividends paid on Class A common stock during such period. During the years ended December 31, 2009, 2008 and 2007, dividend participation rights required the issuance of 331,642, 208,596 and 55,836 RSUs, respectively.</w:t>
      </w:r>
    </w:p>
    <w:p>
      <w:pPr>
        <w:spacing w:after="0" w:line="10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Non-executive members of the Board of Directors of Lazard Group (who are also the same Non-Executive Directors of Lazard Ltd) receive approximately 55% of their annual compensation for service on the Board of Directors and its committees in the form of DSUs resulting in 36,627, 28,090, and 12,459 DSUs granted during the years ended December 31, 2009, 2008 and 2007, respectively. Their remaining compensation is payable in cash, which they may elect to receive in the form of additional DSUs under the Directors’ Fee Deferral Unit Plan described below. DSUs are convertible into Class A common stock at the time of cessation of service to the Board. The DSUs include a cash dividend participation right equivalent to any ordinary quarterly dividends paid on Class A common stock resulting in nominal cash payments for the years ended December 31, 2009, 2008 and 2007. DSU awards are expensed at their fair value on their date of grant, which, inclusive of amounts related to the Directors’ Fee Deferral Unit Plan, totaled $658, $666 and $411 during the years ended December 31, 2009, 2008 and 2007, respectively.</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May 9, 2006, the Board of Directors adopted the Directors’ Fee Deferral Unit Plan, which allows the Company’s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on which the foregone cash fees would otherwise have been paid. During the years ended December 31, 2009, 2008 and 2007, 8,899, 7,694 and 3,161 DSUs, respectively, had been granted pursuant such Plan.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three-year period ended December 31, 2009:</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RSUs</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DSUs</w:t>
            </w:r>
          </w:p>
        </w:tc>
        <w:tc>
          <w:tcPr>
            <w:tcW w:w="580" w:type="dxa"/>
            <w:vAlign w:val="bottom"/>
            <w:tcBorders>
              <w:bottom w:val="single" w:sz="8" w:color="auto"/>
            </w:tcBorders>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6"/>
              </w:rPr>
              <w:t>Average</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2"/>
              </w:rPr>
              <w:t>Grant Date</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ind w:left="32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8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Units</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280" w:type="dxa"/>
            <w:vAlign w:val="bottom"/>
          </w:tcPr>
          <w:p>
            <w:pPr>
              <w:spacing w:after="0"/>
              <w:rPr>
                <w:sz w:val="14"/>
                <w:szCs w:val="14"/>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Units</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4,009,382</w:t>
            </w:r>
          </w:p>
        </w:tc>
        <w:tc>
          <w:tcPr>
            <w:tcW w:w="3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19,690</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84"/>
              </w:rPr>
              <w:t>35.71</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Granted (including 55,836 RSUs relating to dividend participation)</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5,873,905</w:t>
            </w:r>
          </w:p>
        </w:tc>
        <w:tc>
          <w:tcPr>
            <w:tcW w:w="34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49.28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15,620</w:t>
            </w:r>
          </w:p>
        </w:tc>
        <w:tc>
          <w:tcPr>
            <w:tcW w:w="60" w:type="dxa"/>
            <w:vAlign w:val="bottom"/>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center"/>
              <w:ind w:left="74"/>
              <w:spacing w:after="0"/>
              <w:rPr>
                <w:sz w:val="20"/>
                <w:szCs w:val="20"/>
                <w:color w:val="auto"/>
              </w:rPr>
            </w:pPr>
            <w:r>
              <w:rPr>
                <w:rFonts w:ascii="Arial" w:cs="Arial" w:eastAsia="Arial" w:hAnsi="Arial"/>
                <w:sz w:val="18"/>
                <w:szCs w:val="18"/>
                <w:color w:val="auto"/>
                <w:w w:val="84"/>
              </w:rPr>
              <w:t>52.55</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(294,145)</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99"/>
              </w:rPr>
              <w:t>—</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Vested/Converted</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(81,207)</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47.15</w:t>
            </w:r>
          </w:p>
        </w:tc>
        <w:tc>
          <w:tcPr>
            <w:tcW w:w="2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center"/>
              <w:ind w:left="114"/>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2007</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9,507,935</w:t>
            </w:r>
          </w:p>
        </w:tc>
        <w:tc>
          <w:tcPr>
            <w:tcW w:w="3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2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35,310</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84"/>
              </w:rPr>
              <w:t>43.16</w:t>
            </w:r>
          </w:p>
        </w:tc>
      </w:tr>
      <w:tr>
        <w:trPr>
          <w:trHeight w:val="322"/>
        </w:trPr>
        <w:tc>
          <w:tcPr>
            <w:tcW w:w="6500" w:type="dxa"/>
            <w:vAlign w:val="bottom"/>
            <w:gridSpan w:val="2"/>
          </w:tcPr>
          <w:p>
            <w:pPr>
              <w:spacing w:after="0"/>
              <w:rPr>
                <w:sz w:val="20"/>
                <w:szCs w:val="20"/>
                <w:color w:val="auto"/>
              </w:rPr>
            </w:pPr>
            <w:r>
              <w:rPr>
                <w:rFonts w:ascii="Arial" w:cs="Arial" w:eastAsia="Arial" w:hAnsi="Arial"/>
                <w:sz w:val="18"/>
                <w:szCs w:val="18"/>
                <w:color w:val="auto"/>
              </w:rPr>
              <w:t>Granted (including 208,596 RSUs relating to dividend participation)</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14,032,621</w:t>
            </w:r>
          </w:p>
        </w:tc>
        <w:tc>
          <w:tcPr>
            <w:tcW w:w="340" w:type="dxa"/>
            <w:vAlign w:val="bottom"/>
          </w:tcPr>
          <w:p>
            <w:pPr>
              <w:spacing w:after="0"/>
              <w:rPr>
                <w:sz w:val="24"/>
                <w:szCs w:val="24"/>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37.02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35,784</w:t>
            </w:r>
          </w:p>
        </w:tc>
        <w:tc>
          <w:tcPr>
            <w:tcW w:w="60" w:type="dxa"/>
            <w:vAlign w:val="bottom"/>
          </w:tcPr>
          <w:p>
            <w:pPr>
              <w:spacing w:after="0"/>
              <w:rPr>
                <w:sz w:val="24"/>
                <w:szCs w:val="24"/>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center"/>
              <w:ind w:left="74"/>
              <w:spacing w:after="0"/>
              <w:rPr>
                <w:sz w:val="20"/>
                <w:szCs w:val="20"/>
                <w:color w:val="auto"/>
              </w:rPr>
            </w:pPr>
            <w:r>
              <w:rPr>
                <w:rFonts w:ascii="Arial" w:cs="Arial" w:eastAsia="Arial" w:hAnsi="Arial"/>
                <w:sz w:val="18"/>
                <w:szCs w:val="18"/>
                <w:color w:val="auto"/>
                <w:w w:val="84"/>
              </w:rPr>
              <w:t>37.19</w:t>
            </w:r>
          </w:p>
        </w:tc>
      </w:tr>
      <w:tr>
        <w:trPr>
          <w:trHeight w:val="218"/>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(635,753)</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99"/>
              </w:rPr>
              <w:t>—</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Vested/Converted</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(763,335)</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37.90</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(5,838)</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center"/>
              <w:ind w:left="74"/>
              <w:spacing w:after="0"/>
              <w:rPr>
                <w:sz w:val="20"/>
                <w:szCs w:val="20"/>
                <w:color w:val="auto"/>
              </w:rPr>
            </w:pPr>
            <w:r>
              <w:rPr>
                <w:rFonts w:ascii="Arial" w:cs="Arial" w:eastAsia="Arial" w:hAnsi="Arial"/>
                <w:sz w:val="18"/>
                <w:szCs w:val="18"/>
                <w:color w:val="auto"/>
                <w:w w:val="84"/>
              </w:rPr>
              <w:t>38.28</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2008</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22,141,468</w:t>
            </w:r>
          </w:p>
        </w:tc>
        <w:tc>
          <w:tcPr>
            <w:tcW w:w="3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2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65,256</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84"/>
              </w:rPr>
              <w:t>40.32</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Granted (including 331,642 RSUs relating to dividend participation)</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8,006,287</w:t>
            </w:r>
          </w:p>
        </w:tc>
        <w:tc>
          <w:tcPr>
            <w:tcW w:w="34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31.50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45,526</w:t>
            </w:r>
          </w:p>
        </w:tc>
        <w:tc>
          <w:tcPr>
            <w:tcW w:w="60" w:type="dxa"/>
            <w:vAlign w:val="bottom"/>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center"/>
              <w:ind w:left="74"/>
              <w:spacing w:after="0"/>
              <w:rPr>
                <w:sz w:val="20"/>
                <w:szCs w:val="20"/>
                <w:color w:val="auto"/>
              </w:rPr>
            </w:pPr>
            <w:r>
              <w:rPr>
                <w:rFonts w:ascii="Arial" w:cs="Arial" w:eastAsia="Arial" w:hAnsi="Arial"/>
                <w:sz w:val="18"/>
                <w:szCs w:val="18"/>
                <w:color w:val="auto"/>
                <w:w w:val="84"/>
              </w:rPr>
              <w:t>28.92</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(831,022)</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99"/>
              </w:rPr>
              <w:t>—</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Vested/Converted</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(5,948,920)</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37.64</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(7,636)</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center"/>
              <w:ind w:left="74"/>
              <w:spacing w:after="0"/>
              <w:rPr>
                <w:sz w:val="20"/>
                <w:szCs w:val="20"/>
                <w:color w:val="auto"/>
              </w:rPr>
            </w:pPr>
            <w:r>
              <w:rPr>
                <w:rFonts w:ascii="Arial" w:cs="Arial" w:eastAsia="Arial" w:hAnsi="Arial"/>
                <w:sz w:val="18"/>
                <w:szCs w:val="18"/>
                <w:color w:val="auto"/>
                <w:w w:val="84"/>
              </w:rPr>
              <w:t>34.05</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2009</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23,367,813</w:t>
            </w:r>
          </w:p>
        </w:tc>
        <w:tc>
          <w:tcPr>
            <w:tcW w:w="3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28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103,146</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84"/>
              </w:rPr>
              <w:t>35.75</w:t>
            </w: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During the years ended December 31, 2009 and 2008, 5,948,920 RSUs (including the acceleration of 4,406,440 RSUs held by Lazard’s former Chairman and Chief Executive Officer as a result of his death) and 763,335 RSUs vested, respectively. In connection therewith, and after considering the withholding tax obligations pertaining thereto, 5,502,748 and 639,016 shares of Class A common stock held by Lazard Group were delivered during the years ended December 31, 2009 and 2008, respectively.</w:t>
      </w:r>
    </w:p>
    <w:p>
      <w:pPr>
        <w:spacing w:after="0" w:line="13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As of December 31, 2009 and 2008, unrecognized RSU compensation expense, adjusted for estimated forfeitures, was approximately $301,413 and $457,839, respectively, with such unrecognized compensation expense at December 31, 2009 expected to be recognized over a weighted average period of approximately 1.6 years. The ultimate amount of such expense is dependent upon the actual number of RSUs that vest. The Company periodically assesses the forfeiture rates used for such estimates. A change in estimated forfeiture rates would cause the aggregate amount of compensation expense recognized in future periods to differ from the estimated unrecognized compensation expense described herein.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Incentive Awards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portion of the incentive awards granted in February 2009 included a deferred cash component, which was originally scheduled to vest over a maximum period of four years. During the fourth quarter of 2009, in connection with a review of the Company’s compensation policy, the Company accelerated the vesting of the then unamortized portion of such previously awarded deferred cash incentive awards which resulted in a pre-tax charge to “compensation and benefits” expense of $60,512.</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40"/>
          </w:cols>
          <w:pgMar w:left="240" w:top="459" w:right="31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Incentive Awards Granted In February 2010</w:t>
      </w:r>
    </w:p>
    <w:p>
      <w:pPr>
        <w:spacing w:after="0" w:line="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February 2010, the Company granted 6,477,409 RSUs to eligible employees, one-third of which vest on March 1, 2012 and two-thirds of which vest on March 1, 2013, and had an aggregate fair value on the date of grant of $36.10 per RSU. The compensation expense with respect to such RSU awards will be recognized over a weighted average period of 2.7 years.</w:t>
      </w:r>
    </w:p>
    <w:p>
      <w:pPr>
        <w:spacing w:after="0" w:line="127"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contribution and defined benefit pension plans and other post-retirement plans. These plans generally provide benefits to participants based on average levels of compensation. Expenses (benefits) related to the Company’s employee benefit plans are included in “compensation and benefits” expense on the consolidated statements of operations.</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Effective January 31, 2005, the Company’s U.S. defined benefit pension plans were amended to cease future benefit accruals and future participation. As a result of such amendment, active participants continue to receive credit for service completed after January 31, 2005 for purposes of vesting; however, future service is not taken into consideration for purposes of future benefit accruals under these plans. Vested benefits for active participants as of January 31, 2005 have been retained.</w:t>
      </w:r>
    </w:p>
    <w:p>
      <w:pPr>
        <w:spacing w:after="0" w:line="13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Effective March 31, 2006, certain of the Company’s non-U.S. pension plans were amended to cease future accruals. As a result of such amendment, future service and compensation increases will not be taken into account for purposes of future benefit accruals under these plans. Vested benefits for active participants as of March 31, 2006 were retained.</w:t>
      </w:r>
    </w:p>
    <w:p>
      <w:pPr>
        <w:spacing w:after="0" w:line="12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Company also offers a partially funded contributory post-retirement medical plan covering qualifying U.S. employees (the “Medical Plan”). The Medical Plan pays a stated percentage of most necessary medical expenses incurred by retirees, after subtracting payments by Medicare or other providers and after stated deductibles have been met. Participants become eligible for benefits if they retire from the Company after meeting certain age and service requirements. Effective January 1, 2005, post-retirement health care benefits are no longer offered to those managing directors and employees hired on or after January 1, 2005 and for those managing directors and employees hired before January 1, 2005 who did not attain the age of 40 before December 31, 2005. In addition, effective January 1, 2006, the cost sharing policy changed for those who qualify for the benefit. The plan was amended effective January 1, 2008, such that previously ineligible managing directors and employees who meet the Medical Plan’s age and service requirements have the ability, upon retirement, to elect to purchase medical coverage through the Medical Plan at no cost to the Company. The Company will continue to contribute towards the cost of retiree medical premiums for those employees hired before January 1, 2005 who were age 55 or older on or before December 31, 2005.</w:t>
      </w:r>
    </w:p>
    <w:p>
      <w:pPr>
        <w:spacing w:after="0" w:line="10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Employer Contributions to Pension Plans—</w:t>
      </w:r>
      <w:r>
        <w:rPr>
          <w:rFonts w:ascii="Arial" w:cs="Arial" w:eastAsia="Arial" w:hAnsi="Arial"/>
          <w:sz w:val="16"/>
          <w:szCs w:val="16"/>
          <w:color w:val="auto"/>
        </w:rPr>
        <w:t>The Company’s funding policy for its U.S. and non-U.S. pension plans is to fund when required or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upon an agreement with the plans’ Trustees. Management also evaluates from time to time whether to make voluntary contributions to the plans. For the U.S. pension plans, there were no minimum required cash contributions and no voluntary cash contributions for the year ended December 31, 2009.</w:t>
      </w:r>
    </w:p>
    <w:p>
      <w:pPr>
        <w:spacing w:after="0" w:line="9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accordance with agreements reached with the Trustees of certain non-U.S. pension plans in 2005, the Company contributed a final committed payment of approximately $16,200 (8.2 million British pounds) during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year ended December 31, 2008. Under the same agreements, the Company is contingently obligated to make further contributions to such pension plans depending on the cumulative performance of the plans’ assets against specific benchmarks as measured on June 1, 2009 (the “measurement date”) and subsequently on June 1, 2010 (the “remeasurement date”). The obligation related to the cumulative underperformance of the plans’ assets (the “underperformance obligation”) at the measurement date was 11.5 million British pounds ($18,654 at December 31, 2009 exchange rates) which is payable over four years commencing June 1, 2009 in equal monthly installments, and will be subject to further adjustment on the remeasurement date. During the year ended December 31, 2009, the Company contributed approximately $2,600 (1.7 million British pounds) with respect to the underperformance obligation.</w:t>
      </w:r>
    </w:p>
    <w:p>
      <w:pPr>
        <w:spacing w:after="0" w:line="107"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In addition, on June 30, 2009 the Company and Trustees concluded the December 31, 2007 triennial valuation of the non-U.S. pension plans discussed above, pursuant to which: (i) the Company agreed to contribute 2.3 million British pounds ($3,731 at December 31, 2009 exchange rates), during each year from 2011 to 2018 inclusive, subject to adjustment resulting from the December 31, 2010 triennial valuation, which the Company expects to have concluded prior to the contribution payment scheduled for 2011, and (ii) to secure the Company’s obligations thereunder, on July 15, 2009 the Company placed in escrow</w:t>
      </w:r>
    </w:p>
    <w:p>
      <w:pPr>
        <w:spacing w:after="0" w:line="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12.5 million British pounds, with a final redemption date of December 31, 2018. Income on the escrow balance accretes to the Company. This amount is subject to adjustment based on the results of the December 31, 2010 triennial valuation and subsequent triennial valuations. The escrow balance as of December 31, 2009 has been recorded in “cash deposited with clearing organizations and other segregated cash” and “investments: debt-other” in the amounts of 6.25 million British pounds and 6.25 million British pounds ($10,138 and $10,138 at December 31, 2009 exchange rates), respectively, on the accompanying consolidated statement of financial condition as of December 31, 2009.</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During the year ended December 31, 2009, contributions were made to other non-U.S. pension plans amounting to approximately $4,900. The Company is expected to contribute approximately the same amount in the year ending December 31, 2010.</w:t>
      </w:r>
    </w:p>
    <w:p>
      <w:pPr>
        <w:spacing w:after="0" w:line="118" w:lineRule="exact"/>
        <w:rPr>
          <w:sz w:val="20"/>
          <w:szCs w:val="20"/>
          <w:color w:val="auto"/>
        </w:rPr>
      </w:pPr>
    </w:p>
    <w:p>
      <w:pPr>
        <w:jc w:val="both"/>
        <w:ind w:right="620" w:firstLine="456"/>
        <w:spacing w:after="0" w:line="259" w:lineRule="auto"/>
        <w:rPr>
          <w:sz w:val="20"/>
          <w:szCs w:val="20"/>
          <w:color w:val="auto"/>
        </w:rPr>
      </w:pPr>
      <w:r>
        <w:rPr>
          <w:rFonts w:ascii="Arial" w:cs="Arial" w:eastAsia="Arial" w:hAnsi="Arial"/>
          <w:sz w:val="18"/>
          <w:szCs w:val="18"/>
          <w:color w:val="auto"/>
        </w:rPr>
        <w:t>The following table summarizes the changes in the benefit obligations, the fair value of the assets, the funded status and amounts recognized in the consolidated statements of financial condition for the U.S. defined benefit pension plan and post-retirement Medical Plan and plans outside the U.S. The Company uses a December 31 measurement date for its employee benefit plans.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0"/>
              </w:rPr>
              <w:t>Pension</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Plans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Medical Plan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2009</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52"/>
              <w:spacing w:after="0"/>
              <w:rPr>
                <w:sz w:val="20"/>
                <w:szCs w:val="20"/>
                <w:color w:val="auto"/>
              </w:rPr>
            </w:pPr>
            <w:r>
              <w:rPr>
                <w:rFonts w:ascii="Arial" w:cs="Arial" w:eastAsia="Arial" w:hAnsi="Arial"/>
                <w:sz w:val="18"/>
                <w:szCs w:val="18"/>
                <w:color w:val="auto"/>
                <w:w w:val="86"/>
              </w:rPr>
              <w:t>367,789</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553,950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6,734</w:t>
            </w:r>
          </w:p>
        </w:tc>
        <w:tc>
          <w:tcPr>
            <w:tcW w:w="2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1,432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52"/>
              <w:spacing w:after="0"/>
              <w:rPr>
                <w:sz w:val="20"/>
                <w:szCs w:val="20"/>
                <w:color w:val="auto"/>
              </w:rPr>
            </w:pPr>
            <w:r>
              <w:rPr>
                <w:rFonts w:ascii="Arial" w:cs="Arial" w:eastAsia="Arial" w:hAnsi="Arial"/>
                <w:sz w:val="18"/>
                <w:szCs w:val="18"/>
                <w:color w:val="auto"/>
              </w:rPr>
              <w:t>27,419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28,987</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Amendments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(2,449)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Actuarial (gain) loss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52"/>
              <w:spacing w:after="0"/>
              <w:rPr>
                <w:sz w:val="20"/>
                <w:szCs w:val="20"/>
                <w:color w:val="auto"/>
              </w:rPr>
            </w:pPr>
            <w:r>
              <w:rPr>
                <w:rFonts w:ascii="Arial" w:cs="Arial" w:eastAsia="Arial" w:hAnsi="Arial"/>
                <w:sz w:val="18"/>
                <w:szCs w:val="18"/>
                <w:color w:val="auto"/>
              </w:rPr>
              <w:t>47,745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(50,316)</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(1,406)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92"/>
              </w:rPr>
              <w:t>(22,201)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(18,705)</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Foreign currency translation and other adjustments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105,723</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(146,127)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end of year</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525,458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367,789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5,358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6,734</w:t>
            </w:r>
          </w:p>
        </w:tc>
        <w:tc>
          <w:tcPr>
            <w:tcW w:w="0" w:type="dxa"/>
            <w:vAlign w:val="bottom"/>
          </w:tcPr>
          <w:p>
            <w:pPr>
              <w:spacing w:after="0"/>
              <w:rPr>
                <w:sz w:val="1"/>
                <w:szCs w:val="1"/>
                <w:color w:val="auto"/>
              </w:rPr>
            </w:pPr>
          </w:p>
        </w:tc>
      </w:tr>
      <w:tr>
        <w:trPr>
          <w:trHeight w:val="221"/>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Change in plan assets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beginning of year</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86"/>
              </w:rPr>
              <w:t>400,364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574,194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52"/>
              <w:spacing w:after="0"/>
              <w:rPr>
                <w:sz w:val="20"/>
                <w:szCs w:val="20"/>
                <w:color w:val="auto"/>
              </w:rPr>
            </w:pPr>
            <w:r>
              <w:rPr>
                <w:rFonts w:ascii="Arial" w:cs="Arial" w:eastAsia="Arial" w:hAnsi="Arial"/>
                <w:sz w:val="18"/>
                <w:szCs w:val="18"/>
                <w:color w:val="auto"/>
              </w:rPr>
              <w:t>53,499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(26,004)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7,581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16,208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Benefits paid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92"/>
              <w:spacing w:after="0"/>
              <w:rPr>
                <w:sz w:val="20"/>
                <w:szCs w:val="20"/>
                <w:color w:val="auto"/>
              </w:rPr>
            </w:pPr>
            <w:r>
              <w:rPr>
                <w:rFonts w:ascii="Arial" w:cs="Arial" w:eastAsia="Arial" w:hAnsi="Arial"/>
                <w:sz w:val="18"/>
                <w:szCs w:val="18"/>
                <w:color w:val="auto"/>
                <w:w w:val="92"/>
              </w:rPr>
              <w:t>(22,201)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(18,705)</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and other adjustments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85,413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(145,329)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Fair value of plan assets at end of year</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524,656</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400,364</w:t>
            </w:r>
          </w:p>
        </w:tc>
        <w:tc>
          <w:tcPr>
            <w:tcW w:w="80" w:type="dxa"/>
            <w:vAlign w:val="bottom"/>
          </w:tcPr>
          <w:p>
            <w:pPr>
              <w:spacing w:after="0"/>
              <w:rPr>
                <w:sz w:val="19"/>
                <w:szCs w:val="19"/>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Funded surplus (deficit) at end of year</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(802)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32,575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(5,358)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(6,734)</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w w:val="90"/>
              </w:rPr>
              <w:t>Amounts recognized in the consolidated statements of financial condition at December 31, 2009 and</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2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2008 consist of:</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pension asset (included in “other assets”)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27,386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39,589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Accrued benefit liability (included in “other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92"/>
              <w:spacing w:after="0"/>
              <w:rPr>
                <w:sz w:val="20"/>
                <w:szCs w:val="20"/>
                <w:color w:val="auto"/>
              </w:rPr>
            </w:pPr>
            <w:r>
              <w:rPr>
                <w:rFonts w:ascii="Arial" w:cs="Arial" w:eastAsia="Arial" w:hAnsi="Arial"/>
                <w:sz w:val="18"/>
                <w:szCs w:val="18"/>
                <w:color w:val="auto"/>
                <w:w w:val="92"/>
              </w:rPr>
              <w:t>(28,188)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(7,014)</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(5,358)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(6,734)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amount recognized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(802)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32,575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(5,358)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(6,734)</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Amounts recognized in AOCI (excluding tax charge (benefit) of $(10,219) and $3,196 at</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2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December 31, 2009 and 2008, respectively) consist of:</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Actuarial net (gain) loss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66,113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43,980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Prior service (credit) cost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21,641</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(1,023)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(2,404)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amount recognized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87,754</w:t>
            </w:r>
          </w:p>
        </w:tc>
        <w:tc>
          <w:tcPr>
            <w:tcW w:w="4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43,980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(1,456)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summarizes the fair value of plan assets, the accumulated benefit obligation and the projected benefit obligation at December 31, 2009 and 2008:</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0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3"/>
              </w:rPr>
              <w:t>U.S. Pension Plans</w:t>
            </w:r>
          </w:p>
        </w:tc>
        <w:tc>
          <w:tcPr>
            <w:tcW w:w="192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Non-U.S. Pension Plans</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3"/>
              </w:rPr>
              <w:t>Total</w:t>
            </w:r>
          </w:p>
        </w:tc>
      </w:tr>
      <w:tr>
        <w:trPr>
          <w:trHeight w:val="161"/>
        </w:trPr>
        <w:tc>
          <w:tcPr>
            <w:tcW w:w="5120" w:type="dxa"/>
            <w:vAlign w:val="bottom"/>
          </w:tcPr>
          <w:p>
            <w:pPr>
              <w:spacing w:after="0"/>
              <w:rPr>
                <w:sz w:val="14"/>
                <w:szCs w:val="14"/>
                <w:color w:val="auto"/>
              </w:rPr>
            </w:pPr>
          </w:p>
        </w:tc>
        <w:tc>
          <w:tcPr>
            <w:tcW w:w="20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6"/>
              </w:rPr>
              <w:t>As Of December 31,</w:t>
            </w:r>
          </w:p>
        </w:tc>
        <w:tc>
          <w:tcPr>
            <w:tcW w:w="192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rPr>
              <w:t>As Of December 31,</w:t>
            </w:r>
          </w:p>
        </w:tc>
        <w:tc>
          <w:tcPr>
            <w:tcW w:w="340" w:type="dxa"/>
            <w:vAlign w:val="bottom"/>
          </w:tcPr>
          <w:p>
            <w:pPr>
              <w:spacing w:after="0"/>
              <w:rPr>
                <w:sz w:val="14"/>
                <w:szCs w:val="14"/>
                <w:color w:val="auto"/>
              </w:rPr>
            </w:pPr>
          </w:p>
        </w:tc>
        <w:tc>
          <w:tcPr>
            <w:tcW w:w="19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As Of December 31,</w:t>
            </w:r>
          </w:p>
        </w:tc>
      </w:tr>
      <w:tr>
        <w:trPr>
          <w:trHeight w:val="142"/>
        </w:trPr>
        <w:tc>
          <w:tcPr>
            <w:tcW w:w="51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$22,325</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$20,332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$502,331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$380,032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$524,656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$400,364</w:t>
            </w:r>
          </w:p>
        </w:tc>
        <w:tc>
          <w:tcPr>
            <w:tcW w:w="2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700" w:type="dxa"/>
            <w:vAlign w:val="bottom"/>
          </w:tcPr>
          <w:p>
            <w:pPr>
              <w:jc w:val="right"/>
              <w:spacing w:after="0"/>
              <w:rPr>
                <w:sz w:val="20"/>
                <w:szCs w:val="20"/>
                <w:color w:val="auto"/>
              </w:rPr>
            </w:pPr>
            <w:r>
              <w:rPr>
                <w:rFonts w:ascii="Arial" w:cs="Arial" w:eastAsia="Arial" w:hAnsi="Arial"/>
                <w:sz w:val="18"/>
                <w:szCs w:val="18"/>
                <w:color w:val="auto"/>
              </w:rPr>
              <w:t>$26,263</w:t>
            </w:r>
          </w:p>
        </w:tc>
        <w:tc>
          <w:tcPr>
            <w:tcW w:w="3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$27,346</w:t>
            </w:r>
          </w:p>
        </w:tc>
        <w:tc>
          <w:tcPr>
            <w:tcW w:w="780" w:type="dxa"/>
            <w:vAlign w:val="bottom"/>
          </w:tcPr>
          <w:p>
            <w:pPr>
              <w:jc w:val="right"/>
              <w:spacing w:after="0"/>
              <w:rPr>
                <w:sz w:val="20"/>
                <w:szCs w:val="20"/>
                <w:color w:val="auto"/>
              </w:rPr>
            </w:pPr>
            <w:r>
              <w:rPr>
                <w:rFonts w:ascii="Arial" w:cs="Arial" w:eastAsia="Arial" w:hAnsi="Arial"/>
                <w:sz w:val="18"/>
                <w:szCs w:val="18"/>
                <w:color w:val="auto"/>
              </w:rPr>
              <w:t>$499,195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$340,443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$525,458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$367,789</w:t>
            </w:r>
          </w:p>
        </w:tc>
        <w:tc>
          <w:tcPr>
            <w:tcW w:w="2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$26,263</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$27,346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$499,195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$340,443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$525,458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$367,789</w:t>
            </w:r>
          </w:p>
        </w:tc>
        <w:tc>
          <w:tcPr>
            <w:tcW w:w="20" w:type="dxa"/>
            <w:vAlign w:val="bottom"/>
          </w:tcPr>
          <w:p>
            <w:pPr>
              <w:spacing w:after="0"/>
              <w:rPr>
                <w:sz w:val="18"/>
                <w:szCs w:val="18"/>
                <w:color w:val="auto"/>
              </w:rPr>
            </w:pPr>
          </w:p>
        </w:tc>
      </w:tr>
      <w:tr>
        <w:trPr>
          <w:trHeight w:val="363"/>
        </w:trPr>
        <w:tc>
          <w:tcPr>
            <w:tcW w:w="512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118</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components of benefit costs, the return on plan assets, benefits paid, contributions and other amounts recognized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AOCI for the years ended December 31, 2009, 2008 and 2007:</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3"/>
              </w:rPr>
              <w:t>Pension Plans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10"/>
          </w:tcPr>
          <w:p>
            <w:pPr>
              <w:jc w:val="center"/>
              <w:ind w:right="220"/>
              <w:spacing w:after="0"/>
              <w:rPr>
                <w:sz w:val="20"/>
                <w:szCs w:val="20"/>
                <w:color w:val="auto"/>
              </w:rPr>
            </w:pPr>
            <w:r>
              <w:rPr>
                <w:rFonts w:ascii="Arial" w:cs="Arial" w:eastAsia="Arial" w:hAnsi="Arial"/>
                <w:sz w:val="14"/>
                <w:szCs w:val="14"/>
                <w:b w:val="1"/>
                <w:bCs w:val="1"/>
                <w:color w:val="auto"/>
                <w:w w:val="88"/>
              </w:rPr>
              <w:t>Post-Retirement Medical 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4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For The Years Ended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8"/>
          </w:tcPr>
          <w:p>
            <w:pPr>
              <w:jc w:val="center"/>
              <w:ind w:left="277"/>
              <w:spacing w:after="0" w:line="149" w:lineRule="exact"/>
              <w:rPr>
                <w:sz w:val="20"/>
                <w:szCs w:val="20"/>
                <w:color w:val="auto"/>
              </w:rPr>
            </w:pPr>
            <w:r>
              <w:rPr>
                <w:rFonts w:ascii="Arial" w:cs="Arial" w:eastAsia="Arial" w:hAnsi="Arial"/>
                <w:sz w:val="14"/>
                <w:szCs w:val="14"/>
                <w:b w:val="1"/>
                <w:bCs w:val="1"/>
                <w:color w:val="auto"/>
                <w:w w:val="88"/>
              </w:rPr>
              <w:t>For The Years Ended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3"/>
              </w:rPr>
              <w:t>2008</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2009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2008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72"/>
              <w:spacing w:after="0"/>
              <w:rPr>
                <w:sz w:val="20"/>
                <w:szCs w:val="20"/>
                <w:color w:val="auto"/>
              </w:rPr>
            </w:pPr>
            <w:r>
              <w:rPr>
                <w:rFonts w:ascii="Arial" w:cs="Arial" w:eastAsia="Arial" w:hAnsi="Arial"/>
                <w:sz w:val="18"/>
                <w:szCs w:val="18"/>
                <w:color w:val="auto"/>
              </w:rPr>
              <w:t>1,432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8"/>
              </w:rPr>
              <w:t>27,419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28,987</w:t>
            </w:r>
          </w:p>
        </w:tc>
        <w:tc>
          <w:tcPr>
            <w:tcW w:w="2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27,426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700" w:type="dxa"/>
            <w:vAlign w:val="bottom"/>
            <w:gridSpan w:val="2"/>
          </w:tcPr>
          <w:p>
            <w:pPr>
              <w:jc w:val="right"/>
              <w:ind w:right="12"/>
              <w:spacing w:after="0"/>
              <w:rPr>
                <w:sz w:val="20"/>
                <w:szCs w:val="20"/>
                <w:color w:val="auto"/>
              </w:rPr>
            </w:pPr>
            <w:r>
              <w:rPr>
                <w:rFonts w:ascii="Arial" w:cs="Arial" w:eastAsia="Arial" w:hAnsi="Arial"/>
                <w:sz w:val="18"/>
                <w:szCs w:val="18"/>
                <w:color w:val="auto"/>
                <w:w w:val="89"/>
              </w:rPr>
              <w:t>(28,310)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(33,451)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(33,579)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Prior service (credit) cost</w:t>
            </w:r>
          </w:p>
        </w:tc>
        <w:tc>
          <w:tcPr>
            <w:tcW w:w="100" w:type="dxa"/>
            <w:vAlign w:val="bottom"/>
          </w:tcPr>
          <w:p>
            <w:pPr>
              <w:spacing w:after="0"/>
              <w:rPr>
                <w:sz w:val="18"/>
                <w:szCs w:val="18"/>
                <w:color w:val="auto"/>
              </w:rPr>
            </w:pPr>
          </w:p>
        </w:tc>
        <w:tc>
          <w:tcPr>
            <w:tcW w:w="700" w:type="dxa"/>
            <w:vAlign w:val="bottom"/>
            <w:gridSpan w:val="2"/>
          </w:tcPr>
          <w:p>
            <w:pPr>
              <w:jc w:val="right"/>
              <w:ind w:right="72"/>
              <w:spacing w:after="0"/>
              <w:rPr>
                <w:sz w:val="20"/>
                <w:szCs w:val="20"/>
                <w:color w:val="auto"/>
              </w:rPr>
            </w:pPr>
            <w:r>
              <w:rPr>
                <w:rFonts w:ascii="Arial" w:cs="Arial" w:eastAsia="Arial" w:hAnsi="Arial"/>
                <w:sz w:val="18"/>
                <w:szCs w:val="18"/>
                <w:color w:val="auto"/>
              </w:rPr>
              <w:t>3,099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(1,382)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(1,382)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actuarial loss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20" w:type="dxa"/>
            <w:vAlign w:val="bottom"/>
            <w:gridSpan w:val="2"/>
          </w:tcPr>
          <w:p>
            <w:pPr>
              <w:spacing w:after="0"/>
              <w:rPr>
                <w:sz w:val="20"/>
                <w:szCs w:val="20"/>
                <w:color w:val="auto"/>
              </w:rPr>
            </w:pPr>
            <w:r>
              <w:rPr>
                <w:rFonts w:ascii="Arial" w:cs="Arial" w:eastAsia="Arial" w:hAnsi="Arial"/>
                <w:sz w:val="18"/>
                <w:szCs w:val="18"/>
                <w:color w:val="auto"/>
              </w:rPr>
              <w:t>Net periodic benefit cost (credit)</w:t>
            </w:r>
          </w:p>
        </w:tc>
        <w:tc>
          <w:tcPr>
            <w:tcW w:w="100" w:type="dxa"/>
            <w:vAlign w:val="bottom"/>
          </w:tcPr>
          <w:p>
            <w:pPr>
              <w:spacing w:after="0"/>
              <w:rPr>
                <w:sz w:val="19"/>
                <w:szCs w:val="19"/>
                <w:color w:val="auto"/>
              </w:rPr>
            </w:pPr>
          </w:p>
        </w:tc>
        <w:tc>
          <w:tcPr>
            <w:tcW w:w="700" w:type="dxa"/>
            <w:vAlign w:val="bottom"/>
            <w:gridSpan w:val="2"/>
          </w:tcPr>
          <w:p>
            <w:pPr>
              <w:jc w:val="right"/>
              <w:ind w:right="72"/>
              <w:spacing w:after="0"/>
              <w:rPr>
                <w:sz w:val="20"/>
                <w:szCs w:val="20"/>
                <w:color w:val="auto"/>
              </w:rPr>
            </w:pPr>
            <w:r>
              <w:rPr>
                <w:rFonts w:ascii="Arial" w:cs="Arial" w:eastAsia="Arial" w:hAnsi="Arial"/>
                <w:sz w:val="18"/>
                <w:szCs w:val="18"/>
                <w:color w:val="auto"/>
              </w:rPr>
              <w:t>4,963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(4,088)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(5,774)</w:t>
            </w: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(974)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Settlements (curtailments)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(1,695)</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Total benefit cost (credit)</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4,956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(3,047)</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(5,774)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(974)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(912)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(1,893)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8"/>
              </w:rPr>
              <w:t>53,499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(26,004)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31,592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Employer contributions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72"/>
              <w:spacing w:after="0"/>
              <w:rPr>
                <w:sz w:val="20"/>
                <w:szCs w:val="20"/>
                <w:color w:val="auto"/>
              </w:rPr>
            </w:pPr>
            <w:r>
              <w:rPr>
                <w:rFonts w:ascii="Arial" w:cs="Arial" w:eastAsia="Arial" w:hAnsi="Arial"/>
                <w:sz w:val="18"/>
                <w:szCs w:val="18"/>
                <w:color w:val="auto"/>
              </w:rPr>
              <w:t>7,581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16,208</w:t>
            </w:r>
          </w:p>
        </w:tc>
        <w:tc>
          <w:tcPr>
            <w:tcW w:w="2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16,431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432</w:t>
            </w:r>
          </w:p>
        </w:tc>
        <w:tc>
          <w:tcPr>
            <w:tcW w:w="2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8"/>
              </w:rPr>
              <w:t>22,201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18,705</w:t>
            </w:r>
          </w:p>
        </w:tc>
        <w:tc>
          <w:tcPr>
            <w:tcW w:w="2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20,980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316"/>
        </w:trPr>
        <w:tc>
          <w:tcPr>
            <w:tcW w:w="6120" w:type="dxa"/>
            <w:vAlign w:val="bottom"/>
            <w:gridSpan w:val="2"/>
          </w:tcPr>
          <w:p>
            <w:pPr>
              <w:spacing w:after="0"/>
              <w:rPr>
                <w:sz w:val="20"/>
                <w:szCs w:val="20"/>
                <w:color w:val="auto"/>
              </w:rPr>
            </w:pPr>
            <w:r>
              <w:rPr>
                <w:rFonts w:ascii="Arial" w:cs="Arial" w:eastAsia="Arial" w:hAnsi="Arial"/>
                <w:sz w:val="18"/>
                <w:szCs w:val="18"/>
                <w:color w:val="auto"/>
              </w:rPr>
              <w:t>Other changes in plan assets and benefit obligations recognized in AOCI</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w w:val="92"/>
              </w:rPr>
              <w:t>(excluding tax charge (benefit) of $(13,415), $2,840 and $(478) during the years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ended December 31, 2009, 2008 and 2007, respectively):</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actuarial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8"/>
              </w:rPr>
              <w:t>22,122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(1,407)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Prior service cost (credit)</w:t>
            </w:r>
          </w:p>
        </w:tc>
        <w:tc>
          <w:tcPr>
            <w:tcW w:w="100" w:type="dxa"/>
            <w:vAlign w:val="bottom"/>
          </w:tcPr>
          <w:p>
            <w:pPr>
              <w:spacing w:after="0"/>
              <w:rPr>
                <w:sz w:val="18"/>
                <w:szCs w:val="18"/>
                <w:color w:val="auto"/>
              </w:rPr>
            </w:pPr>
          </w:p>
        </w:tc>
        <w:tc>
          <w:tcPr>
            <w:tcW w:w="700" w:type="dxa"/>
            <w:vAlign w:val="bottom"/>
            <w:gridSpan w:val="2"/>
          </w:tcPr>
          <w:p>
            <w:pPr>
              <w:jc w:val="right"/>
              <w:ind w:right="12"/>
              <w:spacing w:after="0"/>
              <w:rPr>
                <w:sz w:val="20"/>
                <w:szCs w:val="20"/>
                <w:color w:val="auto"/>
              </w:rPr>
            </w:pPr>
            <w:r>
              <w:rPr>
                <w:rFonts w:ascii="Arial" w:cs="Arial" w:eastAsia="Arial" w:hAnsi="Arial"/>
                <w:sz w:val="18"/>
                <w:szCs w:val="18"/>
                <w:color w:val="auto"/>
              </w:rPr>
              <w:t>(2,449)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of prior service credit (cost) to earnings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(3,099)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1,382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Reclassification of actuarial loss to earnings</w:t>
            </w:r>
          </w:p>
        </w:tc>
        <w:tc>
          <w:tcPr>
            <w:tcW w:w="100" w:type="dxa"/>
            <w:vAlign w:val="bottom"/>
          </w:tcPr>
          <w:p>
            <w:pPr>
              <w:spacing w:after="0"/>
              <w:rPr>
                <w:sz w:val="18"/>
                <w:szCs w:val="18"/>
                <w:color w:val="auto"/>
              </w:rPr>
            </w:pPr>
          </w:p>
        </w:tc>
        <w:tc>
          <w:tcPr>
            <w:tcW w:w="700" w:type="dxa"/>
            <w:vAlign w:val="bottom"/>
            <w:gridSpan w:val="2"/>
          </w:tcPr>
          <w:p>
            <w:pPr>
              <w:jc w:val="right"/>
              <w:ind w:right="12"/>
              <w:spacing w:after="0"/>
              <w:rPr>
                <w:sz w:val="20"/>
                <w:szCs w:val="20"/>
                <w:color w:val="auto"/>
              </w:rPr>
            </w:pPr>
            <w:r>
              <w:rPr>
                <w:rFonts w:ascii="Arial" w:cs="Arial" w:eastAsia="Arial" w:hAnsi="Arial"/>
                <w:sz w:val="18"/>
                <w:szCs w:val="18"/>
                <w:color w:val="auto"/>
              </w:rPr>
              <w:t>(1,316)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(1,418)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and other adjustments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28,516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(15,369)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Total recognized in AOCI</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43,774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(18,273)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5,170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1,156</w:t>
            </w:r>
          </w:p>
        </w:tc>
        <w:tc>
          <w:tcPr>
            <w:tcW w:w="22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Net amount recognized in total periodic benefit cost and</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AOCI</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8"/>
              </w:rPr>
              <w:t>48,730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(21,320)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(2,726)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amounts in AOCI on the consolidated statement of financial condition as of December 31, 2009 that are expected to be recognized as components of net periodic benefit cost (credit) for the year ending December 31, 2010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Post-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368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Retirement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68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Pension</w:t>
            </w:r>
          </w:p>
        </w:tc>
        <w:tc>
          <w:tcPr>
            <w:tcW w:w="100" w:type="dxa"/>
            <w:vAlign w:val="bottom"/>
          </w:tcPr>
          <w:p>
            <w:pPr>
              <w:spacing w:after="0"/>
              <w:rPr>
                <w:sz w:val="12"/>
                <w:szCs w:val="12"/>
                <w:color w:val="auto"/>
              </w:rPr>
            </w:pPr>
          </w:p>
        </w:tc>
        <w:tc>
          <w:tcPr>
            <w:tcW w:w="8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Medical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36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Plans</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7"/>
              </w:rPr>
              <w:t>Plan</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3"/>
              </w:rPr>
              <w:t>Total</w:t>
            </w:r>
          </w:p>
        </w:tc>
        <w:tc>
          <w:tcPr>
            <w:tcW w:w="20" w:type="dxa"/>
            <w:vAlign w:val="bottom"/>
          </w:tcPr>
          <w:p>
            <w:pPr>
              <w:spacing w:after="0"/>
              <w:rPr>
                <w:sz w:val="14"/>
                <w:szCs w:val="14"/>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(credit) cost</w:t>
            </w:r>
          </w:p>
        </w:tc>
        <w:tc>
          <w:tcPr>
            <w:tcW w:w="5180" w:type="dxa"/>
            <w:vAlign w:val="bottom"/>
            <w:gridSpan w:val="2"/>
            <w:shd w:val="clear" w:color="auto" w:fill="CCEEFF"/>
          </w:tcPr>
          <w:p>
            <w:pPr>
              <w:ind w:left="510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3,211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(1,023)</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2,188</w:t>
            </w:r>
          </w:p>
        </w:tc>
        <w:tc>
          <w:tcPr>
            <w:tcW w:w="20" w:type="dxa"/>
            <w:vAlign w:val="bottom"/>
          </w:tcPr>
          <w:p>
            <w:pPr>
              <w:spacing w:after="0"/>
              <w:rPr>
                <w:sz w:val="18"/>
                <w:szCs w:val="18"/>
                <w:color w:val="auto"/>
              </w:rPr>
            </w:pPr>
          </w:p>
        </w:tc>
      </w:tr>
      <w:tr>
        <w:trPr>
          <w:trHeight w:val="222"/>
        </w:trPr>
        <w:tc>
          <w:tcPr>
            <w:tcW w:w="3680" w:type="dxa"/>
            <w:vAlign w:val="bottom"/>
          </w:tcPr>
          <w:p>
            <w:pPr>
              <w:spacing w:after="0"/>
              <w:rPr>
                <w:sz w:val="20"/>
                <w:szCs w:val="20"/>
                <w:color w:val="auto"/>
              </w:rPr>
            </w:pPr>
            <w:r>
              <w:rPr>
                <w:rFonts w:ascii="Arial" w:cs="Arial" w:eastAsia="Arial" w:hAnsi="Arial"/>
                <w:sz w:val="18"/>
                <w:szCs w:val="18"/>
                <w:color w:val="auto"/>
              </w:rPr>
              <w:t>Net actuarial (gain) loss</w:t>
            </w:r>
          </w:p>
        </w:tc>
        <w:tc>
          <w:tcPr>
            <w:tcW w:w="5180" w:type="dxa"/>
            <w:vAlign w:val="bottom"/>
            <w:gridSpan w:val="2"/>
          </w:tcPr>
          <w:p>
            <w:pPr>
              <w:ind w:left="510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834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834</w:t>
            </w:r>
          </w:p>
        </w:tc>
        <w:tc>
          <w:tcPr>
            <w:tcW w:w="20" w:type="dxa"/>
            <w:vAlign w:val="bottom"/>
          </w:tcPr>
          <w:p>
            <w:pPr>
              <w:spacing w:after="0"/>
              <w:rPr>
                <w:sz w:val="19"/>
                <w:szCs w:val="19"/>
                <w:color w:val="auto"/>
              </w:rPr>
            </w:pPr>
          </w:p>
        </w:tc>
      </w:tr>
      <w:tr>
        <w:trPr>
          <w:trHeight w:val="356"/>
        </w:trPr>
        <w:tc>
          <w:tcPr>
            <w:tcW w:w="3680" w:type="dxa"/>
            <w:vAlign w:val="bottom"/>
          </w:tcPr>
          <w:p>
            <w:pPr>
              <w:spacing w:after="0"/>
              <w:rPr>
                <w:sz w:val="24"/>
                <w:szCs w:val="24"/>
                <w:color w:val="auto"/>
              </w:rPr>
            </w:pPr>
          </w:p>
        </w:tc>
        <w:tc>
          <w:tcPr>
            <w:tcW w:w="5100" w:type="dxa"/>
            <w:vAlign w:val="bottom"/>
          </w:tcPr>
          <w:p>
            <w:pPr>
              <w:jc w:val="right"/>
              <w:ind w:right="2860"/>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assumptions used to develop actuarial present value of the projected benefit obligation and net periodic pension cost are set forth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6"/>
              </w:rPr>
              <w:t>Post-Retirement</w:t>
            </w:r>
          </w:p>
        </w:tc>
        <w:tc>
          <w:tcPr>
            <w:tcW w:w="580" w:type="dxa"/>
            <w:vAlign w:val="bottom"/>
          </w:tcPr>
          <w:p>
            <w:pPr>
              <w:spacing w:after="0"/>
              <w:rPr>
                <w:sz w:val="14"/>
                <w:szCs w:val="14"/>
                <w:color w:val="auto"/>
              </w:rPr>
            </w:pPr>
          </w:p>
        </w:tc>
      </w:tr>
      <w:tr>
        <w:trPr>
          <w:trHeight w:val="149"/>
        </w:trPr>
        <w:tc>
          <w:tcPr>
            <w:tcW w:w="6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Pension Plans</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Medical Plan</w:t>
            </w:r>
          </w:p>
        </w:tc>
        <w:tc>
          <w:tcPr>
            <w:tcW w:w="580" w:type="dxa"/>
            <w:vAlign w:val="bottom"/>
          </w:tcPr>
          <w:p>
            <w:pPr>
              <w:spacing w:after="0"/>
              <w:rPr>
                <w:sz w:val="12"/>
                <w:szCs w:val="12"/>
                <w:color w:val="auto"/>
              </w:rPr>
            </w:pPr>
          </w:p>
        </w:tc>
      </w:tr>
      <w:tr>
        <w:trPr>
          <w:trHeight w:val="149"/>
        </w:trPr>
        <w:tc>
          <w:tcPr>
            <w:tcW w:w="6720" w:type="dxa"/>
            <w:vAlign w:val="bottom"/>
          </w:tcPr>
          <w:p>
            <w:pPr>
              <w:spacing w:after="0"/>
              <w:rPr>
                <w:sz w:val="12"/>
                <w:szCs w:val="12"/>
                <w:color w:val="auto"/>
              </w:rPr>
            </w:pPr>
          </w:p>
        </w:tc>
        <w:tc>
          <w:tcPr>
            <w:tcW w:w="2440" w:type="dxa"/>
            <w:vAlign w:val="bottom"/>
            <w:gridSpan w:val="6"/>
          </w:tcPr>
          <w:p>
            <w:pPr>
              <w:ind w:left="240"/>
              <w:spacing w:after="0" w:line="149" w:lineRule="exact"/>
              <w:rPr>
                <w:sz w:val="20"/>
                <w:szCs w:val="20"/>
                <w:color w:val="auto"/>
              </w:rPr>
            </w:pPr>
            <w:r>
              <w:rPr>
                <w:rFonts w:ascii="Arial" w:cs="Arial" w:eastAsia="Arial" w:hAnsi="Arial"/>
                <w:sz w:val="14"/>
                <w:szCs w:val="14"/>
                <w:b w:val="1"/>
                <w:bCs w:val="1"/>
                <w:color w:val="auto"/>
              </w:rPr>
              <w:t>As Of Or For the Years Ended</w:t>
            </w:r>
          </w:p>
        </w:tc>
        <w:tc>
          <w:tcPr>
            <w:tcW w:w="2260" w:type="dxa"/>
            <w:vAlign w:val="bottom"/>
            <w:gridSpan w:val="7"/>
          </w:tcPr>
          <w:p>
            <w:pPr>
              <w:jc w:val="center"/>
              <w:spacing w:after="0" w:line="149" w:lineRule="exact"/>
              <w:rPr>
                <w:sz w:val="20"/>
                <w:szCs w:val="20"/>
                <w:color w:val="auto"/>
              </w:rPr>
            </w:pPr>
            <w:r>
              <w:rPr>
                <w:rFonts w:ascii="Arial" w:cs="Arial" w:eastAsia="Arial" w:hAnsi="Arial"/>
                <w:sz w:val="14"/>
                <w:szCs w:val="14"/>
                <w:b w:val="1"/>
                <w:bCs w:val="1"/>
                <w:color w:val="auto"/>
                <w:w w:val="88"/>
              </w:rPr>
              <w:t>As Of Or For the Years Ended</w:t>
            </w:r>
          </w:p>
        </w:tc>
      </w:tr>
      <w:tr>
        <w:trPr>
          <w:trHeight w:val="161"/>
        </w:trPr>
        <w:tc>
          <w:tcPr>
            <w:tcW w:w="67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5"/>
              </w:rPr>
              <w:t>December 31,</w:t>
            </w:r>
          </w:p>
        </w:tc>
        <w:tc>
          <w:tcPr>
            <w:tcW w:w="580" w:type="dxa"/>
            <w:vAlign w:val="bottom"/>
            <w:tcBorders>
              <w:bottom w:val="single" w:sz="8" w:color="auto"/>
            </w:tcBorders>
          </w:tcPr>
          <w:p>
            <w:pPr>
              <w:spacing w:after="0"/>
              <w:rPr>
                <w:sz w:val="14"/>
                <w:szCs w:val="14"/>
                <w:color w:val="auto"/>
              </w:rPr>
            </w:pPr>
          </w:p>
        </w:tc>
      </w:tr>
      <w:tr>
        <w:trPr>
          <w:trHeight w:val="142"/>
        </w:trPr>
        <w:tc>
          <w:tcPr>
            <w:tcW w:w="6720" w:type="dxa"/>
            <w:vAlign w:val="bottom"/>
          </w:tcPr>
          <w:p>
            <w:pPr>
              <w:spacing w:after="0"/>
              <w:rPr>
                <w:sz w:val="12"/>
                <w:szCs w:val="12"/>
                <w:color w:val="auto"/>
              </w:rPr>
            </w:pPr>
          </w:p>
        </w:tc>
        <w:tc>
          <w:tcPr>
            <w:tcW w:w="580" w:type="dxa"/>
            <w:vAlign w:val="bottom"/>
          </w:tcPr>
          <w:p>
            <w:pPr>
              <w:ind w:left="160"/>
              <w:spacing w:after="0" w:line="142" w:lineRule="exact"/>
              <w:rPr>
                <w:sz w:val="20"/>
                <w:szCs w:val="20"/>
                <w:color w:val="auto"/>
              </w:rPr>
            </w:pPr>
            <w:r>
              <w:rPr>
                <w:rFonts w:ascii="Arial" w:cs="Arial" w:eastAsia="Arial" w:hAnsi="Arial"/>
                <w:sz w:val="14"/>
                <w:szCs w:val="14"/>
                <w:b w:val="1"/>
                <w:bCs w:val="1"/>
                <w:color w:val="auto"/>
              </w:rPr>
              <w:t>2009</w:t>
            </w:r>
          </w:p>
        </w:tc>
        <w:tc>
          <w:tcPr>
            <w:tcW w:w="800" w:type="dxa"/>
            <w:vAlign w:val="bottom"/>
            <w:gridSpan w:val="2"/>
          </w:tcPr>
          <w:p>
            <w:pPr>
              <w:jc w:val="center"/>
              <w:ind w:left="142"/>
              <w:spacing w:after="0" w:line="142" w:lineRule="exact"/>
              <w:rPr>
                <w:sz w:val="20"/>
                <w:szCs w:val="20"/>
                <w:color w:val="auto"/>
              </w:rPr>
            </w:pPr>
            <w:r>
              <w:rPr>
                <w:rFonts w:ascii="Arial" w:cs="Arial" w:eastAsia="Arial" w:hAnsi="Arial"/>
                <w:sz w:val="14"/>
                <w:szCs w:val="14"/>
                <w:b w:val="1"/>
                <w:bCs w:val="1"/>
                <w:color w:val="auto"/>
                <w:w w:val="83"/>
              </w:rPr>
              <w:t>2008</w:t>
            </w:r>
          </w:p>
        </w:tc>
        <w:tc>
          <w:tcPr>
            <w:tcW w:w="220" w:type="dxa"/>
            <w:vAlign w:val="bottom"/>
          </w:tcPr>
          <w:p>
            <w:pPr>
              <w:spacing w:after="0"/>
              <w:rPr>
                <w:sz w:val="12"/>
                <w:szCs w:val="12"/>
                <w:color w:val="auto"/>
              </w:rPr>
            </w:pPr>
          </w:p>
        </w:tc>
        <w:tc>
          <w:tcPr>
            <w:tcW w:w="62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560" w:type="dxa"/>
            <w:vAlign w:val="bottom"/>
          </w:tcPr>
          <w:p>
            <w:pPr>
              <w:jc w:val="right"/>
              <w:ind w:right="78"/>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2"/>
                <w:szCs w:val="12"/>
                <w:color w:val="auto"/>
              </w:rPr>
            </w:pPr>
          </w:p>
        </w:tc>
        <w:tc>
          <w:tcPr>
            <w:tcW w:w="76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2007</w:t>
            </w: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assumptions used to determine benefit obligations:</w:t>
            </w: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Discount rate</w:t>
            </w:r>
          </w:p>
        </w:tc>
        <w:tc>
          <w:tcPr>
            <w:tcW w:w="580" w:type="dxa"/>
            <w:vAlign w:val="bottom"/>
          </w:tcPr>
          <w:p>
            <w:pPr>
              <w:ind w:left="220"/>
              <w:spacing w:after="0"/>
              <w:rPr>
                <w:sz w:val="20"/>
                <w:szCs w:val="20"/>
                <w:color w:val="auto"/>
              </w:rPr>
            </w:pPr>
            <w:r>
              <w:rPr>
                <w:rFonts w:ascii="Arial" w:cs="Arial" w:eastAsia="Arial" w:hAnsi="Arial"/>
                <w:sz w:val="18"/>
                <w:szCs w:val="18"/>
                <w:color w:val="auto"/>
                <w:w w:val="82"/>
              </w:rPr>
              <w:t>5.7%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assumptions used to determine net periodic benefit cost:</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Discount rate</w:t>
            </w:r>
          </w:p>
        </w:tc>
        <w:tc>
          <w:tcPr>
            <w:tcW w:w="580" w:type="dxa"/>
            <w:vAlign w:val="bottom"/>
          </w:tcPr>
          <w:p>
            <w:pPr>
              <w:ind w:left="220"/>
              <w:spacing w:after="0"/>
              <w:rPr>
                <w:sz w:val="20"/>
                <w:szCs w:val="20"/>
                <w:color w:val="auto"/>
              </w:rPr>
            </w:pPr>
            <w:r>
              <w:rPr>
                <w:rFonts w:ascii="Arial" w:cs="Arial" w:eastAsia="Arial" w:hAnsi="Arial"/>
                <w:sz w:val="18"/>
                <w:szCs w:val="18"/>
                <w:color w:val="auto"/>
                <w:w w:val="82"/>
              </w:rPr>
              <w:t>5.5%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Expected long-term rate of return on plan assets</w:t>
            </w:r>
          </w:p>
        </w:tc>
        <w:tc>
          <w:tcPr>
            <w:tcW w:w="5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2"/>
              </w:rPr>
              <w:t>6.2%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Healthcare cost trend rates used to determine net periodic benefit cost:</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Initial</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Ultimate</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Year ultimate trend rate achieved</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r>
    </w:tbl>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Generally, the Company determined the discount rates for its defined benefit plans by utilizing indices for long-term, high-quality bonds and ensuring that the discount rate does not exceed the yield reported for those indices after adjustment for the duration of the plans’ liabilities.</w:t>
      </w:r>
    </w:p>
    <w:p>
      <w:pPr>
        <w:spacing w:after="0" w:line="7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selecting the expected long-term rate of return on plan assets, the Company considered the average rate of earnings expected on the funds invested or to be invested to provide for the benefits of the plan, giving consideration to expected returns on different asset classes held by the plans in light of prevailing economic conditions as well as historic returns. This basis is consistent for all years presented.</w:t>
      </w:r>
    </w:p>
    <w:p>
      <w:pPr>
        <w:spacing w:after="0" w:line="12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assumed cost of healthcare has an effect on the amounts reported for the Company’s post-retirement plans. A 1% change in the assumed healthcare cost trend rate would increase (decrease) our cost and obligation as follows: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rPr>
              <w:t>1% Increase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1% Decrease</w:t>
            </w:r>
          </w:p>
        </w:tc>
      </w:tr>
      <w:tr>
        <w:trPr>
          <w:trHeight w:val="142"/>
        </w:trPr>
        <w:tc>
          <w:tcPr>
            <w:tcW w:w="39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4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480" w:type="dxa"/>
            <w:vAlign w:val="bottom"/>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Obligation</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564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$805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(490)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(688)</w:t>
            </w:r>
          </w:p>
        </w:tc>
      </w:tr>
    </w:tbl>
    <w:p>
      <w:pPr>
        <w:spacing w:after="0" w:line="13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Expected Benefit Payments</w:t>
      </w:r>
      <w:r>
        <w:rPr>
          <w:rFonts w:ascii="Arial" w:cs="Arial" w:eastAsia="Arial" w:hAnsi="Arial"/>
          <w:sz w:val="18"/>
          <w:szCs w:val="18"/>
          <w:color w:val="auto"/>
        </w:rPr>
        <w:t>—The following table summarizes the expected benefit payments for the Company’s plans for each of the next five fiscal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 the aggregate for the five fiscal years thereafter:</w:t>
      </w:r>
    </w:p>
    <w:p>
      <w:pPr>
        <w:spacing w:after="0" w:line="10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b w:val="1"/>
                <w:bCs w:val="1"/>
                <w:color w:val="auto"/>
                <w:w w:val="95"/>
              </w:rPr>
              <w:t>Pension</w:t>
            </w:r>
          </w:p>
        </w:tc>
        <w:tc>
          <w:tcPr>
            <w:tcW w:w="1660" w:type="dxa"/>
            <w:vAlign w:val="bottom"/>
            <w:gridSpan w:val="3"/>
          </w:tcPr>
          <w:p>
            <w:pPr>
              <w:ind w:left="720"/>
              <w:spacing w:after="0"/>
              <w:rPr>
                <w:sz w:val="20"/>
                <w:szCs w:val="20"/>
                <w:color w:val="auto"/>
              </w:rPr>
            </w:pPr>
            <w:r>
              <w:rPr>
                <w:rFonts w:ascii="Arial" w:cs="Arial" w:eastAsia="Arial" w:hAnsi="Arial"/>
                <w:sz w:val="14"/>
                <w:szCs w:val="14"/>
                <w:b w:val="1"/>
                <w:bCs w:val="1"/>
                <w:color w:val="auto"/>
                <w:w w:val="85"/>
              </w:rPr>
              <w:t>Post-Retirement</w:t>
            </w:r>
          </w:p>
        </w:tc>
      </w:t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Plans</w:t>
            </w:r>
          </w:p>
        </w:tc>
        <w:tc>
          <w:tcPr>
            <w:tcW w:w="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Medical Plan</w:t>
            </w:r>
          </w:p>
        </w:tc>
      </w:tr>
      <w:tr>
        <w:trPr>
          <w:trHeight w:val="210"/>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$ 21,962</w:t>
            </w:r>
          </w:p>
        </w:tc>
        <w:tc>
          <w:tcPr>
            <w:tcW w:w="80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2011</w:t>
            </w:r>
          </w:p>
        </w:tc>
        <w:tc>
          <w:tcPr>
            <w:tcW w:w="5300" w:type="dxa"/>
            <w:vAlign w:val="bottom"/>
            <w:gridSpan w:val="2"/>
          </w:tcPr>
          <w:p>
            <w:pPr>
              <w:jc w:val="right"/>
              <w:spacing w:after="0"/>
              <w:rPr>
                <w:sz w:val="20"/>
                <w:szCs w:val="20"/>
                <w:color w:val="auto"/>
              </w:rPr>
            </w:pPr>
            <w:r>
              <w:rPr>
                <w:rFonts w:ascii="Arial" w:cs="Arial" w:eastAsia="Arial" w:hAnsi="Arial"/>
                <w:sz w:val="18"/>
                <w:szCs w:val="18"/>
                <w:color w:val="auto"/>
              </w:rPr>
              <w:t>23,106</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23,090</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2013</w:t>
            </w:r>
          </w:p>
        </w:tc>
        <w:tc>
          <w:tcPr>
            <w:tcW w:w="5300" w:type="dxa"/>
            <w:vAlign w:val="bottom"/>
            <w:gridSpan w:val="2"/>
          </w:tcPr>
          <w:p>
            <w:pPr>
              <w:jc w:val="right"/>
              <w:spacing w:after="0"/>
              <w:rPr>
                <w:sz w:val="20"/>
                <w:szCs w:val="20"/>
                <w:color w:val="auto"/>
              </w:rPr>
            </w:pPr>
            <w:r>
              <w:rPr>
                <w:rFonts w:ascii="Arial" w:cs="Arial" w:eastAsia="Arial" w:hAnsi="Arial"/>
                <w:sz w:val="18"/>
                <w:szCs w:val="18"/>
                <w:color w:val="auto"/>
              </w:rPr>
              <w:t>25,303</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448</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24,964</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22"/>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2015-2019</w:t>
            </w:r>
          </w:p>
        </w:tc>
        <w:tc>
          <w:tcPr>
            <w:tcW w:w="5300" w:type="dxa"/>
            <w:vAlign w:val="bottom"/>
            <w:gridSpan w:val="2"/>
          </w:tcPr>
          <w:p>
            <w:pPr>
              <w:jc w:val="right"/>
              <w:spacing w:after="0"/>
              <w:rPr>
                <w:sz w:val="20"/>
                <w:szCs w:val="20"/>
                <w:color w:val="auto"/>
              </w:rPr>
            </w:pPr>
            <w:r>
              <w:rPr>
                <w:rFonts w:ascii="Arial" w:cs="Arial" w:eastAsia="Arial" w:hAnsi="Arial"/>
                <w:sz w:val="18"/>
                <w:szCs w:val="18"/>
                <w:color w:val="auto"/>
              </w:rPr>
              <w:t>157,840</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2,059</w:t>
            </w:r>
          </w:p>
        </w:tc>
      </w:tr>
      <w:tr>
        <w:trPr>
          <w:trHeight w:val="356"/>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640" w:type="dxa"/>
            <w:vAlign w:val="bottom"/>
          </w:tcPr>
          <w:p>
            <w:pPr>
              <w:jc w:val="right"/>
              <w:ind w:right="2312"/>
              <w:spacing w:after="0"/>
              <w:rPr>
                <w:sz w:val="20"/>
                <w:szCs w:val="20"/>
                <w:color w:val="auto"/>
              </w:rPr>
            </w:pPr>
            <w:r>
              <w:rPr>
                <w:rFonts w:ascii="Arial" w:cs="Arial" w:eastAsia="Arial" w:hAnsi="Arial"/>
                <w:sz w:val="18"/>
                <w:szCs w:val="18"/>
                <w:color w:val="auto"/>
              </w:rPr>
              <w:t>120</w:t>
            </w: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44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3"/>
              </w:rPr>
              <w:t>Plan Assets</w:t>
            </w:r>
            <w:r>
              <w:rPr>
                <w:rFonts w:ascii="Arial" w:cs="Arial" w:eastAsia="Arial" w:hAnsi="Arial"/>
                <w:sz w:val="18"/>
                <w:szCs w:val="18"/>
                <w:color w:val="auto"/>
                <w:w w:val="93"/>
              </w:rPr>
              <w:t>—The following table presents the categorization of plan assets, measured at fair value as of December 31, 2009:</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20" w:type="dxa"/>
            <w:vAlign w:val="bottom"/>
            <w:vMerge w:val="restart"/>
          </w:tcPr>
          <w:p>
            <w:pPr>
              <w:spacing w:after="0"/>
              <w:rPr>
                <w:sz w:val="13"/>
                <w:szCs w:val="13"/>
                <w:color w:val="auto"/>
              </w:rPr>
            </w:pPr>
          </w:p>
        </w:tc>
        <w:tc>
          <w:tcPr>
            <w:tcW w:w="9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 Category</w:t>
            </w: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Equity Securities</w:t>
            </w:r>
          </w:p>
        </w:tc>
        <w:tc>
          <w:tcPr>
            <w:tcW w:w="960" w:type="dxa"/>
            <w:vAlign w:val="bottom"/>
          </w:tcPr>
          <w:p>
            <w:pPr>
              <w:jc w:val="right"/>
              <w:spacing w:after="0"/>
              <w:rPr>
                <w:sz w:val="20"/>
                <w:szCs w:val="20"/>
                <w:color w:val="auto"/>
              </w:rPr>
            </w:pPr>
            <w:r>
              <w:rPr>
                <w:rFonts w:ascii="Arial" w:cs="Arial" w:eastAsia="Arial" w:hAnsi="Arial"/>
                <w:sz w:val="18"/>
                <w:szCs w:val="18"/>
                <w:color w:val="auto"/>
              </w:rPr>
              <w:t>$235,564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279,961</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Other (includes cash, annuities and accrued dividends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$524,656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December 31, 2009, the Company’s U.S. pension plans had 50% of the plans’ assets invested in three exchange-traded mutual funds that invest in equity securities and 50% invested in an exchange-traded mutual fund that invests in debt securities. The Company’s non-U.S. pension plans did not have any individual investment holding that constituted more than 10% of plan assets as of December 31, 2009.</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Investment Policies and Strategies</w:t>
      </w:r>
      <w:r>
        <w:rPr>
          <w:rFonts w:ascii="Arial" w:cs="Arial" w:eastAsia="Arial" w:hAnsi="Arial"/>
          <w:sz w:val="16"/>
          <w:szCs w:val="16"/>
          <w:color w:val="auto"/>
        </w:rPr>
        <w:t>—The primary investment goal is to ensure that the plans remain well funded, taking account of the likely future risks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returns and contributions. As a result, a portfolio of assets is maintained with appropriate liquidity and diversification that can be expected to generate long-term future returns that minimize the long-term costs of the pension plan without exposing the trust to an unacceptable risk of under-funding. The Company’s likely future ability to pay such contributions as are required to maintain the funded status of the plans over a reasonable time period is considered when determining the level of risk that is appropriate. All plan investments are classified as Level 1 investments and their fair values are based on market quotes.</w:t>
      </w:r>
    </w:p>
    <w:p>
      <w:pPr>
        <w:spacing w:after="0" w:line="102"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b w:val="1"/>
          <w:bCs w:val="1"/>
          <w:i w:val="1"/>
          <w:iCs w:val="1"/>
          <w:color w:val="auto"/>
        </w:rPr>
        <w:t>Defined Contribution Plans</w:t>
      </w:r>
      <w:r>
        <w:rPr>
          <w:rFonts w:ascii="Arial" w:cs="Arial" w:eastAsia="Arial" w:hAnsi="Arial"/>
          <w:sz w:val="18"/>
          <w:szCs w:val="18"/>
          <w:color w:val="auto"/>
        </w:rPr>
        <w:t>—Pursuant to certain matching contributions, the Company contributes to employer sponsored defined contribution plans.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contributions amounted to $8,409, $10,316 and $9,294 for the years ended December 31, 2009, 2008 and 2007, respectively, which are included in “compensation and benefits” expense on the consolidated statements of operations.</w:t>
      </w:r>
    </w:p>
    <w:p>
      <w:pPr>
        <w:spacing w:after="0" w:line="127"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RESTRUCTURING PLAN</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February 2009, the Company announced a restructuring plan to optimize its mix of personnel, which included certain staff reductions and realignments of personnel. In connection with such plan, the Company recorded a charge of $62,550 (consisting of compensation-related expenses, including the acceleration of unrecognized expense pertaining to RSUs previously granted to individuals who were terminated pursuant to the restructuring, severance and benefit payments and other costs), with this charge partially offset by an associated income tax credit of $6,401.</w:t>
      </w:r>
    </w:p>
    <w:p>
      <w:pPr>
        <w:spacing w:after="0" w:line="99"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As of December 31, 2009, the remaining liability associated with the restructuring plan was approximately $11,500. Such aggregate amount is reported within “accrued compensation and benefits” and “other liabilities” on the accompanying consolidated statement of financial condition as of December 31, 2009.</w:t>
      </w:r>
    </w:p>
    <w:p>
      <w:pPr>
        <w:spacing w:after="0" w:line="72"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Company recorded income tax provisions of $31,727, $29,691 and $88,786 for the years ended December 31, 2009, 2008 and 2007, respectively, representing effective tax rates of (17.4)%, 70.6% and 20.4%, respectively. Excluding (i) the income tax benefit of $6,401 related to the $62,550 restructuring charge in 2009,</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8"/>
        <w:spacing w:after="0" w:line="294" w:lineRule="auto"/>
        <w:tabs>
          <w:tab w:leader="none" w:pos="258"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income tax benefit of $2,566 related to the $60,512 charge in 2009 for the acceleration of the unamortized portion of the previously awarded deferred cash incentive awards, (iii) the $86,514 charge in 2009 related to the acceleration of amortization expense associated with the vesting of RSU awards held by Lazard’s former Chairman and Chief Executive Officer as a result of his death in October 2009, for which there was no tax benefit, and (iv) the income tax benefit of $7,427 related to the $199,550 LAM Merger charge in 2008, the Company had income tax provisions of $40,694, $37,118 and $88,786 for the years ended December 31, 2009, 2008 and 2007, respectively, representing effective tax rates of 147.5%, 15.4% and 20.4%, respectively.</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Although a portion of Lazard Group’s income is subject to U.S. federal income taxes, the principal difference between the U.S. federal statutory tax rate of 35.0% and Lazard Group’s effective tax rates is due to Lazard Group primarily operating in the U.S. as a limited liability company that is treated as a partnership for U.S. federal income tax purposes. As a result, Lazard Group’s income from its U.S. operations is generally not subject to U.S. federal income taxes, because taxes associated with such income represent obligations of the individual partners. Lazard Group, however, is subject to New York City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components of the Company’s provision (benefit) for income taxes for the years ended December 31, 2009, 2008 and 2007, and a reconciliation of the U.S. federal statutory income tax rate to the Company’s effective tax rates for such periods are shown below.</w:t>
      </w:r>
    </w:p>
    <w:p>
      <w:pPr>
        <w:spacing w:after="0" w:line="11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6"/>
              </w:rPr>
              <w:t>Year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20"/>
              <w:spacing w:after="0"/>
              <w:rPr>
                <w:sz w:val="20"/>
                <w:szCs w:val="20"/>
                <w:color w:val="auto"/>
              </w:rPr>
            </w:pPr>
            <w:r>
              <w:rPr>
                <w:rFonts w:ascii="Arial" w:cs="Arial" w:eastAsia="Arial" w:hAnsi="Arial"/>
                <w:sz w:val="18"/>
                <w:szCs w:val="18"/>
                <w:color w:val="auto"/>
              </w:rPr>
              <w:t>Federal</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4,627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3,201</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34,587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37,085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3"/>
              </w:rPr>
              <w:t>83,939</w:t>
            </w:r>
          </w:p>
        </w:tc>
        <w:tc>
          <w:tcPr>
            <w:tcW w:w="0" w:type="dxa"/>
            <w:vAlign w:val="bottom"/>
          </w:tcPr>
          <w:p>
            <w:pPr>
              <w:spacing w:after="0"/>
              <w:rPr>
                <w:sz w:val="1"/>
                <w:szCs w:val="1"/>
                <w:color w:val="auto"/>
              </w:rPr>
            </w:pPr>
          </w:p>
        </w:tc>
      </w:tr>
      <w:tr>
        <w:trPr>
          <w:trHeight w:val="216"/>
        </w:trPr>
        <w:tc>
          <w:tcPr>
            <w:tcW w:w="4040" w:type="dxa"/>
            <w:vAlign w:val="bottom"/>
          </w:tcPr>
          <w:p>
            <w:pPr>
              <w:ind w:left="220"/>
              <w:spacing w:after="0"/>
              <w:rPr>
                <w:sz w:val="20"/>
                <w:szCs w:val="20"/>
                <w:color w:val="auto"/>
              </w:rPr>
            </w:pPr>
            <w:r>
              <w:rPr>
                <w:rFonts w:ascii="Arial" w:cs="Arial" w:eastAsia="Arial" w:hAnsi="Arial"/>
                <w:sz w:val="18"/>
                <w:szCs w:val="18"/>
                <w:color w:val="auto"/>
              </w:rPr>
              <w:t>State and local (primarily UBT)</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6,664</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83"/>
              </w:rPr>
              <w:t>10,891</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39,744</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46,950</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3"/>
              </w:rPr>
              <w:t>95,785</w:t>
            </w:r>
          </w:p>
        </w:tc>
        <w:tc>
          <w:tcPr>
            <w:tcW w:w="0" w:type="dxa"/>
            <w:vAlign w:val="bottom"/>
          </w:tcPr>
          <w:p>
            <w:pPr>
              <w:spacing w:after="0"/>
              <w:rPr>
                <w:sz w:val="1"/>
                <w:szCs w:val="1"/>
                <w:color w:val="auto"/>
              </w:rPr>
            </w:pP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Deferred:</w:t>
            </w:r>
          </w:p>
        </w:tc>
        <w:tc>
          <w:tcPr>
            <w:tcW w:w="1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(3,871)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220"/>
              <w:spacing w:after="0"/>
              <w:rPr>
                <w:sz w:val="20"/>
                <w:szCs w:val="20"/>
                <w:color w:val="auto"/>
              </w:rPr>
            </w:pPr>
            <w:r>
              <w:rPr>
                <w:rFonts w:ascii="Arial" w:cs="Arial" w:eastAsia="Arial" w:hAnsi="Arial"/>
                <w:sz w:val="18"/>
                <w:szCs w:val="18"/>
                <w:color w:val="auto"/>
              </w:rPr>
              <w:t>Foreign</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(4,146)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(17,259)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(6,999)</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(8,017)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(17,259)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(6,999)</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40" w:type="dxa"/>
            <w:vAlign w:val="bottom"/>
            <w:vMerge w:val="continue"/>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31,727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29,691</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9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83"/>
              </w:rPr>
              <w:t>88,786</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4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gridSpan w:val="6"/>
          </w:tcPr>
          <w:p>
            <w:pPr>
              <w:jc w:val="right"/>
              <w:spacing w:after="0"/>
              <w:rPr>
                <w:sz w:val="20"/>
                <w:szCs w:val="20"/>
                <w:color w:val="auto"/>
              </w:rPr>
            </w:pPr>
            <w:r>
              <w:rPr>
                <w:rFonts w:ascii="Arial" w:cs="Arial" w:eastAsia="Arial" w:hAnsi="Arial"/>
                <w:sz w:val="14"/>
                <w:szCs w:val="14"/>
                <w:b w:val="1"/>
                <w:bCs w:val="1"/>
                <w:color w:val="auto"/>
                <w:w w:val="96"/>
              </w:rPr>
              <w:t>Year Ended December 31,</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8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84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income tax rate</w:t>
            </w:r>
          </w:p>
        </w:tc>
        <w:tc>
          <w:tcPr>
            <w:tcW w:w="35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35.0%</w:t>
            </w: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7"/>
              </w:rPr>
              <w:t>35.0%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Rate benefit for U.S. partnership operations</w:t>
            </w:r>
          </w:p>
        </w:tc>
        <w:tc>
          <w:tcPr>
            <w:tcW w:w="3580" w:type="dxa"/>
            <w:vAlign w:val="bottom"/>
            <w:gridSpan w:val="3"/>
          </w:tcPr>
          <w:p>
            <w:pPr>
              <w:jc w:val="right"/>
              <w:ind w:right="840"/>
              <w:spacing w:after="0"/>
              <w:rPr>
                <w:sz w:val="20"/>
                <w:szCs w:val="20"/>
                <w:color w:val="auto"/>
              </w:rPr>
            </w:pPr>
            <w:r>
              <w:rPr>
                <w:rFonts w:ascii="Arial" w:cs="Arial" w:eastAsia="Arial" w:hAnsi="Arial"/>
                <w:sz w:val="18"/>
                <w:szCs w:val="18"/>
                <w:color w:val="auto"/>
              </w:rPr>
              <w:t>(35.0)</w:t>
            </w:r>
          </w:p>
        </w:tc>
        <w:tc>
          <w:tcPr>
            <w:tcW w:w="1220" w:type="dxa"/>
            <w:vAlign w:val="bottom"/>
            <w:gridSpan w:val="2"/>
          </w:tcPr>
          <w:p>
            <w:pPr>
              <w:jc w:val="right"/>
              <w:ind w:right="780"/>
              <w:spacing w:after="0"/>
              <w:rPr>
                <w:sz w:val="20"/>
                <w:szCs w:val="20"/>
                <w:color w:val="auto"/>
              </w:rPr>
            </w:pPr>
            <w:r>
              <w:rPr>
                <w:rFonts w:ascii="Arial" w:cs="Arial" w:eastAsia="Arial" w:hAnsi="Arial"/>
                <w:sz w:val="18"/>
                <w:szCs w:val="18"/>
                <w:color w:val="auto"/>
                <w:w w:val="89"/>
              </w:rPr>
              <w:t>(35.0)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Foreign taxes</w:t>
            </w:r>
          </w:p>
        </w:tc>
        <w:tc>
          <w:tcPr>
            <w:tcW w:w="358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(16.7)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State and local taxes (primarily UBT)</w:t>
            </w:r>
          </w:p>
        </w:tc>
        <w:tc>
          <w:tcPr>
            <w:tcW w:w="3580" w:type="dxa"/>
            <w:vAlign w:val="bottom"/>
            <w:gridSpan w:val="3"/>
          </w:tcPr>
          <w:p>
            <w:pPr>
              <w:jc w:val="right"/>
              <w:ind w:right="840"/>
              <w:spacing w:after="0"/>
              <w:rPr>
                <w:sz w:val="20"/>
                <w:szCs w:val="20"/>
                <w:color w:val="auto"/>
              </w:rPr>
            </w:pPr>
            <w:r>
              <w:rPr>
                <w:rFonts w:ascii="Arial" w:cs="Arial" w:eastAsia="Arial" w:hAnsi="Arial"/>
                <w:sz w:val="18"/>
                <w:szCs w:val="18"/>
                <w:color w:val="auto"/>
              </w:rPr>
              <w:t>(0.3)</w:t>
            </w:r>
          </w:p>
        </w:tc>
        <w:tc>
          <w:tcPr>
            <w:tcW w:w="380" w:type="dxa"/>
            <w:vAlign w:val="bottom"/>
          </w:tcPr>
          <w:p>
            <w:pPr>
              <w:jc w:val="right"/>
              <w:spacing w:after="0"/>
              <w:rPr>
                <w:sz w:val="20"/>
                <w:szCs w:val="20"/>
                <w:color w:val="auto"/>
              </w:rPr>
            </w:pPr>
            <w:r>
              <w:rPr>
                <w:rFonts w:ascii="Arial" w:cs="Arial" w:eastAsia="Arial" w:hAnsi="Arial"/>
                <w:sz w:val="18"/>
                <w:szCs w:val="18"/>
                <w:color w:val="auto"/>
              </w:rPr>
              <w:t>15.9</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Effective income tax rate</w:t>
            </w:r>
          </w:p>
        </w:tc>
        <w:tc>
          <w:tcPr>
            <w:tcW w:w="2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60" w:type="dxa"/>
            <w:vAlign w:val="bottom"/>
            <w:gridSpan w:val="2"/>
            <w:vMerge w:val="continue"/>
          </w:tcPr>
          <w:p>
            <w:pPr>
              <w:spacing w:after="0"/>
              <w:rPr>
                <w:sz w:val="19"/>
                <w:szCs w:val="19"/>
                <w:color w:val="auto"/>
              </w:rPr>
            </w:pPr>
          </w:p>
        </w:tc>
        <w:tc>
          <w:tcPr>
            <w:tcW w:w="2320" w:type="dxa"/>
            <w:vAlign w:val="bottom"/>
          </w:tcPr>
          <w:p>
            <w:pPr>
              <w:spacing w:after="0"/>
              <w:rPr>
                <w:sz w:val="19"/>
                <w:szCs w:val="19"/>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w w:val="88"/>
              </w:rPr>
              <w:t>(17.4)%</w:t>
            </w: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w w:val="97"/>
              </w:rPr>
              <w:t>70.6%</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320" w:type="dxa"/>
            <w:vAlign w:val="bottom"/>
            <w:vMerge w:val="restart"/>
          </w:tcPr>
          <w:p>
            <w:pPr>
              <w:jc w:val="right"/>
              <w:ind w:right="1292"/>
              <w:spacing w:after="0"/>
              <w:rPr>
                <w:sz w:val="20"/>
                <w:szCs w:val="20"/>
                <w:color w:val="auto"/>
              </w:rPr>
            </w:pPr>
            <w:r>
              <w:rPr>
                <w:rFonts w:ascii="Arial" w:cs="Arial" w:eastAsia="Arial" w:hAnsi="Arial"/>
                <w:sz w:val="18"/>
                <w:szCs w:val="18"/>
                <w:color w:val="auto"/>
              </w:rPr>
              <w:t>122</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Deferred income taxes are provided for the effects of temporary differences between the tax basis of an asset or liability and its reported amount in the consolidated statements of financial condition. These temporary differences result in taxable or deductible amounts in future years. Details of the Company’s deferred tax assets and liabilities, which are included in “other assets” and “other liabilities”, respectively, on the consolidated statements of financial condition,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200" w:type="dxa"/>
            <w:vAlign w:val="bottom"/>
          </w:tcPr>
          <w:p>
            <w:pPr>
              <w:ind w:left="440"/>
              <w:spacing w:after="0"/>
              <w:rPr>
                <w:sz w:val="20"/>
                <w:szCs w:val="20"/>
                <w:color w:val="auto"/>
              </w:rPr>
            </w:pPr>
            <w:r>
              <w:rPr>
                <w:rFonts w:ascii="Arial" w:cs="Arial" w:eastAsia="Arial" w:hAnsi="Arial"/>
                <w:sz w:val="18"/>
                <w:szCs w:val="18"/>
                <w:color w:val="auto"/>
              </w:rPr>
              <w:t>Basis adjustments (primarily as a result of the reorganization related to the separation and recapitalization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0" w:type="dxa"/>
            <w:vAlign w:val="bottom"/>
          </w:tcPr>
          <w:p>
            <w:pPr>
              <w:ind w:left="660"/>
              <w:spacing w:after="0"/>
              <w:rPr>
                <w:sz w:val="20"/>
                <w:szCs w:val="20"/>
                <w:color w:val="auto"/>
              </w:rPr>
            </w:pPr>
            <w:r>
              <w:rPr>
                <w:rFonts w:ascii="Arial" w:cs="Arial" w:eastAsia="Arial" w:hAnsi="Arial"/>
                <w:sz w:val="18"/>
                <w:szCs w:val="18"/>
                <w:color w:val="auto"/>
              </w:rPr>
              <w:t>transactions that occurred during 2005 and from the secondary offerings)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52,460</w:t>
            </w:r>
          </w:p>
        </w:tc>
        <w:tc>
          <w:tcPr>
            <w:tcW w:w="3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58,384</w:t>
            </w:r>
          </w:p>
        </w:tc>
        <w:tc>
          <w:tcPr>
            <w:tcW w:w="0" w:type="dxa"/>
            <w:vAlign w:val="bottom"/>
          </w:tcPr>
          <w:p>
            <w:pPr>
              <w:spacing w:after="0"/>
              <w:rPr>
                <w:sz w:val="1"/>
                <w:szCs w:val="1"/>
                <w:color w:val="auto"/>
              </w:rPr>
            </w:pPr>
          </w:p>
        </w:tc>
      </w:tr>
      <w:tr>
        <w:trPr>
          <w:trHeight w:val="217"/>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71,548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47,578</w:t>
            </w:r>
          </w:p>
        </w:tc>
        <w:tc>
          <w:tcPr>
            <w:tcW w:w="0" w:type="dxa"/>
            <w:vAlign w:val="bottom"/>
          </w:tcPr>
          <w:p>
            <w:pPr>
              <w:spacing w:after="0"/>
              <w:rPr>
                <w:sz w:val="1"/>
                <w:szCs w:val="1"/>
                <w:color w:val="auto"/>
              </w:rPr>
            </w:pP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Net operating loss and tax credit carryforwards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39,419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37,172</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23"/>
        </w:trPr>
        <w:tc>
          <w:tcPr>
            <w:tcW w:w="9200" w:type="dxa"/>
            <w:vAlign w:val="bottom"/>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deferred tax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176,856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154,799</w:t>
            </w:r>
          </w:p>
        </w:tc>
        <w:tc>
          <w:tcPr>
            <w:tcW w:w="0" w:type="dxa"/>
            <w:vAlign w:val="bottom"/>
          </w:tcPr>
          <w:p>
            <w:pPr>
              <w:spacing w:after="0"/>
              <w:rPr>
                <w:sz w:val="1"/>
                <w:szCs w:val="1"/>
                <w:color w:val="auto"/>
              </w:rPr>
            </w:pPr>
          </w:p>
        </w:tc>
      </w:tr>
      <w:tr>
        <w:trPr>
          <w:trHeight w:val="223"/>
        </w:trPr>
        <w:tc>
          <w:tcPr>
            <w:tcW w:w="920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(110,127)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(108,312)</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deferred tax assets (net of valuation allowance)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66,729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18,577</w:t>
            </w:r>
          </w:p>
        </w:tc>
        <w:tc>
          <w:tcPr>
            <w:tcW w:w="3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18,515</w:t>
            </w:r>
          </w:p>
        </w:tc>
        <w:tc>
          <w:tcPr>
            <w:tcW w:w="0" w:type="dxa"/>
            <w:vAlign w:val="bottom"/>
          </w:tcPr>
          <w:p>
            <w:pPr>
              <w:spacing w:after="0"/>
              <w:rPr>
                <w:sz w:val="1"/>
                <w:szCs w:val="1"/>
                <w:color w:val="auto"/>
              </w:rPr>
            </w:pP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Compensation and benefits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8,005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11,084</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0" w:type="dxa"/>
            <w:vAlign w:val="bottom"/>
          </w:tcPr>
          <w:p>
            <w:pPr>
              <w:ind w:left="440"/>
              <w:spacing w:after="0"/>
              <w:rPr>
                <w:sz w:val="20"/>
                <w:szCs w:val="20"/>
                <w:color w:val="auto"/>
              </w:rPr>
            </w:pPr>
            <w:r>
              <w:rPr>
                <w:rFonts w:ascii="Arial" w:cs="Arial" w:eastAsia="Arial" w:hAnsi="Arial"/>
                <w:sz w:val="18"/>
                <w:szCs w:val="18"/>
                <w:color w:val="auto"/>
              </w:rPr>
              <w:t>Total deferred tax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31,407</w:t>
            </w:r>
          </w:p>
        </w:tc>
        <w:tc>
          <w:tcPr>
            <w:tcW w:w="3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32,471</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As a result of a reorganization of the ownership structure of several legal entities that occurred within Lazard Group during the year ended December 31, 2007, certain deferred tax assets previously reflected by Lazard Ltd were recorded by Lazard Group. These deferred tax assets primarily relate to a step-up in tax basis of net assets that occurred concurrently with the separation and recapitalization transactions by Lazard Ltd during 2005 and the secondary offerings. These deferred tax assets have, in large part, been offset by a valuation allowance due to the uncertainty of the realization of the benefits of the tax versus book basis differences.</w:t>
      </w:r>
    </w:p>
    <w:p>
      <w:pPr>
        <w:spacing w:after="0" w:line="12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Company’s net operating loss and tax credit carryforwards primarily relate to (i) carryforwards in the U.K. at December 31, 2009 and 2008, which may be carried forward indefinitely, subject to various limitations, and (ii) carryforwards in Italy and the U.S. at December 31, 2009 and 2008, which begin expiring in 2011.</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UBT attributable to certain member distributions has been reimbursed by the members under an agreement with the Company.</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adopted accounting guidance for uncertainty in income taxes on January 1, 2007. The cumulative effect of the Company’s adoption of such guidance was a charge of $14,721 which is reflected in the January 1, 2007 members’ deficiency balance.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With few exceptions, the Company is no longer subject to income tax examination by foreign tax authorities for years prior to 2005 and by U.S. federal, state and local tax authorities for years prior to 2006. While we are under examination in various tax jurisdictions with respect to certain open years, the Company believes that the result of any final determination related to these examinations is not expected to have a material impact on its financial statements. Developments with respect to such examinations are monitored on an ongoing basis and adjustments to tax liabilities are made as appropriate.</w:t>
      </w:r>
    </w:p>
    <w:p>
      <w:pPr>
        <w:spacing w:after="0" w:line="9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reconciliation of the beginning to the ending amount of gross unrecognized tax benefits (excluding interest and penalties) for the years ended December 31, 2009, 2008 and 2007 is as follows:</w:t>
      </w:r>
    </w:p>
    <w:p>
      <w:pPr>
        <w:spacing w:after="0" w:line="1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5"/>
          </w:tcPr>
          <w:p>
            <w:pPr>
              <w:jc w:val="center"/>
              <w:ind w:left="36"/>
              <w:spacing w:after="0"/>
              <w:rPr>
                <w:sz w:val="20"/>
                <w:szCs w:val="20"/>
                <w:color w:val="auto"/>
              </w:rPr>
            </w:pPr>
            <w:r>
              <w:rPr>
                <w:rFonts w:ascii="Arial" w:cs="Arial" w:eastAsia="Arial" w:hAnsi="Arial"/>
                <w:sz w:val="14"/>
                <w:szCs w:val="14"/>
                <w:b w:val="1"/>
                <w:bCs w:val="1"/>
                <w:color w:val="auto"/>
                <w:w w:val="88"/>
              </w:rPr>
              <w:t>Year Ended</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5"/>
          </w:tcPr>
          <w:p>
            <w:pPr>
              <w:jc w:val="center"/>
              <w:ind w:left="16"/>
              <w:spacing w:after="0"/>
              <w:rPr>
                <w:sz w:val="20"/>
                <w:szCs w:val="20"/>
                <w:color w:val="auto"/>
              </w:rPr>
            </w:pPr>
            <w:r>
              <w:rPr>
                <w:rFonts w:ascii="Arial" w:cs="Arial" w:eastAsia="Arial" w:hAnsi="Arial"/>
                <w:sz w:val="14"/>
                <w:szCs w:val="14"/>
                <w:b w:val="1"/>
                <w:bCs w:val="1"/>
                <w:color w:val="auto"/>
                <w:w w:val="85"/>
              </w:rPr>
              <w:t>December 31,</w:t>
            </w: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bottom w:val="single" w:sz="8" w:color="auto"/>
            </w:tcBorders>
            <w:gridSpan w:val="3"/>
          </w:tcPr>
          <w:p>
            <w:pPr>
              <w:jc w:val="right"/>
              <w:ind w:right="76"/>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w w:val="93"/>
              </w:rPr>
              <w:t>Balance, January 1 (excluding interest and penalties of $5,408, $5,195 and $5,132, respectively)</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$31,256</w:t>
            </w:r>
          </w:p>
        </w:tc>
        <w:tc>
          <w:tcPr>
            <w:tcW w:w="2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$23,368</w:t>
            </w:r>
          </w:p>
        </w:tc>
        <w:tc>
          <w:tcPr>
            <w:tcW w:w="1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$26,123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Increases in gross unrecognized tax benefits relating to tax positions taken during:</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Prior years</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4,859</w:t>
            </w:r>
          </w:p>
        </w:tc>
        <w:tc>
          <w:tcPr>
            <w:tcW w:w="2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220" w:type="dxa"/>
            <w:vAlign w:val="bottom"/>
          </w:tcPr>
          <w:p>
            <w:pPr>
              <w:ind w:left="440"/>
              <w:spacing w:after="0"/>
              <w:rPr>
                <w:sz w:val="20"/>
                <w:szCs w:val="20"/>
                <w:color w:val="auto"/>
              </w:rPr>
            </w:pPr>
            <w:r>
              <w:rPr>
                <w:rFonts w:ascii="Arial" w:cs="Arial" w:eastAsia="Arial" w:hAnsi="Arial"/>
                <w:sz w:val="18"/>
                <w:szCs w:val="18"/>
                <w:color w:val="auto"/>
              </w:rPr>
              <w:t>Current year</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13,157</w:t>
            </w:r>
          </w:p>
        </w:tc>
        <w:tc>
          <w:tcPr>
            <w:tcW w:w="22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7,846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5,486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Decreases in gross unrecognized tax benefits relating to:</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220" w:type="dxa"/>
            <w:vAlign w:val="bottom"/>
          </w:tcPr>
          <w:p>
            <w:pPr>
              <w:ind w:left="440"/>
              <w:spacing w:after="0"/>
              <w:rPr>
                <w:sz w:val="20"/>
                <w:szCs w:val="20"/>
                <w:color w:val="auto"/>
              </w:rPr>
            </w:pPr>
            <w:r>
              <w:rPr>
                <w:rFonts w:ascii="Arial" w:cs="Arial" w:eastAsia="Arial" w:hAnsi="Arial"/>
                <w:sz w:val="18"/>
                <w:szCs w:val="18"/>
                <w:color w:val="auto"/>
              </w:rPr>
              <w:t>Tax positions taken during prior years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52"/>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(393)</w:t>
            </w:r>
          </w:p>
        </w:tc>
        <w:tc>
          <w:tcPr>
            <w:tcW w:w="1040" w:type="dxa"/>
            <w:vAlign w:val="bottom"/>
            <w:gridSpan w:val="5"/>
          </w:tcPr>
          <w:p>
            <w:pPr>
              <w:jc w:val="right"/>
              <w:ind w:right="60"/>
              <w:spacing w:after="0"/>
              <w:rPr>
                <w:sz w:val="20"/>
                <w:szCs w:val="20"/>
                <w:color w:val="auto"/>
              </w:rPr>
            </w:pPr>
            <w:r>
              <w:rPr>
                <w:rFonts w:ascii="Arial" w:cs="Arial" w:eastAsia="Arial" w:hAnsi="Arial"/>
                <w:sz w:val="18"/>
                <w:szCs w:val="18"/>
                <w:color w:val="auto"/>
              </w:rPr>
              <w:t>(7,052)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 with tax authorities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(212)</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7220" w:type="dxa"/>
            <w:vAlign w:val="bottom"/>
          </w:tcPr>
          <w:p>
            <w:pPr>
              <w:ind w:left="440"/>
              <w:spacing w:after="0"/>
              <w:rPr>
                <w:sz w:val="20"/>
                <w:szCs w:val="20"/>
                <w:color w:val="auto"/>
              </w:rPr>
            </w:pPr>
            <w:r>
              <w:rPr>
                <w:rFonts w:ascii="Arial" w:cs="Arial" w:eastAsia="Arial" w:hAnsi="Arial"/>
                <w:sz w:val="18"/>
                <w:szCs w:val="18"/>
                <w:color w:val="auto"/>
              </w:rPr>
              <w:t>Lapse of the applicable statute of limitations</w:t>
            </w:r>
          </w:p>
        </w:tc>
        <w:tc>
          <w:tcPr>
            <w:tcW w:w="980" w:type="dxa"/>
            <w:vAlign w:val="bottom"/>
            <w:gridSpan w:val="5"/>
          </w:tcPr>
          <w:p>
            <w:pPr>
              <w:jc w:val="right"/>
              <w:ind w:right="112"/>
              <w:spacing w:after="0"/>
              <w:rPr>
                <w:sz w:val="20"/>
                <w:szCs w:val="20"/>
                <w:color w:val="auto"/>
              </w:rPr>
            </w:pPr>
            <w:r>
              <w:rPr>
                <w:rFonts w:ascii="Arial" w:cs="Arial" w:eastAsia="Arial" w:hAnsi="Arial"/>
                <w:sz w:val="18"/>
                <w:szCs w:val="18"/>
                <w:color w:val="auto"/>
              </w:rPr>
              <w:t>(7,203)</w:t>
            </w:r>
          </w:p>
        </w:tc>
        <w:tc>
          <w:tcPr>
            <w:tcW w:w="1040" w:type="dxa"/>
            <w:vAlign w:val="bottom"/>
            <w:gridSpan w:val="5"/>
          </w:tcPr>
          <w:p>
            <w:pPr>
              <w:jc w:val="right"/>
              <w:ind w:right="120"/>
              <w:spacing w:after="0"/>
              <w:rPr>
                <w:sz w:val="20"/>
                <w:szCs w:val="20"/>
                <w:color w:val="auto"/>
              </w:rPr>
            </w:pPr>
            <w:r>
              <w:rPr>
                <w:rFonts w:ascii="Arial" w:cs="Arial" w:eastAsia="Arial" w:hAnsi="Arial"/>
                <w:sz w:val="18"/>
                <w:szCs w:val="18"/>
                <w:color w:val="auto"/>
              </w:rPr>
              <w:t>(3,364)</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(excluding interest and penalties of $7,059, $5,408 and $5,195,</w:t>
            </w: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7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42,069</w:t>
            </w:r>
          </w:p>
        </w:tc>
        <w:tc>
          <w:tcPr>
            <w:tcW w:w="22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31,256</w:t>
            </w:r>
          </w:p>
        </w:tc>
        <w:tc>
          <w:tcPr>
            <w:tcW w:w="16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23,368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Additional information with respect to unrecognized tax benefits is as follows:</w:t>
            </w: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3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9"/>
          </w:tcPr>
          <w:p>
            <w:pPr>
              <w:jc w:val="right"/>
              <w:ind w:right="40"/>
              <w:spacing w:after="0"/>
              <w:rPr>
                <w:sz w:val="20"/>
                <w:szCs w:val="20"/>
                <w:color w:val="auto"/>
              </w:rPr>
            </w:pPr>
            <w:r>
              <w:rPr>
                <w:rFonts w:ascii="Arial" w:cs="Arial" w:eastAsia="Arial" w:hAnsi="Arial"/>
                <w:sz w:val="14"/>
                <w:szCs w:val="14"/>
                <w:b w:val="1"/>
                <w:bCs w:val="1"/>
                <w:color w:val="auto"/>
                <w:w w:val="97"/>
              </w:rPr>
              <w:t>Year Ended December 31,</w:t>
            </w: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20" w:type="dxa"/>
            <w:vAlign w:val="bottom"/>
          </w:tcPr>
          <w:p>
            <w:pPr>
              <w:spacing w:after="0"/>
              <w:rPr>
                <w:sz w:val="17"/>
                <w:szCs w:val="17"/>
                <w:color w:val="auto"/>
              </w:rPr>
            </w:pPr>
          </w:p>
        </w:tc>
        <w:tc>
          <w:tcPr>
            <w:tcW w:w="7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Unrecognized tax benefits at the end of the period that, if recognized, would favorably affect the</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7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effective tax rate (includes interest and penalties of $7,059, $5,408 and $5,195, respectively)</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$ 41,405</w:t>
            </w:r>
          </w:p>
        </w:tc>
        <w:tc>
          <w:tcPr>
            <w:tcW w:w="10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$ 27,770</w:t>
            </w:r>
          </w:p>
        </w:tc>
        <w:tc>
          <w:tcPr>
            <w:tcW w:w="10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$ 25,477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Offset to deferred tax assets for unrecognized tax benefits</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7,723</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8,894</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3,086</w:t>
            </w: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w w:val="90"/>
              </w:rPr>
              <w:t>Interest and penalties recognized in current income tax expense (after giving effect to the reversal of</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7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and penalties of $1,223, $1,730 and $1,002, respectively)</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 Company anticipates that it is reasonably possible that the total amount of unrecognized tax benefits recorded at December 31, 2009 will decrease within 12 months by an amount up to approximately $12,200 as a result of the lapse of the statute of limitations in various tax jurisdictions.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Amounts receivable from, and payable to, related parties as of December 31, 2009 and 2008 are set forth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68"/>
        </w:trPr>
        <w:tc>
          <w:tcPr>
            <w:tcW w:w="95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9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95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Receivables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LFCM Holdings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14,212</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Lazard Ltd Subsidiaries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6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46,099</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60" w:type="dxa"/>
            <w:vAlign w:val="bottom"/>
            <w:vMerge w:val="restart"/>
          </w:tcPr>
          <w:p>
            <w:pPr>
              <w:spacing w:after="0"/>
              <w:rPr>
                <w:sz w:val="20"/>
                <w:szCs w:val="20"/>
                <w:color w:val="auto"/>
              </w:rPr>
            </w:pPr>
            <w:r>
              <w:rPr>
                <w:rFonts w:ascii="Arial" w:cs="Arial" w:eastAsia="Arial" w:hAnsi="Arial"/>
                <w:sz w:val="18"/>
                <w:szCs w:val="18"/>
                <w:b w:val="1"/>
                <w:bCs w:val="1"/>
                <w:color w:val="auto"/>
              </w:rPr>
              <w:t>Payables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5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LFCM Holdings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Lazard Ltd Subsidiaries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240,518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262,875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60" w:type="dxa"/>
            <w:vAlign w:val="bottom"/>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242,284</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263,975</w:t>
            </w: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LFCM Holdings</w:t>
      </w:r>
    </w:p>
    <w:p>
      <w:pPr>
        <w:spacing w:after="0" w:line="8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LFCM Holdings owns and operates the capital markets business and fund management activities, as well as other specified non-operating assets and liabilities, that were transferred to it by Lazard Group (referred to as the “separated businesses”) in May 2005 and is owned by the current and former working members, including certain of Lazard’s current and former managing directors (which also include our executive officers) who are also members of LAZ-MD Holdings. In addition to the master separation agreement, which effected the separation and recapitalization that occurred in May 2005, LFCM Holdings entered into an insurance matters agreement and a license agreement that addressed various business matters associated with the separation, as well as several other agreements discussed below.</w:t>
      </w:r>
    </w:p>
    <w:p>
      <w:pPr>
        <w:spacing w:after="0" w:line="13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employee benefits agreement, dated as of May 10, 2005, by and among Lazard Ltd, Lazard Group, LAZ-MD Holdings and LFCM Holdings, LFCM Holdings generally assumed, as of the completion of the separation and recapitalization transactions, all outstanding and future liabilities in respect of the current and former employees of the separated businesses. The Company retained all accrued liabilities under, and assets of, the pension plans in the U.S. and the U.K. as well as the 401(k) plan accounts of the inactive employees of LFCM Holdings and its subsidiaries.</w:t>
      </w:r>
    </w:p>
    <w:p>
      <w:pPr>
        <w:spacing w:after="0" w:line="9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Pursuant to the administrative services agreement, dated as of May 10, 2005, by and among LAZ-MD Holdings, LFCM Holdings and Lazard Group (the “administrative services agreement”), Lazard Group provides selected administrative and support services to LAZ-MD Holdings and LFCM Holdings, such as cash management and debt service administration, accounting and financing activities, tax, payroll, human resources administration, financial transaction support, information technology, public communications, data processing, procurement, real estate management and other general administrative functions. Lazard Group charges for these services based on Lazard Group’s cost allocation methodology.</w:t>
      </w:r>
    </w:p>
    <w:p>
      <w:pPr>
        <w:spacing w:after="0" w:line="10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services provided pursuant to the administrative services agreement by Lazard Group to LFCM Holdings and by LFCM Holdings to Lazard Group generally expired December 31, 2008, and were subject to automatic annual renewal, unless either party gives 180 days’ notice of termination. As of December 31, 2009,</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neither party has given the required notice of termination, and the agreement has been automatically renewed for a period of one year. LFCM Holdings and Lazard Group have a right to terminate the services earlier if there is a change of control of either party or the business alliance provided in the business alliance agreement (described below) expires or is terminated. The party receiving a service may also terminate a service earlier upon 180 days’ notice as long as the receiving party pays the service provider an additional three months of service fee for the terminated service. In addition, in connection with the various agreements entered into regarding the CP II MgmtCo Spin-Off, Lazard Group agreed to provide certain specified services to LFCM Holdings (which, in turn, LFCM Holdings may provide to CP II MgmtCo) and to generally not terminate such specified services until June 30, 2010.</w:t>
      </w:r>
    </w:p>
    <w:p>
      <w:pPr>
        <w:spacing w:after="0" w:line="10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business alliance agreement provides, among other matters, that Lazard Group will refer to LFCM Holdings selected opportunities for underwriting and distribution of securities. In addition, Lazard Group will provide assistance in the execution of any such referred business. In exchange for the referral obligation and assistance, Lazard Group will receive a referral fee from LFCM Holdings equal to approximately one-half of the revenue obtained by LFCM Holdings in respect of any underwriting or distribution opportunity. In addition, LFCM Holdings will refer opportunities in the Financial Advisory and Asset Management businesses to Lazard Group. In exchange for this referral, LFCM Holdings will be entitled to a customary finders’ fee from Lazard Group. The business alliance agreement further provides that, during the term of the business alliance, LFNY and Lazard Asset Management Securities LLC, an indirect wholly-owned subsidiary of LFNY, will introduce execution and settlement transactions to broker-dealer entities affiliated with LFCM Holdings. The term of the business alliance will expire on the fifth anniversary of the equity public offering, subject to periodic automatic renewal, unless either party elects to terminate in connection with any such renewal or elects to terminate on account of a change of control of either party.</w:t>
      </w:r>
    </w:p>
    <w:p>
      <w:pPr>
        <w:spacing w:after="0" w:line="10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For the years ended December 31, 2009, 2008 and 2007, amounts recorded by Lazard Group relating to administrative and support services under the administrative services agreement amounted to $9,717, $7,138 and $3,769, respectively, and net referral fees for underwriting, private placement, M&amp;A and restructuring transactions under the business alliance agreement amounted to $12,301, $26,472 and $31,722, respectively. Amounts relating to administrative and support services under the administrative services agreement are reported as reductions to operating expenses. Net referral fees for underwriting transactions under the business alliance agreement are reported as reductions to “revenue-other”. Net referral fees for private placement, M&amp;A and restructuring transactions under the business alliance agreement are reported as reductions to advisory fee revenue.</w:t>
      </w:r>
    </w:p>
    <w:p>
      <w:pPr>
        <w:spacing w:after="0" w:line="10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In connection with the separation, Lazard Group transferred to LFCM Holdings its ownership interest in Panmure Gordon &amp; Co. plc (“PG&amp;C”). Lazard Group and LFCM Holdings agreed to share any net cash proceeds derived prior to May 2013 from any subsequent sale by LFCM Holdings of the shares it owns in PG&amp;C. As a result of LFCM Holdings selling a portion of its interest in PG&amp;C in June 2007, the Company recorded a gain of $9,296, which is included in “revenue-other” on the consolidated statement of operations for the year ended December 31, 2007. The above-mentioned transaction resulted in a $4,025 increase in operating income for year ended December 31, 2007. As of December 31, 2009 and 2008, LFCM Holdings owned 8.24% and 15.6% of PG&amp;C, respectively.</w:t>
      </w:r>
    </w:p>
    <w:p>
      <w:pPr>
        <w:spacing w:after="0" w:line="13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a master separation agreement and a related lease indemnity agreement, dated as of May 10, 2005 and related agreements, LFCM Holdings is obligated to indemnify Lazard Group for certain liabilities relating to abandoned leased space in the U.K. The net present value of the receivable due from LFCM Holdings with respect to such indemnification at December 31, 2009 and 2008 was $1,180 and $4,085, respectively. The balance is due based on a schedule of periodic payments through May 10, 2010.</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80"/>
          </w:cols>
          <w:pgMar w:left="240" w:top="459" w:right="2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remaining receivables from LFCM Holdings and its subsidiaries as of December 31, 2009 and 2008 primarily include $5,891 and $4,949, respectively, related to administrative and support services and reimbursement of expenses incurred on behalf of LFCM Holdings and $6,202 and $1,087, respectively, related to referral fees for underwriting and private placement transactions. Payables to LFCM Holdings and its subsidiaries at December 31, 2009 and 2008 principally relate to referral fees for Financial Advisory transactions.</w:t>
      </w:r>
    </w:p>
    <w:p>
      <w:pPr>
        <w:spacing w:after="0" w:line="13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See Note 16 of Notes to Consolidated Financial Statements for information regarding the 2008 Secondary Offering for which LCM participated as an underwriter. In addition, see Notes 10 and 15 of Notes to Consolidated Financial Statements for information regarding the CP MgmtCo Spin-Off and Sapphire, respectively.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Lazard Group provides selected administrative and support services to LAZ-MD Holdings through the administrative services agreement as discussed above, with such services generally to be provided until December 31, 2014 unless terminated earlier because of a change in control of either party. Lazard Group charges LAZ-MD Holdings for these services based on Lazard Group’s cost allocation methodology and, for the years ended December 31, 2009, 2008 and 2007, such charges amounted to $750, $750 and $1,300, respectively.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Lazard Ltd Subsidiaries</w:t>
      </w:r>
    </w:p>
    <w:p>
      <w:pPr>
        <w:spacing w:after="0" w:line="8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Lazard Group’s receivables from subsidiaries of Lazard Ltd at December 31, 2009 and 2008 include interest-bearing loans of $29,732 and $55,715, respectively, including accrued interest thereon. Interest income relating to interest-bearing loans with subsidiaries of Lazard Ltd amounted to $4,887 and $413 for the years ended December 31, 2009 and 2008, respectively.</w:t>
      </w:r>
    </w:p>
    <w:p>
      <w:pPr>
        <w:spacing w:after="0" w:line="12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of December 31, 2009 and 2008, Lazard Group’s payables to subsidiaries of Lazard Ltd included $64,305 and $64,512, respectively, related to the LAM Merger (see Note 8 of Notes to Consolidated Financial Statements), as well as payables at December 31, 2009 and 2008 aggregating $39,820 and $43,634, respectively, in connection with Lazard Group’s acquisition of GAHL and Edgewater’s management vehicles, and with respect to Lazard Ltd’s acquisition of CWC and subsequent contribution of CWC to Lazard Group (see Note 9 of Notes to Consolidated Financial Statements). In addition, as of December 31, 2009 and 2008, Lazard Group’s payables to subsidiaries of Lazard Ltd include interest-bearing loans, plus accrued interest thereon, of $136,329 and $154,706, respectively. Interest expense relating to interest-bearing loans with subsidiaries of Lazard Ltd amounted to $6,181 and $1,847 for the years ended December 31, 2009 and 2008, respectively.</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w:t>
      </w:r>
    </w:p>
    <w:p>
      <w:pPr>
        <w:spacing w:after="0" w:line="83"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For the year ended December 31, 2008, expenses recorded by Lazard Group relating to referral fees for restructuring transactions and fee sharing with MBA amounted to $2,397. There were no such amounts for the years ended December 31, 2009 and 2007. At December 31, 2008, the balance of such related party transactions are included within related party payables in the accompanying consolidated statement of financial condition.</w:t>
      </w:r>
    </w:p>
    <w:p>
      <w:pPr>
        <w:spacing w:after="0" w:line="93"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LFNY is a U.S. registered broker-dealer and is subject to the net capital requirements of Rule 15c3-1 under the Exchange Act. Under the basic method permitted by this rule, the minimum required net capital, as defined,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is a specified fixed percentage of total aggregate indebtedness recorded in LFNY’s Financial and Operational Combined Uniform Single (“FOCUS”) report filed with the Financial Industry Regulatory Authority (“FINRA”), or $100, whichever is greater. At December 31, 2009, LFNY’s regulatory net capital was $45,417, which exceeded the minimum requirement by $35,843.</w:t>
      </w:r>
    </w:p>
    <w:p>
      <w:pPr>
        <w:spacing w:after="0" w:line="127"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Services Authority. At December 31, 2009, the aggregate regulatory net capital of the U.K. Subsidiaries was $153,043, which exceeded the minimum requirement by $115,198.</w:t>
      </w:r>
    </w:p>
    <w:p>
      <w:pPr>
        <w:spacing w:after="0" w:line="12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CFLF, through which non-corporate finance advisory activities are carried out in France, is subject to regulation by the Commission Bancaire and the Comité des Etablissements de Crédit et des Entreprises d’Investissement for its banking activities conducted through its subsidiary, LFB. In addition, the investment services activities of the Paris group, exercised through LFB and other subsidiaries of CFLF, primarily LFG (asset management), are subject to regulation and supervision by the Autorité des Marchés Financiers. At December 31, 2009, the consolidated regulatory net capital of CFLF was $191,636, which exceeded the minimum requirement set for regulatory capital levels by $86,219.</w:t>
      </w:r>
    </w:p>
    <w:p>
      <w:pPr>
        <w:spacing w:after="0" w:line="10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December 31, 2009, for those subsidiaries with regulatory capital requirements, their aggregate net capital was $77,725, which exceeded the minimum required capital by $55,381.</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2009, each of these subsidiaries individually was in compliance with its regulatory capital requirements.</w:t>
      </w:r>
    </w:p>
    <w:p>
      <w:pPr>
        <w:spacing w:after="0" w:line="15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Lazard Ltd is currently subject to supervision by the SEC as a Supervised Investment Bank Holding Company (“SIBHC”). As a SIBHC, Lazard Ltd is subject to group-wide supervision, which requires it to compute allowable capital and risk allowances on a consolidated basis. We believe that Lazard Ltd is the only institution currently subject to supervision by the SEC as a SIBHC. We are in discussions with the SEC and other authorities regarding the scope and nature of Lazard Ltd’s reporting and other obligations under the SIBHC program.</w:t>
      </w:r>
    </w:p>
    <w:p>
      <w:pPr>
        <w:spacing w:after="0" w:line="13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December 11, 2009, the U.S. House of Representatives passed The Wall Street Reform and Consumer Protection Act of 2009 (the “2009 Act”). The 2009 Act is currently pending in the U.S. Senate. We are not able to predict what action or changes, if any, will result from the Senate’s consideration of the 2009 Act. We currently are in the process of examining the potential impact of the 2009 Act on us and the SIBHC program, but, given the uncertainty of possible changes to the 2009 Act, we are not able to predict the ultimate effect on us and the SIBHC program.</w:t>
      </w:r>
    </w:p>
    <w:p>
      <w:pPr>
        <w:spacing w:after="0" w:line="99"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Financial Advisory (which includes providing general strategic and transaction-specific advice on M&amp;A and other strategic matters, restructurings, capital structure, capital raising and various other corporate finance matters), and Asset Management (which includes the management of equity and fixed income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60"/>
          </w:cols>
          <w:pgMar w:left="240" w:top="459" w:right="2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securities and alternative investment and private equity funds). In addition, the Company records selected other activities in its Corporate segment, including management of cash, certain investments and the commercial banking activities of LFB. The Company also allocates outstanding indebtedness to its Corporate segment.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segment information for the years ended December 31, 2009, 2008 and 2007 is prepared using the following methodology:</w:t>
      </w:r>
    </w:p>
    <w:p>
      <w:pPr>
        <w:spacing w:after="0" w:line="100" w:lineRule="exact"/>
        <w:rPr>
          <w:sz w:val="20"/>
          <w:szCs w:val="20"/>
          <w:color w:val="auto"/>
        </w:rPr>
      </w:pPr>
    </w:p>
    <w:p>
      <w:pPr>
        <w:ind w:left="780" w:hanging="32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03"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37"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18"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2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There were no clients for the years ended December 31, 2009, 2008 and 2007 that individually constituted more than 10% of the net revenue of either of the Company’s business segments.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Management evaluates segment results based on net revenue and operating income and believes that the following information provides a reasonable representation of each segment’s contribution with respect to net revenue, operating income (loss) and total assets: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6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w w:val="99"/>
              </w:rPr>
              <w:t>As Of Or 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Advisory</w:t>
            </w:r>
          </w:p>
        </w:tc>
        <w:tc>
          <w:tcPr>
            <w:tcW w:w="51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986,820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1,022,913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1,240,177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140" w:type="dxa"/>
            <w:vAlign w:val="bottom"/>
          </w:tcPr>
          <w:p>
            <w:pPr>
              <w:ind w:left="1380"/>
              <w:spacing w:after="0"/>
              <w:rPr>
                <w:sz w:val="20"/>
                <w:szCs w:val="20"/>
                <w:color w:val="auto"/>
              </w:rPr>
            </w:pPr>
            <w:r>
              <w:rPr>
                <w:rFonts w:ascii="Arial" w:cs="Arial" w:eastAsia="Arial" w:hAnsi="Arial"/>
                <w:sz w:val="18"/>
                <w:szCs w:val="18"/>
                <w:color w:val="auto"/>
              </w:rPr>
              <w:t>Operating Expenses (a)</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998,727</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796,970</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920,705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1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Operating Income (Loss) (b)</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(11,907)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225,943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140" w:type="dxa"/>
            <w:vAlign w:val="bottom"/>
          </w:tcPr>
          <w:p>
            <w:pPr>
              <w:ind w:left="138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706,785</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739,444</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811,752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Management</w:t>
            </w:r>
          </w:p>
        </w:tc>
        <w:tc>
          <w:tcPr>
            <w:tcW w:w="51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601,652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614,781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140" w:type="dxa"/>
            <w:vAlign w:val="bottom"/>
          </w:tcPr>
          <w:p>
            <w:pPr>
              <w:ind w:left="1380"/>
              <w:spacing w:after="0"/>
              <w:rPr>
                <w:sz w:val="20"/>
                <w:szCs w:val="20"/>
                <w:color w:val="auto"/>
              </w:rPr>
            </w:pPr>
            <w:r>
              <w:rPr>
                <w:rFonts w:ascii="Arial" w:cs="Arial" w:eastAsia="Arial" w:hAnsi="Arial"/>
                <w:sz w:val="18"/>
                <w:szCs w:val="18"/>
                <w:color w:val="auto"/>
              </w:rPr>
              <w:t>Operating Expenses (a)</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504,452</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678,170</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539,800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1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Operating Income (Loss) (b)</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(63,389)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140" w:type="dxa"/>
            <w:vAlign w:val="bottom"/>
          </w:tcPr>
          <w:p>
            <w:pPr>
              <w:ind w:left="138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702,775</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419,858</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580,716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51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(58,509)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(82,725)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(48,035)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140" w:type="dxa"/>
            <w:vAlign w:val="bottom"/>
          </w:tcPr>
          <w:p>
            <w:pPr>
              <w:ind w:left="1380"/>
              <w:spacing w:after="0"/>
              <w:rPr>
                <w:sz w:val="20"/>
                <w:szCs w:val="20"/>
                <w:color w:val="auto"/>
              </w:rPr>
            </w:pPr>
            <w:r>
              <w:rPr>
                <w:rFonts w:ascii="Arial" w:cs="Arial" w:eastAsia="Arial" w:hAnsi="Arial"/>
                <w:sz w:val="18"/>
                <w:szCs w:val="18"/>
                <w:color w:val="auto"/>
              </w:rPr>
              <w:t>Operating Expenses (a)</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208,772</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37,800</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1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Operating Income (Loss) (b)</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(267,281)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(120,525)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140" w:type="dxa"/>
            <w:vAlign w:val="bottom"/>
          </w:tcPr>
          <w:p>
            <w:pPr>
              <w:ind w:left="138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1,705,488</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1,726,280</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2,371,474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1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1,529,963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1,554,969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1,916,893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140" w:type="dxa"/>
            <w:vAlign w:val="bottom"/>
          </w:tcPr>
          <w:p>
            <w:pPr>
              <w:ind w:left="1380"/>
              <w:spacing w:after="0"/>
              <w:rPr>
                <w:sz w:val="20"/>
                <w:szCs w:val="20"/>
                <w:color w:val="auto"/>
              </w:rPr>
            </w:pPr>
            <w:r>
              <w:rPr>
                <w:rFonts w:ascii="Arial" w:cs="Arial" w:eastAsia="Arial" w:hAnsi="Arial"/>
                <w:sz w:val="18"/>
                <w:szCs w:val="18"/>
                <w:color w:val="auto"/>
              </w:rPr>
              <w:t>Operating Expenses (a)</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1,711,951</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1,512,940</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1,480,829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1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Operating Income (Loss) (b)</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(181,988)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140" w:type="dxa"/>
            <w:vAlign w:val="bottom"/>
            <w:vMerge w:val="restart"/>
          </w:tcPr>
          <w:p>
            <w:pPr>
              <w:ind w:left="138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1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3,115,048</w:t>
            </w:r>
          </w:p>
        </w:tc>
        <w:tc>
          <w:tcPr>
            <w:tcW w:w="4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2,885,582</w:t>
            </w:r>
          </w:p>
        </w:tc>
        <w:tc>
          <w:tcPr>
            <w:tcW w:w="5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3,763,942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56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Operating expenses include depreciation and amortization of property as set forth in table below.</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jc w:val="right"/>
              <w:ind w:right="336"/>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Financial Advisory</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5,583</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Asset Management</w:t>
            </w:r>
          </w:p>
        </w:tc>
        <w:tc>
          <w:tcPr>
            <w:tcW w:w="4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3,557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3,451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4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13,051</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11,791</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9,338</w:t>
            </w:r>
          </w:p>
        </w:tc>
        <w:tc>
          <w:tcPr>
            <w:tcW w:w="0" w:type="dxa"/>
            <w:vAlign w:val="bottom"/>
          </w:tcPr>
          <w:p>
            <w:pPr>
              <w:spacing w:after="0"/>
              <w:rPr>
                <w:sz w:val="1"/>
                <w:szCs w:val="1"/>
                <w:color w:val="auto"/>
              </w:rPr>
            </w:pPr>
          </w:p>
        </w:tc>
      </w:tr>
      <w:tr>
        <w:trPr>
          <w:trHeight w:val="221"/>
        </w:trPr>
        <w:tc>
          <w:tcPr>
            <w:tcW w:w="3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4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22,541</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20,825</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340" w:type="dxa"/>
            <w:vAlign w:val="bottom"/>
            <w:vMerge w:val="restart"/>
          </w:tcPr>
          <w:p>
            <w:pPr>
              <w:jc w:val="right"/>
              <w:ind w:right="2312"/>
              <w:spacing w:after="0"/>
              <w:rPr>
                <w:sz w:val="20"/>
                <w:szCs w:val="20"/>
                <w:color w:val="auto"/>
              </w:rPr>
            </w:pPr>
            <w:r>
              <w:rPr>
                <w:rFonts w:ascii="Arial" w:cs="Arial" w:eastAsia="Arial" w:hAnsi="Arial"/>
                <w:sz w:val="18"/>
                <w:szCs w:val="18"/>
                <w:color w:val="auto"/>
              </w:rPr>
              <w:t>130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right="180" w:hanging="452"/>
        <w:spacing w:after="0" w:line="268"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Operating income (loss) in 2009 and 2008 was significantly impacted by certain special items. Such impact, including the amounts attributable to each of the Company’s business segments, are described in the table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3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8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9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7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Operating income (loss), as reported above</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$(11,907)</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$225,943</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$319,472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Special item:</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w w:val="98"/>
              </w:rPr>
              <w:t>Acceleration of amortization expense related to previously awarded deferred cash incentive awards</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48,533</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excluding impact of special item</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$36,626</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$225,943</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319,472</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 Management</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20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as reported above</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$97,200</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$(63,389)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$184,951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Special items: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Impact of the LAM Merger</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197,550</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w w:val="98"/>
              </w:rPr>
              <w:t>Acceleration of amortization expense related to previously awarded deferred cash incentive awards</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7,508</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excluding impact of special items</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$104,708</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$134,161</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184,951</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Corporate</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20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as reported above</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$(267,281)</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$(120,525)</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Special items: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Impact of the LAM Merger</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Restructuring expense</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62,550</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Acceleration of amortization expense related to the vesting of RSUs held by Lazard’s former Chairman</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and Chief Executive Officer</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86,514</w:t>
            </w: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w w:val="98"/>
              </w:rPr>
              <w:t>Acceleration of amortization expense related to previously awarded deferred cash incentive awards</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4,471</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excluding impact of special items</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(113,746)</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$(118,525)</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$(68,359)</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20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as reported above</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$(181,988)</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$42,029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$436,064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Special items: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Impact of the LAM Merger</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199,550</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Restructuring expense</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62,550</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Acceleration of amortization expense related to the vesting of RSUs held by Lazard’s former Chairman</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and Chief Executive Officer</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86,514</w:t>
            </w: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w w:val="98"/>
              </w:rPr>
              <w:t>Acceleration of amortization expense related to previously awarded deferred cash incentive awards</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60,512</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excluding impact of special items</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  27,588</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  241,579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436,064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8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Due to the highly integrated nature of international financial markets, the Company manages its business based on the profitability of the enterprise as a whole. Accordingly, management believes that profitability by geographic region is not necessarily meaningful. The Company’s revenue and identifiable assets are generally allocated based on the country or domicile of the legal entity providing the service.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table sets forth the net revenue from, and identifiable assets for, the Company and its consolidated subsidiaries by geographic region allocated on the basis described above.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9"/>
          </w:tcPr>
          <w:p>
            <w:pPr>
              <w:jc w:val="right"/>
              <w:ind w:right="233"/>
              <w:spacing w:after="0"/>
              <w:rPr>
                <w:sz w:val="20"/>
                <w:szCs w:val="20"/>
                <w:color w:val="auto"/>
              </w:rPr>
            </w:pPr>
            <w:r>
              <w:rPr>
                <w:rFonts w:ascii="Arial" w:cs="Arial" w:eastAsia="Arial" w:hAnsi="Arial"/>
                <w:sz w:val="14"/>
                <w:szCs w:val="14"/>
                <w:b w:val="1"/>
                <w:bCs w:val="1"/>
                <w:color w:val="auto"/>
                <w:w w:val="96"/>
              </w:rPr>
              <w:t>As Of Or For The Year Ended December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802,895</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791,468</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971,193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275,536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Arial" w:cs="Arial" w:eastAsia="Arial" w:hAnsi="Arial"/>
                <w:sz w:val="18"/>
                <w:szCs w:val="18"/>
                <w:color w:val="auto"/>
              </w:rPr>
              <w:t>France</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247,510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257,381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358,074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Western Europe</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186,270</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40" w:type="dxa"/>
            <w:vAlign w:val="bottom"/>
          </w:tcPr>
          <w:p>
            <w:pPr>
              <w:ind w:left="140"/>
              <w:spacing w:after="0"/>
              <w:rPr>
                <w:sz w:val="20"/>
                <w:szCs w:val="20"/>
                <w:color w:val="auto"/>
              </w:rPr>
            </w:pPr>
            <w:r>
              <w:rPr>
                <w:rFonts w:ascii="Arial" w:cs="Arial" w:eastAsia="Arial" w:hAnsi="Arial"/>
                <w:sz w:val="18"/>
                <w:szCs w:val="18"/>
                <w:color w:val="auto"/>
              </w:rPr>
              <w:t>Rest of World</w:t>
            </w:r>
          </w:p>
        </w:tc>
        <w:tc>
          <w:tcPr>
            <w:tcW w:w="2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111,587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122,459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125,820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1,529,963</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1,554,969</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1,916,893</w:t>
            </w: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ind w:left="860"/>
              <w:spacing w:after="0"/>
              <w:rPr>
                <w:sz w:val="20"/>
                <w:szCs w:val="20"/>
                <w:color w:val="auto"/>
              </w:rPr>
            </w:pPr>
            <w:r>
              <w:rPr>
                <w:rFonts w:ascii="Arial" w:cs="Arial" w:eastAsia="Arial" w:hAnsi="Arial"/>
                <w:sz w:val="18"/>
                <w:szCs w:val="18"/>
                <w:color w:val="auto"/>
              </w:rPr>
              <w:t>Operating Income (Loss):</w:t>
            </w:r>
          </w:p>
        </w:tc>
        <w:tc>
          <w:tcPr>
            <w:tcW w:w="2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00" w:type="dxa"/>
            <w:vAlign w:val="bottom"/>
            <w:gridSpan w:val="3"/>
            <w:vMerge w:val="continue"/>
          </w:tcPr>
          <w:p>
            <w:pPr>
              <w:spacing w:after="0"/>
              <w:rPr>
                <w:sz w:val="18"/>
                <w:szCs w:val="18"/>
                <w:color w:val="auto"/>
              </w:rPr>
            </w:pP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(155,399)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(35,770)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230,482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Arial" w:cs="Arial" w:eastAsia="Arial" w:hAnsi="Arial"/>
                <w:sz w:val="18"/>
                <w:szCs w:val="18"/>
                <w:color w:val="auto"/>
              </w:rPr>
              <w:t>United Kingdom</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(11,485)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59,363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France</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(9,143)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94,582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Arial" w:cs="Arial" w:eastAsia="Arial" w:hAnsi="Arial"/>
                <w:sz w:val="18"/>
                <w:szCs w:val="18"/>
                <w:color w:val="auto"/>
              </w:rPr>
              <w:t>Other Western Europe</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(5,463)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26,365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 of World</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40" w:type="dxa"/>
            <w:vAlign w:val="bottom"/>
            <w:vMerge w:val="restart"/>
          </w:tcPr>
          <w:p>
            <w:pPr>
              <w:ind w:left="140"/>
              <w:spacing w:after="0"/>
              <w:rPr>
                <w:sz w:val="20"/>
                <w:szCs w:val="20"/>
                <w:color w:val="auto"/>
              </w:rPr>
            </w:pPr>
            <w:r>
              <w:rPr>
                <w:rFonts w:ascii="Arial" w:cs="Arial" w:eastAsia="Arial" w:hAnsi="Arial"/>
                <w:sz w:val="18"/>
                <w:szCs w:val="18"/>
                <w:color w:val="auto"/>
              </w:rPr>
              <w:t>Total (c)</w:t>
            </w:r>
          </w:p>
        </w:tc>
        <w:tc>
          <w:tcPr>
            <w:tcW w:w="2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40" w:type="dxa"/>
            <w:vAlign w:val="bottom"/>
            <w:vMerge w:val="continue"/>
          </w:tcPr>
          <w:p>
            <w:pPr>
              <w:spacing w:after="0"/>
              <w:rPr>
                <w:sz w:val="19"/>
                <w:szCs w:val="19"/>
                <w:color w:val="auto"/>
              </w:rPr>
            </w:pP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(181,988)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42,029</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436,064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1,557,006</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1,159,121</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1,471,009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352,695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Arial" w:cs="Arial" w:eastAsia="Arial" w:hAnsi="Arial"/>
                <w:sz w:val="18"/>
                <w:szCs w:val="18"/>
                <w:color w:val="auto"/>
              </w:rPr>
              <w:t>France</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908,137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1,128,714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1,518,606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Western Europe</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216,094</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40" w:type="dxa"/>
            <w:vAlign w:val="bottom"/>
          </w:tcPr>
          <w:p>
            <w:pPr>
              <w:ind w:left="140"/>
              <w:spacing w:after="0"/>
              <w:rPr>
                <w:sz w:val="20"/>
                <w:szCs w:val="20"/>
                <w:color w:val="auto"/>
              </w:rPr>
            </w:pPr>
            <w:r>
              <w:rPr>
                <w:rFonts w:ascii="Arial" w:cs="Arial" w:eastAsia="Arial" w:hAnsi="Arial"/>
                <w:sz w:val="18"/>
                <w:szCs w:val="18"/>
                <w:color w:val="auto"/>
              </w:rPr>
              <w:t>Rest of World</w:t>
            </w:r>
          </w:p>
        </w:tc>
        <w:tc>
          <w:tcPr>
            <w:tcW w:w="2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208,255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170,677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205,538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3,115,048</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2,885,582</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3,763,942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9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As described in Note (b) above, operating income (loss) in 2009 and 2008 was significantly impacted by certain special items as described therein.</w:t>
      </w:r>
    </w:p>
    <w:p>
      <w:pPr>
        <w:spacing w:after="0" w:line="18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24.</w:t>
      </w:r>
      <w:r>
        <w:rPr>
          <w:sz w:val="20"/>
          <w:szCs w:val="20"/>
          <w:color w:val="auto"/>
        </w:rPr>
        <w:tab/>
      </w:r>
      <w:r>
        <w:rPr>
          <w:rFonts w:ascii="Arial" w:cs="Arial" w:eastAsia="Arial" w:hAnsi="Arial"/>
          <w:sz w:val="16"/>
          <w:szCs w:val="16"/>
          <w:b w:val="1"/>
          <w:bCs w:val="1"/>
          <w:i w:val="1"/>
          <w:iCs w:val="1"/>
          <w:color w:val="auto"/>
        </w:rPr>
        <w:t>SUBSEQUENT EVENTS</w:t>
      </w:r>
    </w:p>
    <w:p>
      <w:pPr>
        <w:spacing w:after="0" w:line="7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i w:val="1"/>
          <w:iCs w:val="1"/>
          <w:color w:val="auto"/>
        </w:rPr>
        <w:t>Retirement Policy</w:t>
      </w:r>
      <w:r>
        <w:rPr>
          <w:rFonts w:ascii="Arial" w:cs="Arial" w:eastAsia="Arial" w:hAnsi="Arial"/>
          <w:sz w:val="18"/>
          <w:szCs w:val="18"/>
          <w:b w:val="1"/>
          <w:bCs w:val="1"/>
          <w:color w:val="auto"/>
        </w:rPr>
        <w:t>—</w:t>
      </w:r>
      <w:r>
        <w:rPr>
          <w:rFonts w:ascii="Arial" w:cs="Arial" w:eastAsia="Arial" w:hAnsi="Arial"/>
          <w:sz w:val="18"/>
          <w:szCs w:val="18"/>
          <w:color w:val="auto"/>
        </w:rPr>
        <w:t>In January 2010, the Company amended its retirement policy with respect to RSU awards. Such amendment served to modify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retirement eligibility requirements of existing and future RSU awards, and, as such, Lazard accelerated the recognition of compensation expense for the affected RSU awards. Accordingly, the Company expects to record a pre-tax, non-cash charge to compensation and benefits expense of approximately $24,800 in the first quarter of 2010.</w:t>
      </w:r>
    </w:p>
    <w:p>
      <w:pPr>
        <w:spacing w:after="0" w:line="123"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i w:val="1"/>
          <w:iCs w:val="1"/>
          <w:color w:val="auto"/>
        </w:rPr>
        <w:t>Restructuring</w:t>
      </w:r>
      <w:r>
        <w:rPr>
          <w:rFonts w:ascii="Arial" w:cs="Arial" w:eastAsia="Arial" w:hAnsi="Arial"/>
          <w:sz w:val="16"/>
          <w:szCs w:val="16"/>
          <w:b w:val="1"/>
          <w:bCs w:val="1"/>
          <w:color w:val="auto"/>
        </w:rPr>
        <w:t>—</w:t>
      </w:r>
      <w:r>
        <w:rPr>
          <w:rFonts w:ascii="Arial" w:cs="Arial" w:eastAsia="Arial" w:hAnsi="Arial"/>
          <w:sz w:val="16"/>
          <w:szCs w:val="16"/>
          <w:color w:val="auto"/>
        </w:rPr>
        <w:t>In February 2010, the Company announced a plan of selective staff reductions. In connection with such plan, the Company expects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record a pre-tax charge in the first quarter of 2010 of approximately $90,000 (principally consisting of compensation-related expenses, including the acceleration of unrecognized expense pertaining to RSUs previously granted to individuals who are being terminated pursuant to the restructuring).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above charges will be partially offset by the applicable income tax credits.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40"/>
          </w:cols>
          <w:pgMar w:left="240" w:top="459" w:right="3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FINANCIAL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RESULTS (UNAUDITED)</w:t>
      </w:r>
    </w:p>
    <w:p>
      <w:pPr>
        <w:spacing w:after="0" w:line="77"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following represents the Company’s unaudited quarterly results for the years ended December 31, 2009 and 2008. These quarterly results were prepared in conformity with generally accepted accounting principles and reflect all adjustments that are, in the opinion of management, necessary for a fair statement of the results. These adjustments are of a normal recurring nature.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2009 Fiscal Quarter</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First</w:t>
            </w: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Second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Third</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9"/>
              </w:rPr>
              <w:t>Fourth</w:t>
            </w: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247,867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376,035</w:t>
            </w:r>
          </w:p>
        </w:tc>
        <w:tc>
          <w:tcPr>
            <w:tcW w:w="140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$ 411,406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494,655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1,529,963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338,775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317,920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338,236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717,020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1,711,951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(90,908)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58,115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73,170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(222,365)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(181,988)</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00" w:type="dxa"/>
            <w:vAlign w:val="bottom"/>
            <w:gridSpan w:val="2"/>
            <w:vMerge w:val="continue"/>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(86,354)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44,896</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51,884</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(224,141)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(213,715)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Less - net income (loss) attributable to noncontrolling interests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(1,071)</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Lazard Group</w:t>
            </w: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gridSpan w:val="2"/>
            <w:vMerge w:val="continue"/>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(85,283)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44,637</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49,854</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(225,755)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(216,547)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2008 Fiscal Quarter</w:t>
            </w: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First</w:t>
            </w: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Second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Third</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9"/>
              </w:rPr>
              <w:t>Fourth</w:t>
            </w: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307,508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466,855</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$ 405,536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375,070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1,554,969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289,711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378,705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540,201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304,323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1,512,940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88,150</w:t>
            </w:r>
          </w:p>
        </w:tc>
        <w:tc>
          <w:tcPr>
            <w:tcW w:w="140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(134,665)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70,747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42,029</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00" w:type="dxa"/>
            <w:vAlign w:val="bottom"/>
            <w:gridSpan w:val="2"/>
            <w:vMerge w:val="continue"/>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13,460</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74,095</w:t>
            </w:r>
          </w:p>
        </w:tc>
        <w:tc>
          <w:tcPr>
            <w:tcW w:w="1400" w:type="dxa"/>
            <w:vAlign w:val="bottom"/>
            <w:gridSpan w:val="4"/>
          </w:tcPr>
          <w:p>
            <w:pPr>
              <w:jc w:val="right"/>
              <w:ind w:right="380"/>
              <w:spacing w:after="0"/>
              <w:rPr>
                <w:sz w:val="20"/>
                <w:szCs w:val="20"/>
                <w:color w:val="auto"/>
              </w:rPr>
            </w:pPr>
            <w:r>
              <w:rPr>
                <w:rFonts w:ascii="Arial" w:cs="Arial" w:eastAsia="Arial" w:hAnsi="Arial"/>
                <w:sz w:val="18"/>
                <w:szCs w:val="18"/>
                <w:color w:val="auto"/>
              </w:rPr>
              <w:t>$(139,549)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64,332</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12,338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Less - net income (loss) attributable to noncontrolling interests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(3,254)</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(8,161)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(3,563)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(13,333)</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Lazard Group</w:t>
            </w: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00" w:type="dxa"/>
            <w:vAlign w:val="bottom"/>
            <w:gridSpan w:val="2"/>
            <w:vMerge w:val="continue"/>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16,714</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72,450</w:t>
            </w:r>
          </w:p>
        </w:tc>
        <w:tc>
          <w:tcPr>
            <w:tcW w:w="1400" w:type="dxa"/>
            <w:vAlign w:val="bottom"/>
            <w:gridSpan w:val="4"/>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(131,388)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67,895</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40" w:type="dxa"/>
            <w:vAlign w:val="bottom"/>
            <w:vMerge w:val="restart"/>
          </w:tcPr>
          <w:p>
            <w:pPr>
              <w:jc w:val="right"/>
              <w:ind w:right="112"/>
              <w:spacing w:after="0"/>
              <w:rPr>
                <w:sz w:val="20"/>
                <w:szCs w:val="20"/>
                <w:color w:val="auto"/>
              </w:rPr>
            </w:pPr>
            <w:r>
              <w:rPr>
                <w:rFonts w:ascii="Arial" w:cs="Arial" w:eastAsia="Arial" w:hAnsi="Arial"/>
                <w:sz w:val="18"/>
                <w:szCs w:val="18"/>
                <w:color w:val="auto"/>
              </w:rPr>
              <w:t>133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Disclosures</w:t>
      </w:r>
    </w:p>
    <w:p>
      <w:pPr>
        <w:spacing w:after="0" w:line="83" w:lineRule="exact"/>
        <w:rPr>
          <w:sz w:val="20"/>
          <w:szCs w:val="20"/>
          <w:color w:val="auto"/>
        </w:rPr>
      </w:pPr>
    </w:p>
    <w:p>
      <w:pPr>
        <w:ind w:right="1660" w:firstLine="456"/>
        <w:spacing w:after="0" w:line="375" w:lineRule="auto"/>
        <w:rPr>
          <w:sz w:val="20"/>
          <w:szCs w:val="20"/>
          <w:color w:val="auto"/>
        </w:rPr>
      </w:pPr>
      <w:r>
        <w:rPr>
          <w:rFonts w:ascii="Arial" w:cs="Arial" w:eastAsia="Arial" w:hAnsi="Arial"/>
          <w:sz w:val="18"/>
          <w:szCs w:val="18"/>
          <w:color w:val="auto"/>
        </w:rPr>
        <w:t xml:space="preserve">There were no changes in or disagreements with accountants on accounting and financial disclosure during the last two fiscal years. </w:t>
      </w:r>
      <w:r>
        <w:rPr>
          <w:rFonts w:ascii="Arial" w:cs="Arial" w:eastAsia="Arial" w:hAnsi="Arial"/>
          <w:sz w:val="18"/>
          <w:szCs w:val="18"/>
          <w:b w:val="1"/>
          <w:bCs w:val="1"/>
          <w:color w:val="auto"/>
        </w:rPr>
        <w:t>Item 9A. Controls and Procedures</w:t>
      </w:r>
    </w:p>
    <w:p>
      <w:pPr>
        <w:spacing w:after="0" w:line="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Exchange Act as of December 31, 2009 (the end of the period covered by this Annual Report on Form 10-K). Based on that evaluation, our Chief Executive Officer and Chief Financial Officer have concluded that, as of the end of the period covered by this Annual Report on Form 10-K,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0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Management’s Report on Internal Controls Over Financial Reporting (as defined in Rules 13a-15(f) and 15d-15(f) of the Exchange Act), and the related report of our independent registered public accounting firm, are set forth in Part II, Item 8 of this Annual Report on Form 10-K and are incorporated herein by reference.</w:t>
      </w:r>
    </w:p>
    <w:p>
      <w:pPr>
        <w:spacing w:after="0" w:line="1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Mr. Ashish Bhutani and Mr. Gary Parr have each agreed to join the Board of Directors of Lazard Ltd and Lazard Group LLC effective as of March 8, 2010 and to be named as a Vice Chairman of Lazard.</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Mr. Bhutani, age 49, is a Vice Chairman and Managing Director of Lazard and has been the Chief Executive Officer of LAM since March 2004. Mr. Bhutani previously served as Head of New Products and Strategic Planning for LAM from June 2003 to March 2004. Prior to joining Lazard, he was Co-Chief Executive Officer North America of Dresdner Kleinwort Wasserstein from 2001 to the end of 2002, and was a member of its Global Corporate and Markets Board, and a member of the Global Executive Committee. Mr. Bhutani worked at Wasserstein Perella Group (the predecessor to Dresdner Kleinwort Wasserstein) from 1989 to 2001, serving as Deputy Chairman of Wasserstein Perella Group and Chief Executive Officer of Wasserstein Perella Securities from 1994 to 2001. Mr. Bhutani began his career at Salomon Brothers in 1985, where he was a Vice President in Fixed Income. Mr. Bhutani is a member of the Board of Directors of four registered investment companies, which are part of the Lazard fund complex.</w:t>
      </w:r>
    </w:p>
    <w:p>
      <w:pPr>
        <w:spacing w:after="0" w:line="10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Mr. Parr, age 52, is a Vice Chairman and Managing Director of Lazard having previously served as Deputy Chairman of Lazard from April 2003 until November 2009. For over 25 years, he has focused on providing strategic advice to financial institutions worldwide. Prior to joining Lazard, Mr. Parr was with Morgan Stanley, serving in numerous capacities, including Vice-Chairman-Institutional Securities and Investment Banking, Chairman and Head of the Global Financial Institutions Group and Co-Head of the Global Mergers and Acquisitions Department. Prior to joining Morgan Stanley, Mr. Parr was with a group from First Boston that formed Wasserstein Perella, where he rose to become Co-President.</w:t>
      </w:r>
    </w:p>
    <w:p>
      <w:pPr>
        <w:spacing w:after="0" w:line="10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Steven J. Golub, who recently served as Interim Chief Executive Officer of Lazard from October 14, 2009 until November 16, 2009, has relinquished his role as an executive officer of Lazard and Chairman of its Financial Advisory Group. Mr. Golub will continue as a Vice Chairman and Managing Director of Lazard.</w:t>
      </w:r>
    </w:p>
    <w:p>
      <w:pPr>
        <w:spacing w:after="0" w:line="127" w:lineRule="exact"/>
        <w:rPr>
          <w:sz w:val="20"/>
          <w:szCs w:val="20"/>
          <w:color w:val="auto"/>
        </w:rPr>
      </w:pPr>
    </w:p>
    <w:p>
      <w:pPr>
        <w:jc w:val="center"/>
        <w:ind w:left="660" w:right="40"/>
        <w:spacing w:after="0" w:line="440" w:lineRule="auto"/>
        <w:rPr>
          <w:sz w:val="20"/>
          <w:szCs w:val="20"/>
          <w:color w:val="auto"/>
        </w:rPr>
      </w:pPr>
      <w:r>
        <w:rPr>
          <w:rFonts w:ascii="Arial" w:cs="Arial" w:eastAsia="Arial" w:hAnsi="Arial"/>
          <w:sz w:val="18"/>
          <w:szCs w:val="18"/>
          <w:color w:val="auto"/>
        </w:rPr>
        <w:t>There have been no new contracts or arrangements or amendments to prior contracts or arrangements entered into as a result of the forgoing appointments. 134</w:t>
      </w:r>
    </w:p>
    <w:p>
      <w:pPr>
        <w:sectPr>
          <w:pgSz w:w="11900" w:h="16838" w:orient="portrait"/>
          <w:cols w:equalWidth="0" w:num="1">
            <w:col w:w="11380"/>
          </w:cols>
          <w:pgMar w:left="240" w:top="45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Information regarding our executive officers is included in Part I of this Form 10-K under the caption “Executive Officers of the Registrant.” Our Board of Directors is divided into three classes, and members of each class serve for a three-year term. Lazard Group’s board of directors and executive officers are the same as those of Lazard Ltd.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Directors with Terms Expiring in 2010</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Ellis Jones</w:t>
      </w:r>
      <w:r>
        <w:rPr>
          <w:rFonts w:ascii="Arial" w:cs="Arial" w:eastAsia="Arial" w:hAnsi="Arial"/>
          <w:sz w:val="16"/>
          <w:szCs w:val="16"/>
          <w:color w:val="auto"/>
        </w:rPr>
        <w:t>, age 56, has served as a director of Lazard Ltd and Lazard Group since May 2005. Mr. Jones has served as Chief Executive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Wasserstein &amp; Co., LP since January 2001. Prior to becoming Chief Executive Officer of Wasserstein &amp; Co., LP, Mr. Jones was a Managing Director of the investment banking firm Wasserstein Perella Group Inc. from February 1995 to January 2001. Prior to joining Wasserstein Perella Inc., Mr. Jones was a Managing Director at Salomon Brothers Inc. in its Corporate Finance Department from March 1989 to February 1995. Prior to joining Salomon Brothers Group Inc., Mr. Jones worked in the Investment Banking Department at The First Boston Corporation from September 1979 to March 1989. Mr. Jones is a member of the Board of Directors of Harry &amp; David Holdings, Inc. Mr. Jones was selected to be a director of the Company pursuant to an agreement that Lazard entered into with the Wasserstein family trusts at the time of our IPO in 2005. See “Agreements with Natixis and the Wasserstein Family Trusts.”</w:t>
      </w:r>
    </w:p>
    <w:p>
      <w:pPr>
        <w:spacing w:after="0" w:line="105"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i w:val="1"/>
          <w:iCs w:val="1"/>
          <w:color w:val="auto"/>
        </w:rPr>
        <w:t>Laurent Mignon</w:t>
      </w:r>
      <w:r>
        <w:rPr>
          <w:rFonts w:ascii="Arial" w:cs="Arial" w:eastAsia="Arial" w:hAnsi="Arial"/>
          <w:sz w:val="16"/>
          <w:szCs w:val="16"/>
          <w:color w:val="auto"/>
        </w:rPr>
        <w:t>, age 46, has served as a director of Lazard Ltd and Lazard Group since July 2009. Mr. Mignon has served as Chief Executive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Natixis (the successor to IXIS Corporate &amp; Investment Bank) since May 2009. From September 2007 to May 2009, he was General Partner of Oddo &amp; Cie, a private French investment bank. Prior to joining Oddo &amp; Cie, Mr. Mignon was the Chief Executive Officer of AGF France. He joined AGF France in 1997 as Chief Financial Officer and was nominated to be a member of the Executive Committee in 1998. Prior to joining the AGF Group, Mr. Mignon held a variety of positions in banking over a ten-year period, ranging from trading to investment banking. Mr. Mignon is a member of the Board of Directors of Sequana, and member of the Board of Directors and of the Audit Committee of Arkema. Mr. Mignon was selected to be a director of the Company pursuant to an agreement that Lazard entered into with Natixis at the time of our IPO in 2005. See “Agreements with Natixis and the Wasserstein Family Trusts.”</w:t>
      </w:r>
    </w:p>
    <w:p>
      <w:pPr>
        <w:spacing w:after="0" w:line="10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i w:val="1"/>
          <w:iCs w:val="1"/>
          <w:color w:val="auto"/>
        </w:rPr>
        <w:t>Hal S. Scott</w:t>
      </w:r>
      <w:r>
        <w:rPr>
          <w:rFonts w:ascii="Arial" w:cs="Arial" w:eastAsia="Arial" w:hAnsi="Arial"/>
          <w:sz w:val="16"/>
          <w:szCs w:val="16"/>
          <w:color w:val="auto"/>
        </w:rPr>
        <w:t>, age 66, has served as a director of Lazard Ltd and Lazard Group since March 2006. Professor Scott is the Nomura Professor and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Program on International Financial Systems at Harvard Law School, where he has taught since 1975. Before joining Harvard he served as a Law Clerk for the Hon. Justice Byron R. White, U.S. Supreme Court, from 1973 to 1974, and as an Assistant Professor of Law, University of California at Berkeley from 1974 to 1975. Professor Scott has published numerous books and articles on finance, international trade and securities laws. He is the President of the Committee on Capital Markets Regulation, Inc. and a member of the Senior Advisory Board of Oliver Wyman. Professor Scott is a past President of the International Academy of Consumer and Commercial Law and a past Governor of the American Stock Exchange (2002-2005). Professor Scott is the chairman of the Nominating &amp; Governance Committee and a member of the Audit Committee of the Board of Directors of Lazard Ltd. Professor Scott was selected to be a director of the Company because of his impressive academic background and expertise in public policy and global financial market regulation as it affects the financial services industry.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Directors with Terms Expiring in 2011</w:t>
      </w:r>
    </w:p>
    <w:p>
      <w:pPr>
        <w:spacing w:after="0" w:line="8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i w:val="1"/>
          <w:iCs w:val="1"/>
          <w:color w:val="auto"/>
        </w:rPr>
        <w:t>Kenneth M. Jacobs</w:t>
      </w:r>
      <w:r>
        <w:rPr>
          <w:rFonts w:ascii="Arial" w:cs="Arial" w:eastAsia="Arial" w:hAnsi="Arial"/>
          <w:sz w:val="16"/>
          <w:szCs w:val="16"/>
          <w:color w:val="auto"/>
        </w:rPr>
        <w:t>, age 51, has served as Chairman and Chief Executive Officer of Lazard Ltd and Lazard Group LLC since November 2009. Mr. Jacobs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a Managing Director of Lazard since 1991 and had been a deputy chairman of Lazard from January 2002 until November 2009. He has also served as Chief Executive Officer of Lazard North America since 2002. Mr. Jacobs initially joined Lazard in 1988. Mr. Jacobs is a member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of the Board of Trustees of the University of Chicago and the Brookings Institution. Mr. Jacobs was selected to be the Chairman and Chief Executive Officer of Lazard because of his vision, intellect and dynamism, his proven track record of creativity in building new businesses, as well as his skills as a trusted advisor, collaborator and team leader.</w:t>
      </w:r>
    </w:p>
    <w:p>
      <w:pPr>
        <w:spacing w:after="0" w:line="12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i w:val="1"/>
          <w:iCs w:val="1"/>
          <w:color w:val="auto"/>
        </w:rPr>
        <w:t>Ronald J. Doerfler</w:t>
      </w:r>
      <w:r>
        <w:rPr>
          <w:rFonts w:ascii="Arial" w:cs="Arial" w:eastAsia="Arial" w:hAnsi="Arial"/>
          <w:sz w:val="16"/>
          <w:szCs w:val="16"/>
          <w:color w:val="auto"/>
        </w:rPr>
        <w:t>, age 68, has served as a director of Lazard Ltd and Lazard Group since June 2006. Mr. Doerfler has been Senior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Finance and Administration of The Hearst Corporation since December 2009, having previously served as Senior Vice President and Chief Financial Officer from February 1998 until December 2009, and was elected a member of Hearst’s Board of Directors in August 2002. In December 2008, Mr. Doerfler was elected a trustee of the Hearst Family Trust, the sole shareholder of The Hearst Corporation. Hearst is one of the nation’s largest diversified communications companies, with interests in magazine and newspaper publishing, television and radio stations, newspaper comics and features syndication, cable TV networks, television production and syndication, and new media activities. Mr. Doerfler arrived at Hearst from ABC, Inc., where he was Senior Vice President and Chief Financial Officer. He joined Capital Cities Communications in 1969, was appointed Treasurer in 1977 and Senior Vice President and Chief Financial Officer in 1980. He played a major role in Capital Cities’ acquisition of ABC in 1986, and with the combined group’s 1996 merger with The Walt Disney Company. Mr. Doerfler is the chairman of the Audit Committee of the Board of Directors of Lazard Ltd. Mr. Doerfler was selected to be a director of the Company because of his extensive experience and background in the media and entertainment industry, as well as his qualifications as an “audit committee financial expert.”</w:t>
      </w:r>
    </w:p>
    <w:p>
      <w:pPr>
        <w:spacing w:after="0" w:line="10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Philip A. Laskawy</w:t>
      </w:r>
      <w:r>
        <w:rPr>
          <w:rFonts w:ascii="Arial" w:cs="Arial" w:eastAsia="Arial" w:hAnsi="Arial"/>
          <w:sz w:val="16"/>
          <w:szCs w:val="16"/>
          <w:color w:val="auto"/>
        </w:rPr>
        <w:t>, age 68, has served as a director of Lazard Ltd and Lazard Group since July 2008. Mr. Laskawy served as Chairman and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Ernst &amp; Young from 1994 until his retirement in 2001, after 40 years of service with the professional services firm. Mr. Laskawy served as Chairman of the International Accounting Standards Board from 2006 to 2007, and as a member of the 1999 Blue Ribbon Committee on Improving the Effectiveness of Corporate Audit Committees. Mr. Laskawy has served as Chairman of Fannie Mae since September 2008 and is also a member of the board of directors of General Motors Corp., Capgemini, Loews Corp. and Henry Schein, Inc. Mr. Laskawy had previously served on the boards of directors of Discover Financial Services until September 2008 and The Progressive Corporation until December 2007. Mr. Laskawy is a member of the Audit Committee of the Board of Directors of Lazard Ltd. Mr. Laskawy was selected to be a director of the Company because of his expertise in the areas of auditing and accounting, his qualifications as an “audit committee financial expert” and the unique perspective he brings as a former chief executive of one of the big four accounting firms.</w:t>
      </w:r>
    </w:p>
    <w:p>
      <w:pPr>
        <w:spacing w:after="0" w:line="10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Michael J. Turner</w:t>
      </w:r>
      <w:r>
        <w:rPr>
          <w:rFonts w:ascii="Arial" w:cs="Arial" w:eastAsia="Arial" w:hAnsi="Arial"/>
          <w:sz w:val="16"/>
          <w:szCs w:val="16"/>
          <w:color w:val="auto"/>
        </w:rPr>
        <w:t>, CBE, age 61, has served as a director of Lazard Ltd and Lazard Group since March 2006. In November 2008, Mr. Turner was appointed</w:t>
      </w:r>
      <w:r>
        <w:rPr>
          <w:rFonts w:ascii="Arial" w:cs="Arial" w:eastAsia="Arial" w:hAnsi="Arial"/>
          <w:sz w:val="16"/>
          <w:szCs w:val="16"/>
          <w:i w:val="1"/>
          <w:iCs w:val="1"/>
          <w:color w:val="auto"/>
        </w:rPr>
        <w:t xml:space="preserve"> </w:t>
      </w:r>
      <w:r>
        <w:rPr>
          <w:rFonts w:ascii="Arial" w:cs="Arial" w:eastAsia="Arial" w:hAnsi="Arial"/>
          <w:sz w:val="16"/>
          <w:szCs w:val="16"/>
          <w:color w:val="auto"/>
        </w:rPr>
        <w:t>the non-executive Chairman of Babcock International Group PLC. Mr. Turner was the Chief Executive Officer of BAE Systems plc from March 2002 until August 2008. Mr. Turner joined BAE Systems in 1966 and held a number of commercial, marketing and general management positions, including Chief Operating Officer from 1999 to March 2002. Mr. Turner is Chairman of the Defence Industries Council and Joint Chairman of the National Defence Industries Council in the UK, as well as a non-executive director of GKN PLC. Mr. Turner had previously served on the Board of Directors of Peninsular and Oriental Steam Navigation Company until March 2006. Mr. Turner is a member of the Compensation Committee and the Nominating &amp; Governance Committee of the Board of Directors of Lazard Ltd. Mr. Turner was selected to be a director of the Company because of his extensive background, experience and leadership as a former chief executive in the aerospace and defense industry and the Board’s desire to add geographical diversity to its membership that reflects the Company’s client base in Europe.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Directors with Terms Expiring in 2012</w:t>
      </w:r>
    </w:p>
    <w:p>
      <w:pPr>
        <w:spacing w:after="0" w:line="8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i w:val="1"/>
          <w:iCs w:val="1"/>
          <w:color w:val="auto"/>
        </w:rPr>
        <w:t>Steven J. Heyer</w:t>
      </w:r>
      <w:r>
        <w:rPr>
          <w:rFonts w:ascii="Arial" w:cs="Arial" w:eastAsia="Arial" w:hAnsi="Arial"/>
          <w:sz w:val="16"/>
          <w:szCs w:val="16"/>
          <w:color w:val="auto"/>
        </w:rPr>
        <w:t>, age 57, has served as a director of Lazard Ltd and Lazard Group since June 2005 and was appointed Lead Director in November 2009. Mr.</w:t>
      </w:r>
      <w:r>
        <w:rPr>
          <w:rFonts w:ascii="Arial" w:cs="Arial" w:eastAsia="Arial" w:hAnsi="Arial"/>
          <w:sz w:val="16"/>
          <w:szCs w:val="16"/>
          <w:i w:val="1"/>
          <w:iCs w:val="1"/>
          <w:color w:val="auto"/>
        </w:rPr>
        <w:t xml:space="preserve"> </w:t>
      </w:r>
      <w:r>
        <w:rPr>
          <w:rFonts w:ascii="Arial" w:cs="Arial" w:eastAsia="Arial" w:hAnsi="Arial"/>
          <w:sz w:val="16"/>
          <w:szCs w:val="16"/>
          <w:color w:val="auto"/>
        </w:rPr>
        <w:t>Heyer is currently the Chairman and Chief Executive Officer of Harry &amp; David Holdings, Inc., founder of Avra Kehdabra Animation LLC, and Chairman of Next 3D, a software company. Mr. Heyer was the Chief Executive Officer of Starwood Hotels &amp; Resorts Worldwide from October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2004 until April 2007. Prior to joining Starwood, he was President and Chief Operating Officer of The Coca-Cola Company from 2002 to September 2004. From 1994 to 2001 he was President and Chief Operating Officer of Turner Broadcasting System, Inc., and a member of AOL Time Warner’s Operating Committee. Previously, Mr. Heyer was President and Chief Operating Officer of Young &amp; Rubicam Advertising Worldwide, and before that spent 15 years at Booz Allen &amp; Hamilton, ultimately becoming Senior Vice President and Managing Partner. He is a member of the Board of Directors of Omnicare, Inc. and the National Collegiate Athletic Association. Mr. Heyer has ownership positions in a portfolio of private companies and is a member of many of their boards of directors. Mr. Heyer had previously served on the Board of Directors of Starwood Hotels &amp; Resorts Worldwide until April 2007. Mr. Heyer is the chairman of the Compensation Committee and a member of the Nominating &amp; Governance Committee of the Board of Directors of Lazard Ltd. Mr. Heyer was selected to be a director of the Company because of the depth of his analytical skills which he has applied in a variety of leadership positions across diverse industry groupings, including broadcast media, consumer products, and hotel and leisure companies.</w:t>
      </w:r>
    </w:p>
    <w:p>
      <w:pPr>
        <w:spacing w:after="0" w:line="10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Sylvia Jay</w:t>
      </w:r>
      <w:r>
        <w:rPr>
          <w:rFonts w:ascii="Arial" w:cs="Arial" w:eastAsia="Arial" w:hAnsi="Arial"/>
          <w:sz w:val="16"/>
          <w:szCs w:val="16"/>
          <w:color w:val="auto"/>
        </w:rPr>
        <w:t>, CBE, age 63, has served as a director of Lazard Ltd and Lazard Group since March 2006. Lady Jay is Vice Chairman of L’Oreal UK, a position</w:t>
      </w:r>
      <w:r>
        <w:rPr>
          <w:rFonts w:ascii="Arial" w:cs="Arial" w:eastAsia="Arial" w:hAnsi="Arial"/>
          <w:sz w:val="16"/>
          <w:szCs w:val="16"/>
          <w:i w:val="1"/>
          <w:iCs w:val="1"/>
          <w:color w:val="auto"/>
        </w:rPr>
        <w:t xml:space="preserve"> </w:t>
      </w:r>
      <w:r>
        <w:rPr>
          <w:rFonts w:ascii="Arial" w:cs="Arial" w:eastAsia="Arial" w:hAnsi="Arial"/>
          <w:sz w:val="16"/>
          <w:szCs w:val="16"/>
          <w:color w:val="auto"/>
        </w:rPr>
        <w:t>she has held since September 2005. From January 2001 to August 2005, she was the Director General of the Food &amp; Drink Federation, a UK trade body. Lady Jay joined the United Kingdom Civil Service in 1971. Her civil service career, until she resigned in 1995, mainly concerned government financial aid to developing countries, including being a non-executive director to the Gibraltar Ship Repair Company. She also worked in the Civil Service Selection Board to recruit fast stream administrators and diplomats; the French Ministere de la Cooperation; the French Tresor and was one of a small international team which set up the European Bank for Reconstruction and Development. Lady Jay is a member of the Board of Directors of Saint-Gobain and Alcatel-Lucent, and was Chairman of Food from Britain from 2005 until 2009. Lady Jay is a member of the Compensation Committee and the Nominating &amp; Governance Committee of the Board of Directors of Lazard Ltd. Lady Jay was selected to be a director of the Company because of her extensive background and experience in government service and the Board’s desire to add geographical diversity that reflects the Company’s client base in Europe.</w:t>
      </w:r>
    </w:p>
    <w:p>
      <w:pPr>
        <w:spacing w:after="0" w:line="10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Vernon E. Jordan, Jr</w:t>
      </w:r>
      <w:r>
        <w:rPr>
          <w:rFonts w:ascii="Arial" w:cs="Arial" w:eastAsia="Arial" w:hAnsi="Arial"/>
          <w:sz w:val="16"/>
          <w:szCs w:val="16"/>
          <w:color w:val="auto"/>
        </w:rPr>
        <w:t>., age 74, has served as a director of Lazard Ltd and Lazard Group since May 2005. Mr. Jordan has served as a Senior 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of Lazard Frères &amp; Co. LLC since January 2000. Mr. Jordan has been Senior Counsel at Akin Gump Strauss Hauer &amp; Feld LLP since January 2000, where he served as Senior Executive Partner from January 1982 to December 1999. Prior to that, Mr. Jordan served as President and Chief Executive Officer of the National Urban League, Inc. from January 1972 to December 1981. Mr. Jordan currently serves on the Boards of Directors of Asbury Automotive Group, Inc. and Xerox Corporation; as a senior advisor to the Board of Directors of American Express Company; as a trustee to Howard University and DePauw University; and on the International Advisory Board of Barrick Gold. Mr. Jordan had previously served on the Board of Directors of Xerox Corporation until May 2009; the American Express Company until May 2008; J.C. Penny Company until August 2007; and Sara Lee Corporation until May 2005. Mr. Jordan was selected to be a director of the Company because of his extensive background and expertise in legal and corporate matters, his knowledge of corporate governance and his experience as a board member of numerous public companies.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Natixis and the Wasserstein Family Trusts</w:t>
      </w:r>
    </w:p>
    <w:p>
      <w:pPr>
        <w:spacing w:after="0" w:line="8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As of February 28, 2010, Natixis (the successor to IXIS Corporate &amp; Investment Bank) held 6,999,800 shares of Class A common stock of Lazard Ltd, of which 2,000,000 shares of Class A common stock of Lazard Ltd were acquired in our recapitalization transactions in May 2005 and 4,999,800 shares were acquired in May 2008 upon the settlement of the purchase contracts related to $150 million of Lazard’s equity security units (which equity security units were also acquired in our recapitalization transactions in May 2005). In connection with this investment by Natixis in May 2005, we agreed that we will nominate one person designated by Natixis to our Board of Directors until such time as (1) the shares of our common stock then owned by Natixis, plus (2) the shares of our common stock issuable under the terms of any exchangeable securities issued by us then owned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by Natixis, constitute less than 50% of the sum of (a) the shares of our common stock initially purchased by Natixis, plus (b) the shares of our common stock issuable under the terms of any exchangeable securities issued by us initially purchased by Natixis. Laurent Mignon is currently the Natixis nominee to our Board of Directors.</w:t>
      </w:r>
    </w:p>
    <w:p>
      <w:pPr>
        <w:spacing w:after="0" w:line="12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Wasserstein family trusts hold 7,978,859 LAZ-MD Holdings exchangeable interests that may be exchanged on a one for one basis into our Class A common stock. At the time of our IPO, we agreed that we would nominate one person designated by the Wasserstein family trusts to our Board of Directors until such time as (1) the shares of our common stock then owned directly or indirectly by the family trusts or any beneficiaries of the Wasserstein family trusts (in the aggregate), plus (2) the shares of our common stock issuable under the terms of any exchangeable interests issued by us then owned directly or indirectly by the Wasserstein family trusts or any beneficiaries of the Wasserstein family trusts (in the aggregate), constitute less than 50% of the shares of our common stock issuable under the terms of any exchangeable securities initially issued by us in connection with the separation and recapitalization transactions on May 10, 2005 and held by the Wasserstein family trusts (in the aggregate) as of the date of our IPO. Ellis Jones is currently the nominee of the Wasserstein family trusts to our Board of Directors.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Committee Financial Expert</w:t>
      </w:r>
    </w:p>
    <w:p>
      <w:pPr>
        <w:spacing w:after="0" w:line="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Since Lazard Ltd’s Class A common stock is listed on the New York Stock Exchange and Lazard Group is part of Lazard Ltd’s consolidated reporting group, Lazard Group is not required to have a separate audit committee. Lazard Ltd maintains an independent audit committee and the Board of Directors of Lazard Ltd has determined that Mr. Ronald J. Doerfler and Philip A. Laskawy have the requisite qualifications to satisfy the SEC definition of “audit committee financial expert”.</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77"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 xml:space="preserve">Lazard Ltd has adopted the Code of Business Conduct and Ethics that is applicable to all directors, managing directors, officers and employees of Lazard Ltd, Lazard Group and their subsidiaries and affiliates, as well as a Supplement to the Code of Business Conduct and Ethics for certain other senior officers, including Lazard Group’s chief executive officer, chief financial officer and principal accounting officer. Each of these codes are available on our website at </w:t>
      </w:r>
      <w:r>
        <w:rPr>
          <w:rFonts w:ascii="Arial" w:cs="Arial" w:eastAsia="Arial" w:hAnsi="Arial"/>
          <w:sz w:val="15"/>
          <w:szCs w:val="15"/>
          <w:i w:val="1"/>
          <w:iCs w:val="1"/>
          <w:color w:val="auto"/>
        </w:rPr>
        <w:t xml:space="preserve">http://www.lazard.com/Investorrelations/ConductsandEthics.aspx </w:t>
      </w:r>
      <w:r>
        <w:rPr>
          <w:rFonts w:ascii="Arial" w:cs="Arial" w:eastAsia="Arial" w:hAnsi="Arial"/>
          <w:sz w:val="15"/>
          <w:szCs w:val="15"/>
          <w:color w:val="auto"/>
        </w:rPr>
        <w:t>and a copy has been filed as an exhibit to this Form 10-K. A printed copy of each of these</w:t>
      </w:r>
      <w:r>
        <w:rPr>
          <w:rFonts w:ascii="Arial" w:cs="Arial" w:eastAsia="Arial" w:hAnsi="Arial"/>
          <w:sz w:val="15"/>
          <w:szCs w:val="15"/>
          <w:i w:val="1"/>
          <w:iCs w:val="1"/>
          <w:color w:val="auto"/>
        </w:rPr>
        <w:t xml:space="preserve"> </w:t>
      </w:r>
      <w:r>
        <w:rPr>
          <w:rFonts w:ascii="Arial" w:cs="Arial" w:eastAsia="Arial" w:hAnsi="Arial"/>
          <w:sz w:val="15"/>
          <w:szCs w:val="15"/>
          <w:color w:val="auto"/>
        </w:rPr>
        <w:t>documents is available upon request. We intend to disclose amendments to, or waivers from, the Code of Business Conduct and Ethics, if any, on our website.</w:t>
      </w:r>
    </w:p>
    <w:p>
      <w:pPr>
        <w:spacing w:after="0" w:line="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8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Lazard Ltd Compensation Committee oversees the compensation of the Lazard Group executive officers and references below to the Compensation Committee refer to the Lazard Ltd Compensation Committee. The executive officers of Lazard Group are the same as those of Lazard Ltd.</w:t>
      </w:r>
    </w:p>
    <w:p>
      <w:pPr>
        <w:spacing w:after="0" w:line="66"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Philosophy and Objectives of Our Compensation Programs</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Our compensation programs are designed to attract, retain and motivate executives and professionals of the highest level of quality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effectiveness. These compensation programs focus on rewarding the types of performance that increase shareholder value, including growing revenue, retaining clients, developing new client relationships, improving operational efficiency and managing risks. A substantial portion of each executive’s total compensation is intended to be variable and delivered on a pay-for-performance basis. The programs will provide compensation opportunities, contingent upon performance, that are competitive with practices of other similar financial services organizations. We target annual operating revenue, earnings and total</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80"/>
          </w:cols>
          <w:pgMar w:left="240" w:top="459" w:right="2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shareholder return</w:t>
      </w:r>
      <w:r>
        <w:rPr>
          <w:rFonts w:ascii="Arial" w:cs="Arial" w:eastAsia="Arial" w:hAnsi="Arial"/>
          <w:sz w:val="11"/>
          <w:szCs w:val="11"/>
          <w:color w:val="auto"/>
        </w:rPr>
        <w:t>*</w:t>
      </w:r>
      <w:r>
        <w:rPr>
          <w:rFonts w:ascii="Arial" w:cs="Arial" w:eastAsia="Arial" w:hAnsi="Arial"/>
          <w:sz w:val="18"/>
          <w:szCs w:val="18"/>
          <w:color w:val="auto"/>
        </w:rPr>
        <w:t xml:space="preserve"> as our key performance metrics. In allocating compensation to our executive officers, managing directors and other senior professionals, the primary emphasis, in addition to our performance, is on each individual’s contribution to the Company, business unit performance and compensation recommendations of the individuals to whom participants report. The Compensation Committee monitors the effectiveness of our compensation programs throughout the year and performs an annual reassessment of the programs in January of each year in connection with year-end compensation decisions. The Committee directly engaged Steven Hall &amp; Partners, LLC, an independent compensation consulting firm, to assist it with benchmarking and compensation analyses.</w:t>
      </w:r>
    </w:p>
    <w:p>
      <w:pPr>
        <w:spacing w:after="0" w:line="13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i w:val="1"/>
          <w:iCs w:val="1"/>
          <w:color w:val="auto"/>
        </w:rPr>
        <w:t>Competitive Compensation Considerations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Because the competition to attract and retain high performing executives and professionals in the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industry is intense, the amount and composition of total compensation paid to our executives must be considered in light of competitive compensation levels. In this regard, for our named executive officers, the Compensation Committee used as a benchmark an independently prepared survey regarding compensation levels in 2008 and, to the extent available, 2009, for comparable positions at Black Rock, Inc., Goldman Sachs Group, Inc., Greenhill &amp; Co., Inc., Jefferies Group, Inc., Legg Mason, Inc., and Morgan Stanley. While some of the companies listed above are larger than Lazard, we chose this comparator group because we compete in the same marketplace with these companies for highly qualified and talented financial service professionals.</w:t>
      </w:r>
    </w:p>
    <w:p>
      <w:pPr>
        <w:spacing w:after="0" w:line="10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unprecedented disruption and volatility in the financial markets and the consequent general economic downturn both in the U.S. and globally in the fourth quarter of 2008 and the first half of 2009 have placed additional stress on our compensation programs. During the fourth quarter of 2009, the Company revised its compensation structure in order to enhance the competitiveness of our business model and position Lazard to drive shareholder value, while still maintaining significant retention mechanisms. As part of that effort, we:</w:t>
      </w:r>
    </w:p>
    <w:p>
      <w:pPr>
        <w:spacing w:after="0" w:line="49" w:lineRule="exact"/>
        <w:rPr>
          <w:sz w:val="20"/>
          <w:szCs w:val="20"/>
          <w:color w:val="auto"/>
        </w:rPr>
      </w:pPr>
    </w:p>
    <w:p>
      <w:pPr>
        <w:ind w:left="780" w:right="220" w:hanging="326"/>
        <w:spacing w:after="0" w:line="268"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accelerated the vesting of the deferred cash incentive compensation (which were paid out in February 2010), which was awarded as part of the 2008 compensation cycle, and would have been expensed in future periods;</w:t>
      </w:r>
    </w:p>
    <w:p>
      <w:pPr>
        <w:spacing w:after="0" w:line="37" w:lineRule="exact"/>
        <w:rPr>
          <w:rFonts w:ascii="Arial" w:cs="Arial" w:eastAsia="Arial" w:hAnsi="Arial"/>
          <w:sz w:val="18"/>
          <w:szCs w:val="18"/>
          <w:color w:val="auto"/>
        </w:rPr>
      </w:pPr>
    </w:p>
    <w:p>
      <w:pPr>
        <w:ind w:left="780" w:hanging="326"/>
        <w:spacing w:after="0" w:line="291" w:lineRule="auto"/>
        <w:tabs>
          <w:tab w:leader="none" w:pos="7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changed the mix of our incentive compensation awards granted with respect to the 2008 compensation cycle by increasing the current cash and deferred equity-based components and eliminating deferred cash awards with respect to the 2009 compensation cycle. These changes were made with the intention to: (i) be in line with the practices followed by Lazard in the 2006 and 2007 compensation cycles; (ii) reduce future compensation charges required to be amortized in future years and allow greater flexibility in the future to address competitive conditions; (iii) more closely align our current pay cycle with reported compensation and revenues; and (iv) maintain significant retention mechanisms by focusing stock grant awards at the more senior levels, where they are most effective and valued; and</w:t>
      </w:r>
    </w:p>
    <w:p>
      <w:pPr>
        <w:spacing w:after="0" w:line="25" w:lineRule="exact"/>
        <w:rPr>
          <w:rFonts w:ascii="Arial" w:cs="Arial" w:eastAsia="Arial" w:hAnsi="Arial"/>
          <w:sz w:val="16"/>
          <w:szCs w:val="16"/>
          <w:color w:val="auto"/>
        </w:rPr>
      </w:pPr>
    </w:p>
    <w:p>
      <w:pPr>
        <w:ind w:left="780" w:right="620" w:hanging="326"/>
        <w:spacing w:after="0" w:line="268"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held the aggregate 2009 current cash compensation plus deferrals awarded for the 2009 compensation cycle, in line with levels of current cash compensation plus deferrals awarded for the 2008 and 2006 compensation cycles.</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While we believe these changes to our current policy will enhance our competitive position over the long term, some of these changes have had an adverse effect on our operating results for 2009. As a result, our ratio of total compensation and benefits expense to annual operating revenue (excluding special charges) for fiscal 2009 was 71.8%.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of Our Compensation Programs</w:t>
      </w:r>
    </w:p>
    <w:p>
      <w:pPr>
        <w:spacing w:after="0" w:line="83" w:lineRule="exact"/>
        <w:rPr>
          <w:sz w:val="20"/>
          <w:szCs w:val="20"/>
          <w:color w:val="auto"/>
        </w:rPr>
      </w:pPr>
    </w:p>
    <w:p>
      <w:pPr>
        <w:jc w:val="both"/>
        <w:ind w:right="480" w:firstLine="456"/>
        <w:spacing w:after="0" w:line="306" w:lineRule="auto"/>
        <w:rPr>
          <w:sz w:val="20"/>
          <w:szCs w:val="20"/>
          <w:color w:val="auto"/>
        </w:rPr>
      </w:pPr>
      <w:r>
        <w:rPr>
          <w:rFonts w:ascii="Arial" w:cs="Arial" w:eastAsia="Arial" w:hAnsi="Arial"/>
          <w:sz w:val="16"/>
          <w:szCs w:val="16"/>
          <w:color w:val="auto"/>
        </w:rPr>
        <w:t>Compensation for each of our executive officers, managing directors and other senior professionals is viewed on a total compensation basis and then subdivided into two primary categories—base salary and incentive compensation. With the exception of the 2008 compensation cycle, our annual incentive compensation awards since our IPO in 2005 (including for the 2009 compensation cycle) have had two components: a cash bonus and</w:t>
      </w:r>
    </w:p>
    <w:p>
      <w:pPr>
        <w:spacing w:after="0" w:line="93" w:lineRule="exact"/>
        <w:rPr>
          <w:sz w:val="20"/>
          <w:szCs w:val="20"/>
          <w:color w:val="auto"/>
        </w:rPr>
      </w:pPr>
    </w:p>
    <w:p>
      <w:pPr>
        <w:ind w:left="460" w:right="80" w:hanging="452"/>
        <w:spacing w:after="0" w:line="228" w:lineRule="auto"/>
        <w:tabs>
          <w:tab w:leader="none" w:pos="460" w:val="left"/>
        </w:tabs>
        <w:numPr>
          <w:ilvl w:val="0"/>
          <w:numId w:val="72"/>
        </w:numPr>
        <w:rPr>
          <w:rFonts w:ascii="Arial" w:cs="Arial" w:eastAsia="Arial" w:hAnsi="Arial"/>
          <w:sz w:val="22"/>
          <w:szCs w:val="22"/>
          <w:color w:val="auto"/>
          <w:vertAlign w:val="superscript"/>
        </w:rPr>
      </w:pPr>
      <w:r>
        <w:rPr>
          <w:rFonts w:ascii="Arial" w:cs="Arial" w:eastAsia="Arial" w:hAnsi="Arial"/>
          <w:sz w:val="18"/>
          <w:szCs w:val="18"/>
          <w:color w:val="auto"/>
        </w:rPr>
        <w:t>Total shareholder return reflects the share price performance of Lazard’s Class A common stock, assuming the full reinvestment of any dividends, over the time period selected.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89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an equity-based award. With respect to the 2008 compensation cycle, due to the unprecedented disruption and volatility in the financial services industry, we altered our historical mix of incentive compensation to add a deferred cash component. The deferred cash awards, which were granted in February 2009 and related to the 2008 compensation cycle, reduced the cash and the overall amount of equity awards granted for the 2008 compensation cycle. As described in more detail under the heading—“Philosophy and Objectives of Our Compensation Programs—Competitive Compensation Considerations”, the Compensation Committee has determined, however, for the 2009 compensation cycle, to eliminate the deferred cash award component and return to our historical mix of incentive compensation—cash bonus and equity-based awards. Decisions with regard to incentive compensation are generally made in January of each year and are based on Company and individual performance in the prior fiscal year. The Compensation Committee determines and approves the total compensation package (salary and incentive compensation award) to be paid to our chief executive officer, Mr. Jacobs. Mr. Jacobs, in turn, makes recommendations to the Compensation Committee as to the total compensation package to be paid to the other executive officers, which are then subject to the review and approval of the Compensation Committee. Before any year-end compensation decisions are made, the Compensation Committee reviews a comprehensive tally sheet of all elements of each executive officer’s compensation. The tally sheets include information on cash and non-cash compensation for the past three fiscal years (including current and prior year base salaries, annual bonuses, RSUs and deferred cash awards), the value of benefits and other perquisites paid to our executive officers, the value of unrealized gains/losses on prior equity-based awards and the LAZ-MD Holdings exchangeable interests held by each of our executive officers, as well as potential amounts to be delivered under all post-employment scenarios. The tally sheets are used to ensure that each member of the Compensation Committee has a complete picture of the compensation and benefits paid to, and equity holdings of, each of our executive officers and is just one of the tools used by the Compensation Committee in making year-end compensation decisions.</w:t>
      </w:r>
    </w:p>
    <w:p>
      <w:pPr>
        <w:spacing w:after="0" w:line="110"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Upon the recommendation of management, during the fourth quarter of 2009, the Compensation Committee approved the acceleration of the deferred cash awards that were granted to our managing directors, including our named executive officers, as part of the 2008 compensation cycle. This decision was made in an effort to reduce the need to amortize compensation charges in future years and to allow greater flexibility in the future to address competitive conditions, while still maintaining significant retention mechanisms. Under the terms of the deferred cash awards, each recipient was entitled to accrued interest from February 10, 2009 through February 24, 2010, at a rate of 5% per annum on all installments that were originally scheduled to vest after 2009. The first interest payment was made on January 28, 2010 and a final interest payment was made on February 24, 2010. The accelerated deferred cash awards were paid out on February 24, 2010 as follows: $3.9 million to Mr. Jacobs; $1.005 million to Mr. Castellano; $4.56 million to Mr. Golub; $1.395 million to Mr. Hoffman; $1.175 million to Mr.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Stern; and $1.575 million to Mr. Ward.</w:t>
      </w:r>
    </w:p>
    <w:p>
      <w:pPr>
        <w:spacing w:after="0" w:line="1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Base Salary. </w:t>
      </w:r>
      <w:r>
        <w:rPr>
          <w:rFonts w:ascii="Arial" w:cs="Arial" w:eastAsia="Arial" w:hAnsi="Arial"/>
          <w:sz w:val="16"/>
          <w:szCs w:val="16"/>
          <w:color w:val="auto"/>
        </w:rPr>
        <w:t>Base salaries are intended to reflect the experience, skill and knowledge of our executive officers, managing directors and other senior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professionals in their particular roles and responsibilities, while retaining the flexibility to appropriately compensate for performance, both of the firm and the individual. Base salaries for our executive officers and any subsequent adjustments thereto are reviewed and approved by the Compensation Committee annually, based on a review of relevant market data and each executive’s performance for the prior year, as well as each executive’s experience, expertise and position. During 2009, each of our named executive officers, other than Messrs. Jacobs and Stern, was a party to a retention or employment agreement with Lazard that provides for a minimum annual base salary during the term of those agreements. See “Retention Agreements with Named Executive Officers.”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Incentive Compensation. </w:t>
      </w:r>
      <w:r>
        <w:rPr>
          <w:rFonts w:ascii="Arial" w:cs="Arial" w:eastAsia="Arial" w:hAnsi="Arial"/>
          <w:sz w:val="18"/>
          <w:szCs w:val="18"/>
          <w:color w:val="auto"/>
        </w:rPr>
        <w:t>Incentive compensation is a key component of our executive compensation strategy. Incentive compensation payouts can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highly variable from year to year and are generally based on our operating revenue, earnings and total shareholder return in the immediately preceding fiscal year, as well as each individual’s contribution to revenue and to the Company’s development, including business unit performance. In addition, careful attention is paid to competitive compensation practices in the financial services industry.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380"/>
          </w:cols>
          <w:pgMar w:left="240" w:top="459" w:right="2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January of each year a determination is made as to the total amount of incentive compensation to be awarded to our managing directors, including our executive officers, based on Company and individual performance in the prior fiscal year. This year, given the overall performance of Lazard and the competitive environment in the financial services industry, senior management recommended to the Compensation Committee that total compensation for the 2009 compensation cycle should be maintained broadly in line with the level of total compensation for the 2008 and 2006 compensation cycles. We applied a progressive formula based on total compensation for all of our managing directors and senior professionals, including the executive officers. Pursuant to this formula, as a participant’s total compensation (salary, cash bonus and equity-based awards) increases, a greater percentage of his or her total compensation is composed of an equity-based award. This formula is based on a sliding scale that effectively begins at 6% for some of our vice presidents and directors and generally reaches 50% for our highest paid managing directors and is in line with our philosophy of focusing stock grant awards at the more senior levels, where they are most effective and valued. The remainder of an individual’s total incentive compensation award is payable in cash.</w:t>
      </w:r>
    </w:p>
    <w:p>
      <w:pPr>
        <w:spacing w:after="0" w:line="106"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For the 2009 compensation cycle, equity-based compensation was awarded to our executive officers in the form of RSUs granted under the 2005 Equity Incentive Plan. An RSU is a contractual right to receive a share of our Class A common stock upon vesting of the RSU. The RSUs granted to our executive officers in 2010 (which relate to 2009 performance) generally vest approximately two or three years after the date of grant, subject to the executive’s continued service with the Company. See “Grant of Plan Based Awards” below for a discussion of the terms of the RSUs. The purpose of the RSU awards is to maximize shareholder value by aligning the long-term interests of our senior executives with those of our shareholders. Each individual who receives an RSU becomes, economically, a long-term shareholder of Lazard, with the same interests as our other shareholders. This economic interest results because the amount a recipient ultimately realizes from an RSU depends on the value of our Class A common stock when actual shares are delivered upon vesting. The number of RSUs that an individual was granted in 2010 as part of the 2009 compensation cycle was determined based on the average closing price of our stock price on the NYSE on the five trading days prior to the grant date. RSUs also serve as an important retention mechanism for Lazard by putting a significant portion of each recipient’s compensation at risk of forfeiture if he or she leaves the firm prior to the vesting date. In addition, our executive officers each own considerable interests in Lazard through their holdings of LAZ-MD Holdings exchangeable interests and previous grants of RSUs. As a result, we believe our executive officers have a demonstrable and significant interest in increasing shareholder value over the long term.</w:t>
      </w:r>
    </w:p>
    <w:p>
      <w:pPr>
        <w:spacing w:after="0" w:line="11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RSU awards are typically made in early February following our year-end earnings release. This year, RSUs were granted to each of our named executive officers on February 11, 2010, approximately one week after our public announcement of year-end earnings. The number of RSUs granted in 2010 (which relate to 2009 performance) was determined by dividing the dollar amount allocated to be granted as an equity-based award by the average closing price of our Class A common stock on the NYSE on the five trading days prior to February 11, 2010 ($36.74). The RSUs granted on February 11, 2010 will generally vest 33% on March 1, 2012 and 67% on March 1, 2013.</w:t>
      </w:r>
    </w:p>
    <w:p>
      <w:pPr>
        <w:spacing w:after="0" w:line="12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exchange for their RSU awards, our named executive officers agreed to restrictions on their ability to compete with Lazard or to solicit our clients and employees, which serves to protect the Company’s intellectual and human capital. Year-end incentive compensation awards are based on Company and individual performance during the prior fiscal year, and an executive officer’s total equity interest in Lazard is not factored into the Compensation Committee’s decision-making process concerning future equity-based awards.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2009 Performance on Compensation</w:t>
      </w:r>
    </w:p>
    <w:p>
      <w:pPr>
        <w:spacing w:after="0" w:line="8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In setting compensation levels for our employees for 2009, we primarily considered annual operating revenue, earnings and competitive conditions in the financial services industry. As we began to see a developing economic recovery in the second half of 2009, we became acutely aware of our need to continue to attract, retain and motivate executives and professionals of the highest level of quality and effectiveness. Part of our business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strategy is to recruit and retain proven senior professionals who have strong client relationships and industry expertise. Because of the value they bring to the Company, these individuals command high levels of compensation. For 2009, based on management’s recommendation and in light of our annual operating revenue of $1.62 billion, the Compensation Committee determined that the target level of total compensation and benefits expense to operating revenue needed to be set at 71.8%, in order to meet our compensation and retention objectives. The Compensation Committee concluded that this ratio of total compensation and benefits expense to annual operating revenue was appropriate for us in light of its discussions with our executive officers, current economic and competitive conditions in the marketplace, information provided by Steven Hall &amp; Partners, LLC, and our financial performance in 2009.</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For Each of Our Named Executive Officers in 2009</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2009 Base Salaries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Mr. Jacobs was named the Company’s Chairman and Chief Executive Officer in November 2009. Prior to this appointment Mr. Jacobs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served as a Deputy Chairman of Lazard and Chief Executive Officer of Lazard North America. In that position, he was receiving an annual base salary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$1,500,000. In connection with his appointment as Chairman and Chief Executive Officer of Lazard, Mr. Jacobs agreed to a reduction in his annual base salary to</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$900,000 and, as a result, his 2009 base salary reflects a blended rate having received approximately 11 months of salary at the previous rate. Mr. Stern received 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base salary of $750,000 for 2009, which was determined based on his experience, level of responsibility and the salaries for comparable positions at our core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competitors. We have retention agreements with Messrs. Castellano, Golub, Hoffman and Ward that establish their respective minimum annual base salaries.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amounts were negotiated and were meant to ensure that Lazard would have the services of each of these executive officers during the term of their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 agreements. See “Retention Agreements with Named Executive Officers</w:t>
      </w:r>
      <w:r>
        <w:rPr>
          <w:rFonts w:ascii="Arial" w:cs="Arial" w:eastAsia="Arial" w:hAnsi="Arial"/>
          <w:sz w:val="16"/>
          <w:szCs w:val="16"/>
          <w:i w:val="1"/>
          <w:iCs w:val="1"/>
          <w:color w:val="auto"/>
        </w:rPr>
        <w:t>.</w:t>
      </w:r>
      <w:r>
        <w:rPr>
          <w:rFonts w:ascii="Arial" w:cs="Arial" w:eastAsia="Arial" w:hAnsi="Arial"/>
          <w:sz w:val="16"/>
          <w:szCs w:val="16"/>
          <w:color w:val="auto"/>
        </w:rPr>
        <w:t>” The base salaries paid in 2009 to each of Messrs. Castellano, Golub,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Hoffman and Ward was the minimum required under each of their retention agreements: $500,000 to Mr. Castellano; $900,000 to Mr. Golub; $600,000 to Mr.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Hoffman; and $900,000 to Mr. Ward. Mr. Hoffman’s annual base salary was increased to $750,000 effective as of January 1, 2010. See the discussion of Mr.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Hoffman’s 2009 performance under “—2009 Incentive Compensation—Other Named Executive Officers.”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2009 Incentive Compensation.</w:t>
      </w:r>
    </w:p>
    <w:p>
      <w:pPr>
        <w:spacing w:after="0" w:line="158"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b w:val="1"/>
          <w:bCs w:val="1"/>
          <w:i w:val="1"/>
          <w:iCs w:val="1"/>
          <w:color w:val="auto"/>
        </w:rPr>
        <w:t xml:space="preserve">Mr. Jacobs. </w:t>
      </w:r>
      <w:r>
        <w:rPr>
          <w:rFonts w:ascii="Arial" w:cs="Arial" w:eastAsia="Arial" w:hAnsi="Arial"/>
          <w:sz w:val="16"/>
          <w:szCs w:val="16"/>
          <w:color w:val="auto"/>
        </w:rPr>
        <w:t>In determining the amount of incentive compensation to be paid to Mr. Jacobs, the Compensation Committee considered his recent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appointment as Chairman and Chief Executive Officer in November 2009 and his performance as Chief Executive Officer of Lazard North America. The performance evaluation was not based on any numerical targets. Mr. Jacobs is a highly regarded investment banker whose advice was sought in a number of high profile transactions in which Lazard was engaged in 2009, including advising the Haas Family Trusts in the $18.8 billion sale of Rohm and Haas to Dow Chemical, and GlaxoSmithKline’s acquisition of Stiefel Laboratories for up to $3.6 billion. Mr. Jacobs’ leadership of Lazard North America and attention to the needs of clients was evident in the increased business activity and improved results of operations in Lazard’s financial advisory business in the second half of 2009. The Compensation Committee reviewed the specific client engagements for which Mr. Jacobs was responsible and their contribution to the Company’s overall revenues in 2009. The Compensation Committee also considered Mr. Jacobs positioning on an internal pay equity scale vis-à-vis other managing directors within Lazard, and the competitive compensation practices at the other firms included in our comparator group. The tracking of revenue back to particular client relationships was an important factor considered by the Committee in determining Mr. Jacobs’ incentive compensation for 2009. Based on its review, the Compensation Committee decided to grant Mr. Jacobs an incentive compensation award of $6,072,115 payable as follows: $2,322,115 in a cash bonus and an RSU award valued at $3,750,000. The RSU award constituted 50% of Mr. Jacobs’ total compensation for 2009. Given the increased component of current cash and the significant RSU award, the Compensation Committee believes it has struck the right balance between rewarding current achievements and the desire to keep Mr. Jacobs focused on Lazard’s long-term performance.</w:t>
      </w:r>
    </w:p>
    <w:p>
      <w:pPr>
        <w:spacing w:after="0" w:line="11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following table shows the base salary and incentive compensation awarded to Mr. Jacobs for his performance in 2009 in the manner it was considered by the Compensation Committee. This presentation differs from that contained in the Summary Compensation Table by (i) showing the full grant date value of the RSUs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awarded on February 11, 2010, which related to 2009 performance but is not reflected in the Summary Compensation Table because they were granted after the end of our 2009 fiscal year, and (ii) excluding the full grant date value of the RSUs and deferred cash awards granted on February 10, 2009, which related to 2008 performance and is included in the Summary Compensation Table. In addition, the “Change in Pension Value” column and the “All Other Compensation” column are omitted, as they were not material elements of Mr. Jacobs’ compensation.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Incentive Compensation</w:t>
            </w: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5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Annual</w:t>
            </w: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5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Annual Cash</w:t>
            </w:r>
          </w:p>
        </w:tc>
        <w:tc>
          <w:tcPr>
            <w:tcW w:w="22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Restricted Stock</w:t>
            </w:r>
          </w:p>
        </w:tc>
        <w:tc>
          <w:tcPr>
            <w:tcW w:w="10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61"/>
        </w:trPr>
        <w:tc>
          <w:tcPr>
            <w:tcW w:w="5920" w:type="dxa"/>
            <w:vAlign w:val="bottom"/>
          </w:tcPr>
          <w:p>
            <w:pPr>
              <w:spacing w:after="0"/>
              <w:rPr>
                <w:sz w:val="14"/>
                <w:szCs w:val="14"/>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4"/>
                <w:szCs w:val="14"/>
                <w:color w:val="auto"/>
              </w:rPr>
            </w:pP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Salary</w:t>
            </w:r>
          </w:p>
        </w:tc>
        <w:tc>
          <w:tcPr>
            <w:tcW w:w="2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Bonus</w:t>
            </w:r>
          </w:p>
        </w:tc>
        <w:tc>
          <w:tcPr>
            <w:tcW w:w="2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Unit Awards</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20" w:type="dxa"/>
            <w:vAlign w:val="bottom"/>
          </w:tcPr>
          <w:p>
            <w:pPr>
              <w:spacing w:after="0"/>
              <w:rPr>
                <w:sz w:val="14"/>
                <w:szCs w:val="14"/>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Kenneth M. Jacobs</w:t>
            </w: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2009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$1,427,885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$2,322,115</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$3,750,000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20" w:type="dxa"/>
            <w:vAlign w:val="bottom"/>
          </w:tcPr>
          <w:p>
            <w:pPr>
              <w:spacing w:after="0"/>
              <w:rPr>
                <w:sz w:val="18"/>
                <w:szCs w:val="18"/>
                <w:color w:val="auto"/>
              </w:rPr>
            </w:pPr>
          </w:p>
        </w:tc>
      </w:tr>
    </w:tbl>
    <w:p>
      <w:pPr>
        <w:spacing w:after="0" w:line="14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i w:val="1"/>
          <w:iCs w:val="1"/>
          <w:color w:val="auto"/>
        </w:rPr>
        <w:t>Other Named Executive Officers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Annual incentive compensation for each of our other named executive officers was established based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recommendation of Mr. Jacobs and approval by the Compensation Committee. The retention agreements with Messrs. Castellano, Golub, Hoffman and Ward generally provide that each is entitled to an annual bonus to be determined under the applicable annual bonus plan of the Company on the same basis as annual bonuses are determined for other executive officers of Lazard and paid in the same ratio of cash to equity awards as is applicable to other executives. Mr. Jacobs reviewed with the Compensation Committee the performance of each of the named executive officers individually and their overall contribution to the Company in 2009, which was not based on any numerical targets.</w:t>
      </w:r>
    </w:p>
    <w:p>
      <w:pPr>
        <w:spacing w:after="0" w:line="107" w:lineRule="exact"/>
        <w:rPr>
          <w:sz w:val="20"/>
          <w:szCs w:val="20"/>
          <w:color w:val="auto"/>
        </w:rPr>
      </w:pPr>
    </w:p>
    <w:p>
      <w:pPr>
        <w:jc w:val="center"/>
        <w:spacing w:after="0" w:line="286" w:lineRule="auto"/>
        <w:rPr>
          <w:sz w:val="20"/>
          <w:szCs w:val="20"/>
          <w:color w:val="auto"/>
        </w:rPr>
      </w:pPr>
      <w:r>
        <w:rPr>
          <w:rFonts w:ascii="Arial" w:cs="Arial" w:eastAsia="Arial" w:hAnsi="Arial"/>
          <w:sz w:val="16"/>
          <w:szCs w:val="16"/>
          <w:color w:val="auto"/>
        </w:rPr>
        <w:t>In determining annual incentive compensation for (i) Mr. Golub, who served as interim Chief Executive Officer of Lazard following the death of Mr. Wasserstein, as well as vice chairman of Lazard and chairman of the financial advisory group, both before and after his service as interim Chief Executive Officer,</w:t>
      </w:r>
    </w:p>
    <w:p>
      <w:pPr>
        <w:ind w:right="20" w:firstLine="8"/>
        <w:spacing w:after="0" w:line="285" w:lineRule="auto"/>
        <w:tabs>
          <w:tab w:leader="none" w:pos="258" w:val="left"/>
        </w:tabs>
        <w:numPr>
          <w:ilvl w:val="0"/>
          <w:numId w:val="73"/>
        </w:numPr>
        <w:rPr>
          <w:rFonts w:ascii="Arial" w:cs="Arial" w:eastAsia="Arial" w:hAnsi="Arial"/>
          <w:sz w:val="16"/>
          <w:szCs w:val="16"/>
          <w:color w:val="auto"/>
        </w:rPr>
      </w:pPr>
      <w:r>
        <w:rPr>
          <w:rFonts w:ascii="Arial" w:cs="Arial" w:eastAsia="Arial" w:hAnsi="Arial"/>
          <w:sz w:val="16"/>
          <w:szCs w:val="16"/>
          <w:color w:val="auto"/>
        </w:rPr>
        <w:t>Mr. Stern, as Chief Operating Officer of Lazard, and (iii) Mr. Ward, as president of Lazard and chairman of the asset management group, Mr. Jacobs considered the role that each individual plays in the Lazard organization, maintaining a balance between their leadership and administrative responsibilities within the firm, while continuing to cultivate important client relationships. In addition to the administrative role that each plays as an officer of Lazard, each of these executives also plays a significant role in the revenue generation side of our business. The client relationships cultivated by each of these executives led to specific engagements that have contributed to the Company’s overall revenues in 2009. In making a recommendation on incentive compensation for each of Messrs. Golub, Stern, and Ward, Mr. Jacobs reviewed total revenue generated from each of their particular client relationships, each executive’s positioning on an internal pay equity scale vis-à-vis other managing directors within Lazard, and the competitive compensation practices at the other firms included in our comparator group. The tracking of revenue back to particular client relationships was an important factor considered in differentiating incentive compensation among Lazard’s managing director group. Another factor that Mr. Jacobs considered was the difficulty and expense of replacing each of these executives should they decide to leave. Based on Mr. Jacobs’ recommendation, the Compensation Committee approved the following incentive compensation for each of Messrs. Golub, Stern, and Ward for their performance in 2009: Mr. Golub received a cash bonus of $2,100,000 and an RSU award valued at $3,000,000; Mr. Stern received a cash bonus of $1,097,500 and an RSU award valued at $1,652,500; and Mr. Ward received a cash bonus of $747,500 and an RSU award valued at $1,352,500. The RSUs awarded to Messrs. Golub, Stern, and Ward constituted approximately 50%, 47% and 45% of their total compensation for 2009 (salary, cash bonus and equity-based awards), respectively.</w:t>
      </w:r>
    </w:p>
    <w:p>
      <w:pPr>
        <w:spacing w:after="0" w:line="109"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determining incentive compensation for Mr. Castellano and Mr. Hoffman, Mr. Jacobs noted that each provides significant leadership to Lazard in their roles as chief financial officer and general counsel, respectively. Mr. Castellano has overall responsibility for corporate finance and accounting at Lazard on a worldwide basis, and Mr. Hoffman oversees legal and compliance, human resources and public relations and communications. Mr. Jacobs noted that both executives have been tasked with primary responsibility for establishing and implementing uniform internal policies within Lazard, so that other members of senior management can focus 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building the Lazard franchise and cultivating client relationships. In making a recommendation on incentive compensation for Mr. Castellano, Mr. Jacobs noted his contribution to the overall strength of the firm and his leadership and steadiness in executing the firm’s corporate finance strategy in the midst of an extremely volatile economic climate in the first half of 2009. With respect to Mr. Hoffman, Mr. Jacobs noted his wide-ranging responsibility in overseeing legal operations worldwide, human resources and public relations. Mr. Hoffman was instrumental in helping to steady the firm and providing counsel and advice to the Board of Directors in the uncertain environment that arose when our former Chairman and Chief Executive Officer became critically ill and subsequently passed away in October 2009. Mr. Hoffman was singled out by the Board of Directors for acclamation in his handling of this crisis situation and for the assistance he continued to provide throughout the succession process. Based on Mr. Jacobs’ recommendation, the Compensation Committee approved the following incentive compensation for each of Mr. Castellano and Mr. Hoffman for their performance in 2009: Mr. Castellano was paid a cash bonus of $900,000 and received an RSU award valued at $1,050,000; Mr. Hoffman was paid a cash bonus of $1,247,500 and received an RSU award valued at $1,652,500. The RSUs awarded to Mr. Castellano and Mr. Hoffman constituted approximately 43% and 47% of their total compensation (salary, bonus and equity award) for 2009, respectively.</w:t>
      </w:r>
    </w:p>
    <w:p>
      <w:pPr>
        <w:spacing w:after="0" w:line="109" w:lineRule="exact"/>
        <w:rPr>
          <w:sz w:val="20"/>
          <w:szCs w:val="20"/>
          <w:color w:val="auto"/>
        </w:rPr>
      </w:pPr>
    </w:p>
    <w:p>
      <w:pPr>
        <w:ind w:right="140" w:firstLine="456"/>
        <w:spacing w:after="0" w:line="305" w:lineRule="auto"/>
        <w:rPr>
          <w:sz w:val="20"/>
          <w:szCs w:val="20"/>
          <w:color w:val="auto"/>
        </w:rPr>
      </w:pPr>
      <w:r>
        <w:rPr>
          <w:rFonts w:ascii="Arial" w:cs="Arial" w:eastAsia="Arial" w:hAnsi="Arial"/>
          <w:sz w:val="15"/>
          <w:szCs w:val="15"/>
          <w:color w:val="auto"/>
        </w:rPr>
        <w:t>The following table shows the base salary and incentive compensation paid to Messrs. Castellano, Golub, Hoffman, Stern and Ward for their performance in 2009 in the manner it was considered by the Compensation Committee. This presentation differs from that contained in the Summary Compensation Table by</w:t>
      </w:r>
    </w:p>
    <w:p>
      <w:pPr>
        <w:ind w:right="280" w:firstLine="8"/>
        <w:spacing w:after="0" w:line="253" w:lineRule="auto"/>
        <w:tabs>
          <w:tab w:leader="none" w:pos="21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showing the full grant date value of the RSUs awarded on February 11, 2010, which related to 2009 performance but is not reflected in the Summary Compensation Table because they were granted after the end of our 2009 fiscal year, and (ii) excluding the full grant date value of the RSUs and deferred cash awards granted on February 10, 2009, which related to 2008 performance and is included in the Summary Compensation Table. In addition, the “Change in Pension Value” column and the “All Other Compensation” column are omitted, as they were not material elements of any of the named executives’ compensation.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2"/>
              </w:rPr>
              <w:t>Incentive Compensation</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6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Restricted</w:t>
            </w: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6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Annual Cash</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 Unit</w:t>
            </w:r>
          </w:p>
        </w:tc>
        <w:tc>
          <w:tcPr>
            <w:tcW w:w="220" w:type="dxa"/>
            <w:vAlign w:val="bottom"/>
          </w:tcPr>
          <w:p>
            <w:pPr>
              <w:spacing w:after="0"/>
              <w:rPr>
                <w:sz w:val="12"/>
                <w:szCs w:val="12"/>
                <w:color w:val="auto"/>
              </w:rPr>
            </w:pPr>
          </w:p>
        </w:tc>
        <w:tc>
          <w:tcPr>
            <w:tcW w:w="1120" w:type="dxa"/>
            <w:vAlign w:val="bottom"/>
            <w:gridSpan w:val="2"/>
          </w:tcPr>
          <w:p>
            <w:pPr>
              <w:ind w:left="400"/>
              <w:spacing w:after="0" w:line="149" w:lineRule="exact"/>
              <w:rPr>
                <w:sz w:val="20"/>
                <w:szCs w:val="20"/>
                <w:color w:val="auto"/>
              </w:rPr>
            </w:pPr>
            <w:r>
              <w:rPr>
                <w:rFonts w:ascii="Arial" w:cs="Arial" w:eastAsia="Arial" w:hAnsi="Arial"/>
                <w:sz w:val="14"/>
                <w:szCs w:val="14"/>
                <w:b w:val="1"/>
                <w:bCs w:val="1"/>
                <w:color w:val="auto"/>
              </w:rPr>
              <w:t>Total</w:t>
            </w:r>
          </w:p>
        </w:tc>
      </w:tr>
      <w:tr>
        <w:trPr>
          <w:trHeight w:val="161"/>
        </w:trPr>
        <w:tc>
          <w:tcPr>
            <w:tcW w:w="6040" w:type="dxa"/>
            <w:vAlign w:val="bottom"/>
          </w:tcPr>
          <w:p>
            <w:pPr>
              <w:spacing w:after="0"/>
              <w:rPr>
                <w:sz w:val="14"/>
                <w:szCs w:val="14"/>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Salary</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82"/>
              </w:rPr>
              <w:t>Bonus</w:t>
            </w:r>
          </w:p>
        </w:tc>
        <w:tc>
          <w:tcPr>
            <w:tcW w:w="22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4"/>
                <w:szCs w:val="14"/>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Compensation</w:t>
            </w:r>
          </w:p>
        </w:tc>
        <w:tc>
          <w:tcPr>
            <w:tcW w:w="20" w:type="dxa"/>
            <w:vAlign w:val="bottom"/>
          </w:tcPr>
          <w:p>
            <w:pPr>
              <w:spacing w:after="0"/>
              <w:rPr>
                <w:sz w:val="14"/>
                <w:szCs w:val="14"/>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Michael J. Castellano</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2009</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900,000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$2,450,000</w:t>
            </w:r>
          </w:p>
        </w:tc>
        <w:tc>
          <w:tcPr>
            <w:tcW w:w="20" w:type="dxa"/>
            <w:vAlign w:val="bottom"/>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Steven J. Golub</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2009</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$900,000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2,100,000</w:t>
            </w:r>
          </w:p>
        </w:tc>
        <w:tc>
          <w:tcPr>
            <w:tcW w:w="1060" w:type="dxa"/>
            <w:vAlign w:val="bottom"/>
          </w:tcPr>
          <w:p>
            <w:pPr>
              <w:jc w:val="right"/>
              <w:spacing w:after="0"/>
              <w:rPr>
                <w:sz w:val="20"/>
                <w:szCs w:val="20"/>
                <w:color w:val="auto"/>
              </w:rPr>
            </w:pPr>
            <w:r>
              <w:rPr>
                <w:rFonts w:ascii="Arial" w:cs="Arial" w:eastAsia="Arial" w:hAnsi="Arial"/>
                <w:sz w:val="18"/>
                <w:szCs w:val="18"/>
                <w:color w:val="auto"/>
              </w:rPr>
              <w:t>$3,000,000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$6,000,000</w:t>
            </w:r>
          </w:p>
        </w:tc>
        <w:tc>
          <w:tcPr>
            <w:tcW w:w="2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Scott D. Hoffman</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2009</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$600,000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1,247,500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$1,652,500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$3,500,000</w:t>
            </w:r>
          </w:p>
        </w:tc>
        <w:tc>
          <w:tcPr>
            <w:tcW w:w="20" w:type="dxa"/>
            <w:vAlign w:val="bottom"/>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Alexander F. Stern</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2009</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$750,000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1,097,500</w:t>
            </w:r>
          </w:p>
        </w:tc>
        <w:tc>
          <w:tcPr>
            <w:tcW w:w="1060" w:type="dxa"/>
            <w:vAlign w:val="bottom"/>
          </w:tcPr>
          <w:p>
            <w:pPr>
              <w:jc w:val="right"/>
              <w:spacing w:after="0"/>
              <w:rPr>
                <w:sz w:val="20"/>
                <w:szCs w:val="20"/>
                <w:color w:val="auto"/>
              </w:rPr>
            </w:pPr>
            <w:r>
              <w:rPr>
                <w:rFonts w:ascii="Arial" w:cs="Arial" w:eastAsia="Arial" w:hAnsi="Arial"/>
                <w:sz w:val="18"/>
                <w:szCs w:val="18"/>
                <w:color w:val="auto"/>
              </w:rPr>
              <w:t>$1,652,500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$3,500,000</w:t>
            </w:r>
          </w:p>
        </w:tc>
        <w:tc>
          <w:tcPr>
            <w:tcW w:w="2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Charles G. Ward, III</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2009</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$900,000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747,500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$1,352,500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0" w:type="dxa"/>
            <w:vAlign w:val="bottom"/>
          </w:tcPr>
          <w:p>
            <w:pPr>
              <w:spacing w:after="0"/>
              <w:rPr>
                <w:sz w:val="18"/>
                <w:szCs w:val="18"/>
                <w:color w:val="auto"/>
              </w:rPr>
            </w:pPr>
          </w:p>
        </w:tc>
      </w:tr>
    </w:tbl>
    <w:p>
      <w:pPr>
        <w:spacing w:after="0" w:line="14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i w:val="1"/>
          <w:iCs w:val="1"/>
          <w:color w:val="auto"/>
        </w:rPr>
        <w:t xml:space="preserve">Perquisites. </w:t>
      </w:r>
      <w:r>
        <w:rPr>
          <w:rFonts w:ascii="Arial" w:cs="Arial" w:eastAsia="Arial" w:hAnsi="Arial"/>
          <w:sz w:val="16"/>
          <w:szCs w:val="16"/>
          <w:color w:val="auto"/>
        </w:rPr>
        <w:t>In 2009, the Company provided a limited number of perquisites, with each of our named executive officers receiving less than $18,100 in</w:t>
      </w:r>
      <w:r>
        <w:rPr>
          <w:rFonts w:ascii="Arial" w:cs="Arial" w:eastAsia="Arial" w:hAnsi="Arial"/>
          <w:sz w:val="16"/>
          <w:szCs w:val="16"/>
          <w:i w:val="1"/>
          <w:iCs w:val="1"/>
          <w:color w:val="auto"/>
        </w:rPr>
        <w:t xml:space="preserve"> </w:t>
      </w:r>
      <w:r>
        <w:rPr>
          <w:rFonts w:ascii="Arial" w:cs="Arial" w:eastAsia="Arial" w:hAnsi="Arial"/>
          <w:sz w:val="16"/>
          <w:szCs w:val="16"/>
          <w:color w:val="auto"/>
        </w:rPr>
        <w:t>perquisite compensation. Our named executive officers receive the same perquisite compensation provided to all of our U.S. managing directors as a group. In August of 2009, Lazard began to pay a portion of the insurance premiums for each of our U.S. managing directors on the same basis that it does for all U.S. employees. Our U.S. managing directors are the beneficiaries of a Company provided life insurance and excess liability insurance policy and beginning on August 1, 2009, the Company began to provide long-term disability insurance. None of our U.S. managing directors receive any matching contributions from the Company on their personal contributions to Lazard’s 401(k) plan. Each of our U.S. managing directors is entitled to have his year-end personal tax returns prepared by our tax department. Messrs. Jacobs, Castellano, Golub, Hoffman and Stern have availed themselves of this benefit, while Mr. Ward has chosen to use and pay for his own tax advisor. This perquisite has been an historical practice of the firm, and is provided due to the complexity involved in preparing such tax returns as the Company continues to be viewed as a partnership for U.S. tax purposes.</w:t>
      </w:r>
    </w:p>
    <w:p>
      <w:pPr>
        <w:spacing w:after="0" w:line="10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Post-Employment Benefits. </w:t>
      </w:r>
      <w:r>
        <w:rPr>
          <w:rFonts w:ascii="Arial" w:cs="Arial" w:eastAsia="Arial" w:hAnsi="Arial"/>
          <w:sz w:val="18"/>
          <w:szCs w:val="18"/>
          <w:color w:val="auto"/>
        </w:rPr>
        <w:t>Each of Messrs. Jacobs, Golub, Hoffman and Stern has an accrued benefit under the Lazard Frères &amp; Co. LLC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Pension Plan, a qualified defined-benefit pension plan, and Mr. Hoffman and Mr. Stern have accrued additional benefits under a related supplemental defined-benefit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pension plan. In each case, these benefits accrued prior to the applicable officer’s becoming a managing director of Lazard. The annual benefit under such plans, payable as a single life annuity commencing at age 65, would be $6,447 for Mr. Jacobs, $4,328 for Mr. Golub, $18,845 for Mr. Hoffman and $12,421 for Mr. Stern. Under the terms of the supplemental defined-benefit pension plan, the benefits are only payable in a single lump sum payment. Benefit accruals under both of these plans were frozen for all participants effective January 31, 2005, and our named executive officers will not accrue any additional benefits. Messrs. Castellano and Ward do not participate in these plans. For the value of the benefits accrued by Messrs. Jacobs, Golub, Hoffman and Stern under these plans as of December 31, 2009, see “Pension Benefits”.</w:t>
      </w:r>
    </w:p>
    <w:p>
      <w:pPr>
        <w:spacing w:after="0" w:line="13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retention or employment agreement with each of our named executive officers, other than Messrs. Jacobs and Stern, provides for certain severance benefits in the event of a termination of employment prior to March 31, 2011 by us other than for cause or, by the executive officer for good reason (we refer to these as a “qualifying terminations”). We provide for such severance payments on the condition that the departed executive not compete with us, solicit our clients or employees, or take other actions that harm our business for specified periods. The level of the severance benefits depends on whether the qualifying termination occurs prior to or following a change in control of Lazard Ltd, with qualifying terminations following a change in control triggering an enhanced benefit. In addition, the retention or employment agreement with each of our named executive officers, other than Messrs. Jacobs and Stern, provides that in the event that the executive officer’s receipt of any payment made by us under the agreement or otherwise is subject to the excise tax imposed under Section 4999 of the Code, an additional payment will be made to restore the executive to the after-tax position that he would have been in if the excise tax had not been imposed. The events giving rise to a severance payment as well as the amount of the payments under the retention agreements were negotiated terms and based on common industry practice for agreements of this kind at the time they were negotiated. See “Retention Agreements with Named Executive Officers—Payments and Benefits Upon Certain Terminations of Service” and also see “Potential Payments Upon Termination or Change in Control” for an estimate of potential payouts under each scenario.</w:t>
      </w:r>
    </w:p>
    <w:p>
      <w:pPr>
        <w:spacing w:after="0" w:line="11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general, non-vested RSUs are forfeited by our named executive officers upon termination of employment, except in limited cases such as death, disability or a termination by the Company other than for “cause”, except that Messrs. Golub and Castellano are currently eligible to retire and retain their RSUs, subject to certain limitations, pursuant to a retirement policy approved by the Compensation Committee. In the event of a change of control of Lazard Ltd, any unvested RSUs will automatically vest, without regard to whether the executive officer is terminated. In this way, our named executive officers can realize value from these awards in the same way as shareholders in connection with the change of control transaction, and thus encourage our named executive officers to consider and support transactions that might benefit shareholders.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Former Chairman and Chief Executive Officer</w:t>
      </w:r>
    </w:p>
    <w:p>
      <w:pPr>
        <w:spacing w:after="0" w:line="77"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Bruce Wasserstein, who served as Lazard’s Chairman &amp; Chief Executive Officer, passed away on October 14, 2009. The terms of Mr. Wasserstein’s employment with Lazard were governed by the amended and restated retention agreement dated as of January 29, 2008 between Mr. Wasserstein and Lazard. Pursuant to that agreement, upon Mr. Wasserstein’s death, 4,420,893 RSUs vested and an equivalent number of shares of Lazard Class A common stock were delivered to his estate. In 2009, through the date of his death, Mr. Wasserstein had received a salary of $712,500. No other payments were made to Mr. Wasserstein or his estate in 2009.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Compensation Actions</w:t>
      </w:r>
    </w:p>
    <w:p>
      <w:pPr>
        <w:spacing w:after="0" w:line="231" w:lineRule="exact"/>
        <w:rPr>
          <w:sz w:val="20"/>
          <w:szCs w:val="20"/>
          <w:color w:val="auto"/>
        </w:rPr>
      </w:pPr>
    </w:p>
    <w:p>
      <w:pPr>
        <w:ind w:right="380" w:firstLine="456"/>
        <w:spacing w:after="0" w:line="323" w:lineRule="auto"/>
        <w:rPr>
          <w:sz w:val="20"/>
          <w:szCs w:val="20"/>
          <w:color w:val="auto"/>
        </w:rPr>
      </w:pPr>
      <w:r>
        <w:rPr>
          <w:rFonts w:ascii="Arial" w:cs="Arial" w:eastAsia="Arial" w:hAnsi="Arial"/>
          <w:sz w:val="15"/>
          <w:szCs w:val="15"/>
          <w:b w:val="1"/>
          <w:bCs w:val="1"/>
          <w:i w:val="1"/>
          <w:iCs w:val="1"/>
          <w:color w:val="auto"/>
        </w:rPr>
        <w:t xml:space="preserve">RSU Retirement Policy. </w:t>
      </w:r>
      <w:r>
        <w:rPr>
          <w:rFonts w:ascii="Arial" w:cs="Arial" w:eastAsia="Arial" w:hAnsi="Arial"/>
          <w:sz w:val="15"/>
          <w:szCs w:val="15"/>
          <w:color w:val="auto"/>
        </w:rPr>
        <w:t>In January 2010, the Company amended its retirement policy with respect to RSU awards. The amended policy provides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minimum age and length of service requirements for employees to be eligible to vest in their RSU awards upon retirement. The requirements are (i) 56 years minimum age, (ii) 5 years minimum service and (iii) 70 years minimum combined age and service. Assuming such requirements are met, RSU awards will continue to vest following retirement subject to continued compliance with non-compete, non-solicit and other provisions in the RSU agreements.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compensation program is designed to permit the Company to provide our executive officers, managing directors and other senior professionals with total compensation that is linked to our performance and reinforces the alignment of employee and shareholder interests. At the same time it is intended to provide us with sufficient flexibility to assure that such compensation is appropriate to attract and retain these employees who are vital to the continued success of Lazard and to drive outstanding individual and institutional performance. We believe the program met these objectives in 2009.</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164"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 Compensation Committee of Lazard Ltd has reviewed and discussed the Compensation Discussion and Analysis required by Item 402(b) of Regulation S-K with management and, based on such review and discussions, the Lazard Ltd Compensation Committee recommended to the Board that the Compensation Discussion and Analysis be included in this Annual Report on Form 10-K.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Steven J. Heyer (Chair), Sylvia Jay and Michael J. Turner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Executive Officers</w:t>
      </w:r>
    </w:p>
    <w:p>
      <w:pPr>
        <w:spacing w:after="0" w:line="16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following table contains information with respect to our Chief Executive Officer, Chief Financial Officer, and the three other most highly compensated executive officers of Lazard Ltd. Pursuant to SEC rules, we have also included information on Bruce Wasserstein, who served as Chairman and Chief Executive Officer of Lazard until his passing on October 14, 2009 and Steven Golub, who served as interim Chief Executive Officer from October 14</w:t>
      </w:r>
      <w:r>
        <w:rPr>
          <w:rFonts w:ascii="Arial" w:cs="Arial" w:eastAsia="Arial" w:hAnsi="Arial"/>
          <w:sz w:val="10"/>
          <w:szCs w:val="10"/>
          <w:color w:val="auto"/>
        </w:rPr>
        <w:t>th</w:t>
      </w:r>
      <w:r>
        <w:rPr>
          <w:rFonts w:ascii="Arial" w:cs="Arial" w:eastAsia="Arial" w:hAnsi="Arial"/>
          <w:sz w:val="16"/>
          <w:szCs w:val="16"/>
          <w:color w:val="auto"/>
        </w:rPr>
        <w:t xml:space="preserve"> until November 16</w:t>
      </w:r>
      <w:r>
        <w:rPr>
          <w:rFonts w:ascii="Arial" w:cs="Arial" w:eastAsia="Arial" w:hAnsi="Arial"/>
          <w:sz w:val="10"/>
          <w:szCs w:val="10"/>
          <w:color w:val="auto"/>
        </w:rPr>
        <w:t>th</w:t>
      </w:r>
      <w:r>
        <w:rPr>
          <w:rFonts w:ascii="Arial" w:cs="Arial" w:eastAsia="Arial" w:hAnsi="Arial"/>
          <w:sz w:val="16"/>
          <w:szCs w:val="16"/>
          <w:color w:val="auto"/>
        </w:rPr>
        <w:t>, 2009. These officers are collectively referred to as the “named executive officers”. We believe that the better way to view this information is as set forth under “Compensation Discussion and Analysis—Compensation for Each of Our Named Executive Officers in 2009,” as the information set forth below (i) includes in 2009 compensation RSUs that related to 2008 performance, which were awarded on February 10, 2009 and does not include in 2009 compensation RSUs that related to 2009 performance, which were awarded on February 11, 2010, and (ii) includes in 2009 compensation deferred cash awards that related to 2008 performance, which were awarded on February 10, 2009 and were paid in February 2010.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and Principal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1061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Kenneth M. Jacobs</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Steven J. Golub</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Interim Chief Executive Officer</w:t>
      </w:r>
    </w:p>
    <w:p>
      <w:pPr>
        <w:spacing w:after="0" w:line="9" w:lineRule="exact"/>
        <w:rPr>
          <w:sz w:val="20"/>
          <w:szCs w:val="20"/>
          <w:color w:val="auto"/>
        </w:rPr>
      </w:pPr>
    </w:p>
    <w:p>
      <w:pPr>
        <w:ind w:left="220"/>
        <w:spacing w:after="0" w:line="261" w:lineRule="auto"/>
        <w:rPr>
          <w:sz w:val="20"/>
          <w:szCs w:val="20"/>
          <w:color w:val="auto"/>
        </w:rPr>
      </w:pPr>
      <w:r>
        <w:rPr>
          <w:rFonts w:ascii="Arial" w:cs="Arial" w:eastAsia="Arial" w:hAnsi="Arial"/>
          <w:sz w:val="18"/>
          <w:szCs w:val="18"/>
          <w:i w:val="1"/>
          <w:iCs w:val="1"/>
          <w:color w:val="auto"/>
        </w:rPr>
        <w:t>From October 14th until November 16th, 2009 and Vice Chairman of Lazard Ltd</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21"/>
              <w:spacing w:after="0"/>
              <w:rPr>
                <w:sz w:val="20"/>
                <w:szCs w:val="20"/>
                <w:color w:val="auto"/>
              </w:rPr>
            </w:pPr>
            <w:r>
              <w:rPr>
                <w:rFonts w:ascii="Arial" w:cs="Arial" w:eastAsia="Arial" w:hAnsi="Arial"/>
                <w:sz w:val="14"/>
                <w:szCs w:val="14"/>
                <w:b w:val="1"/>
                <w:bCs w:val="1"/>
                <w:color w:val="auto"/>
                <w:w w:val="88"/>
              </w:rPr>
              <w:t>Change in</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0"/>
              </w:rPr>
              <w:t>and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Restricted</w:t>
            </w:r>
          </w:p>
        </w:tc>
        <w:tc>
          <w:tcPr>
            <w:tcW w:w="100" w:type="dxa"/>
            <w:vAlign w:val="bottom"/>
          </w:tcPr>
          <w:p>
            <w:pPr>
              <w:spacing w:after="0"/>
              <w:rPr>
                <w:sz w:val="12"/>
                <w:szCs w:val="12"/>
                <w:color w:val="auto"/>
              </w:rPr>
            </w:pPr>
          </w:p>
        </w:tc>
        <w:tc>
          <w:tcPr>
            <w:tcW w:w="74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0"/>
              </w:rPr>
              <w:t>Deferred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Stock Unit</w:t>
            </w: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22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Salary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Bonus</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8"/>
              </w:rPr>
              <w:t>Awards (b)</w:t>
            </w:r>
          </w:p>
        </w:tc>
        <w:tc>
          <w:tcPr>
            <w:tcW w:w="20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Earnings (c)</w:t>
            </w:r>
          </w:p>
        </w:tc>
        <w:tc>
          <w:tcPr>
            <w:tcW w:w="200" w:type="dxa"/>
            <w:vAlign w:val="bottom"/>
          </w:tcPr>
          <w:p>
            <w:pPr>
              <w:spacing w:after="0"/>
              <w:rPr>
                <w:sz w:val="14"/>
                <w:szCs w:val="14"/>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Compensation (d)</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210"/>
        </w:trPr>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9"/>
              </w:rPr>
              <w:t>2009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1,427,885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74"/>
              </w:rPr>
              <w:t>6,222,115(a)</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2,300,000</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458</w:t>
            </w:r>
          </w:p>
        </w:tc>
        <w:tc>
          <w:tcPr>
            <w:tcW w:w="2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193,561(e)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10,144,019</w:t>
            </w:r>
          </w:p>
        </w:tc>
        <w:tc>
          <w:tcPr>
            <w:tcW w:w="2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316"/>
        </w:trPr>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2009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6,660,000(a)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2,640,000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1,616</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219,988(e)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10,421,604</w:t>
            </w:r>
          </w:p>
        </w:tc>
      </w:tr>
      <w:tr>
        <w:trPr>
          <w:trHeight w:val="222"/>
        </w:trPr>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2008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1,112,115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487,885(a)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6,383</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10,049(e)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11,616,432</w:t>
            </w:r>
          </w:p>
        </w:tc>
      </w:tr>
      <w:tr>
        <w:trPr>
          <w:trHeight w:val="324"/>
        </w:trPr>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2007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1,500,000</w:t>
            </w:r>
          </w:p>
        </w:tc>
        <w:tc>
          <w:tcPr>
            <w:tcW w:w="1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4,500,000</w:t>
            </w:r>
          </w:p>
        </w:tc>
        <w:tc>
          <w:tcPr>
            <w:tcW w:w="4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7,100,000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9,563(e)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13,109,563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-821055</wp:posOffset>
            </wp:positionV>
            <wp:extent cx="7246620" cy="2743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32" w:lineRule="exact"/>
        <w:rPr>
          <w:sz w:val="20"/>
          <w:szCs w:val="20"/>
          <w:color w:val="auto"/>
        </w:rPr>
      </w:pPr>
    </w:p>
    <w:p>
      <w:pPr>
        <w:sectPr>
          <w:pgSz w:w="11900" w:h="16838" w:orient="portrait"/>
          <w:cols w:equalWidth="0" w:num="2">
            <w:col w:w="3500" w:space="240"/>
            <w:col w:w="76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Bruce Wasserstein</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712,500</w:t>
            </w:r>
          </w:p>
        </w:tc>
        <w:tc>
          <w:tcPr>
            <w:tcW w:w="1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11,500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w w:val="96"/>
              </w:rPr>
              <w:t>Former Chairman and Chief Executive Officer</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4"/>
              </w:rPr>
              <w:t>1,225,000</w:t>
            </w:r>
          </w:p>
        </w:tc>
        <w:tc>
          <w:tcPr>
            <w:tcW w:w="1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5"/>
              </w:rPr>
              <w:t>132,482,000</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1,650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133,708,650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deceased October 14, 2009</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4"/>
              </w:rPr>
              <w:t>4,800,000</w:t>
            </w:r>
          </w:p>
        </w:tc>
        <w:tc>
          <w:tcPr>
            <w:tcW w:w="1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18,000,000</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1,618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22,801,618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740" w:type="dxa"/>
            <w:vAlign w:val="bottom"/>
            <w:gridSpan w:val="2"/>
          </w:tcPr>
          <w:p>
            <w:pPr>
              <w:spacing w:after="0"/>
              <w:rPr>
                <w:sz w:val="20"/>
                <w:szCs w:val="20"/>
                <w:color w:val="auto"/>
              </w:rPr>
            </w:pPr>
            <w:r>
              <w:rPr>
                <w:rFonts w:ascii="Arial" w:cs="Arial" w:eastAsia="Arial" w:hAnsi="Arial"/>
                <w:sz w:val="18"/>
                <w:szCs w:val="18"/>
                <w:color w:val="auto"/>
              </w:rPr>
              <w:t>Michael J. Castellano</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2009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500,000</w:t>
            </w:r>
          </w:p>
        </w:tc>
        <w:tc>
          <w:tcPr>
            <w:tcW w:w="1220" w:type="dxa"/>
            <w:vAlign w:val="bottom"/>
          </w:tcPr>
          <w:p>
            <w:pPr>
              <w:ind w:left="100"/>
              <w:spacing w:after="0"/>
              <w:rPr>
                <w:sz w:val="20"/>
                <w:szCs w:val="20"/>
                <w:color w:val="auto"/>
              </w:rPr>
            </w:pPr>
            <w:r>
              <w:rPr>
                <w:rFonts w:ascii="Arial" w:cs="Arial" w:eastAsia="Arial" w:hAnsi="Arial"/>
                <w:sz w:val="18"/>
                <w:szCs w:val="18"/>
                <w:color w:val="auto"/>
                <w:w w:val="98"/>
              </w:rPr>
              <w:t>$1,905,000(a)</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645,000</w:t>
            </w:r>
          </w:p>
        </w:tc>
        <w:tc>
          <w:tcPr>
            <w:tcW w:w="320" w:type="dxa"/>
            <w:vAlign w:val="bottom"/>
          </w:tcPr>
          <w:p>
            <w:pPr>
              <w:spacing w:after="0"/>
              <w:rPr>
                <w:sz w:val="24"/>
                <w:szCs w:val="24"/>
                <w:color w:val="auto"/>
              </w:rPr>
            </w:pPr>
          </w:p>
        </w:tc>
        <w:tc>
          <w:tcPr>
            <w:tcW w:w="720" w:type="dxa"/>
            <w:vAlign w:val="bottom"/>
          </w:tcPr>
          <w:p>
            <w:pPr>
              <w:ind w:left="36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57,443(e)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3,107,443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200"/>
              <w:spacing w:after="0"/>
              <w:rPr>
                <w:sz w:val="20"/>
                <w:szCs w:val="20"/>
                <w:color w:val="auto"/>
              </w:rPr>
            </w:pPr>
            <w:r>
              <w:rPr>
                <w:rFonts w:ascii="Arial" w:cs="Arial" w:eastAsia="Arial" w:hAnsi="Arial"/>
                <w:sz w:val="18"/>
                <w:szCs w:val="18"/>
                <w:i w:val="1"/>
                <w:iCs w:val="1"/>
                <w:color w:val="auto"/>
              </w:rPr>
              <w:t>Chief Financial Officer</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2008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500,000</w:t>
            </w:r>
          </w:p>
        </w:tc>
        <w:tc>
          <w:tcPr>
            <w:tcW w:w="1220" w:type="dxa"/>
            <w:vAlign w:val="bottom"/>
          </w:tcPr>
          <w:p>
            <w:pPr>
              <w:ind w:left="640"/>
              <w:spacing w:after="0"/>
              <w:rPr>
                <w:sz w:val="20"/>
                <w:szCs w:val="20"/>
                <w:color w:val="auto"/>
              </w:rPr>
            </w:pPr>
            <w:r>
              <w:rPr>
                <w:rFonts w:ascii="Arial" w:cs="Arial" w:eastAsia="Arial" w:hAnsi="Arial"/>
                <w:sz w:val="18"/>
                <w:szCs w:val="18"/>
                <w:color w:val="auto"/>
              </w:rPr>
              <w:t>— (a)</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900,000</w:t>
            </w:r>
          </w:p>
        </w:tc>
        <w:tc>
          <w:tcPr>
            <w:tcW w:w="320" w:type="dxa"/>
            <w:vAlign w:val="bottom"/>
          </w:tcPr>
          <w:p>
            <w:pPr>
              <w:spacing w:after="0"/>
              <w:rPr>
                <w:sz w:val="18"/>
                <w:szCs w:val="18"/>
                <w:color w:val="auto"/>
              </w:rPr>
            </w:pPr>
          </w:p>
        </w:tc>
        <w:tc>
          <w:tcPr>
            <w:tcW w:w="720" w:type="dxa"/>
            <w:vAlign w:val="bottom"/>
          </w:tcPr>
          <w:p>
            <w:pPr>
              <w:ind w:left="36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11,184(e)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1,411,184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2007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500,000</w:t>
            </w:r>
          </w:p>
        </w:tc>
        <w:tc>
          <w:tcPr>
            <w:tcW w:w="1220" w:type="dxa"/>
            <w:vAlign w:val="bottom"/>
          </w:tcPr>
          <w:p>
            <w:pPr>
              <w:ind w:left="100"/>
              <w:spacing w:after="0"/>
              <w:rPr>
                <w:sz w:val="20"/>
                <w:szCs w:val="20"/>
                <w:color w:val="auto"/>
              </w:rPr>
            </w:pPr>
            <w:r>
              <w:rPr>
                <w:rFonts w:ascii="Arial" w:cs="Arial" w:eastAsia="Arial" w:hAnsi="Arial"/>
                <w:sz w:val="18"/>
                <w:szCs w:val="18"/>
                <w:color w:val="auto"/>
              </w:rPr>
              <w:t>$1,600,000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450,000</w:t>
            </w:r>
          </w:p>
        </w:tc>
        <w:tc>
          <w:tcPr>
            <w:tcW w:w="320" w:type="dxa"/>
            <w:vAlign w:val="bottom"/>
          </w:tcPr>
          <w:p>
            <w:pPr>
              <w:spacing w:after="0"/>
              <w:rPr>
                <w:sz w:val="19"/>
                <w:szCs w:val="19"/>
                <w:color w:val="auto"/>
              </w:rPr>
            </w:pPr>
          </w:p>
        </w:tc>
        <w:tc>
          <w:tcPr>
            <w:tcW w:w="720" w:type="dxa"/>
            <w:vAlign w:val="bottom"/>
          </w:tcPr>
          <w:p>
            <w:pPr>
              <w:ind w:left="36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10,698(e)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2,560,698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Scott D. Hoffman</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600,000</w:t>
            </w:r>
          </w:p>
        </w:tc>
        <w:tc>
          <w:tcPr>
            <w:tcW w:w="1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$2,642,500(a)</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855,000</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444</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77,048(e)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4,174,992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General Counsel</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600,000</w:t>
            </w:r>
          </w:p>
        </w:tc>
        <w:tc>
          <w:tcPr>
            <w:tcW w:w="1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 (a)</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1,500,000</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15,771</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10,503(e)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2,126,274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600,000</w:t>
            </w:r>
          </w:p>
        </w:tc>
        <w:tc>
          <w:tcPr>
            <w:tcW w:w="1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$1,900,000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625,000</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10,018(e)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740" w:type="dxa"/>
            <w:vAlign w:val="bottom"/>
            <w:gridSpan w:val="2"/>
          </w:tcPr>
          <w:p>
            <w:pPr>
              <w:spacing w:after="0"/>
              <w:rPr>
                <w:sz w:val="20"/>
                <w:szCs w:val="20"/>
                <w:color w:val="auto"/>
              </w:rPr>
            </w:pPr>
            <w:r>
              <w:rPr>
                <w:rFonts w:ascii="Arial" w:cs="Arial" w:eastAsia="Arial" w:hAnsi="Arial"/>
                <w:sz w:val="18"/>
                <w:szCs w:val="18"/>
                <w:color w:val="auto"/>
              </w:rPr>
              <w:t>Alexander F. Stern</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2009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750,000</w:t>
            </w:r>
          </w:p>
        </w:tc>
        <w:tc>
          <w:tcPr>
            <w:tcW w:w="1220" w:type="dxa"/>
            <w:vAlign w:val="bottom"/>
          </w:tcPr>
          <w:p>
            <w:pPr>
              <w:ind w:left="100"/>
              <w:spacing w:after="0"/>
              <w:rPr>
                <w:sz w:val="20"/>
                <w:szCs w:val="20"/>
                <w:color w:val="auto"/>
              </w:rPr>
            </w:pPr>
            <w:r>
              <w:rPr>
                <w:rFonts w:ascii="Arial" w:cs="Arial" w:eastAsia="Arial" w:hAnsi="Arial"/>
                <w:sz w:val="18"/>
                <w:szCs w:val="18"/>
                <w:color w:val="auto"/>
                <w:w w:val="98"/>
              </w:rPr>
              <w:t>$2,272,500(a)</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825,000</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63,730(e)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3,911,230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tcPr>
          <w:p>
            <w:pPr>
              <w:ind w:left="200"/>
              <w:spacing w:after="0"/>
              <w:rPr>
                <w:sz w:val="20"/>
                <w:szCs w:val="20"/>
                <w:color w:val="auto"/>
              </w:rPr>
            </w:pPr>
            <w:r>
              <w:rPr>
                <w:rFonts w:ascii="Arial" w:cs="Arial" w:eastAsia="Arial" w:hAnsi="Arial"/>
                <w:sz w:val="18"/>
                <w:szCs w:val="18"/>
                <w:i w:val="1"/>
                <w:iCs w:val="1"/>
                <w:color w:val="auto"/>
              </w:rPr>
              <w:t>Chief Operating Officer</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2008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750,000</w:t>
            </w:r>
          </w:p>
        </w:tc>
        <w:tc>
          <w:tcPr>
            <w:tcW w:w="1220" w:type="dxa"/>
            <w:vAlign w:val="bottom"/>
          </w:tcPr>
          <w:p>
            <w:pPr>
              <w:ind w:left="640"/>
              <w:spacing w:after="0"/>
              <w:rPr>
                <w:sz w:val="20"/>
                <w:szCs w:val="20"/>
                <w:color w:val="auto"/>
              </w:rPr>
            </w:pPr>
            <w:r>
              <w:rPr>
                <w:rFonts w:ascii="Arial" w:cs="Arial" w:eastAsia="Arial" w:hAnsi="Arial"/>
                <w:sz w:val="18"/>
                <w:szCs w:val="18"/>
                <w:color w:val="auto"/>
              </w:rPr>
              <w:t>— (a)</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2,200,000</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9,699</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10,049(e)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2,969,748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Charles G. Ward, III</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900,000</w:t>
            </w:r>
          </w:p>
        </w:tc>
        <w:tc>
          <w:tcPr>
            <w:tcW w:w="1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$2,322,500(a)</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1,162,885</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76,966(e)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4,462,351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w w:val="98"/>
              </w:rPr>
              <w:t>President – Lazard Ltd, and Chairman of the</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4"/>
              </w:rPr>
              <w:t>1,112,115</w:t>
            </w:r>
          </w:p>
        </w:tc>
        <w:tc>
          <w:tcPr>
            <w:tcW w:w="1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 (a)</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4,200,000</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1,650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5,313,765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Asset Management Group</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4"/>
              </w:rPr>
              <w:t>1,500,000</w:t>
            </w:r>
          </w:p>
        </w:tc>
        <w:tc>
          <w:tcPr>
            <w:tcW w:w="1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$1,300,000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1,000,000</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1,618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60" w:hanging="452"/>
        <w:spacing w:after="0" w:line="306" w:lineRule="auto"/>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As was the case for most of our senior employees, each of Messrs. Jacobs, Castellano, Golub, Hoffman, Stern and Ward received deferred cash awards on February 10, 2009, which related to 2008 performance. As required under SEC rules for compensation disclosure in proxy statements, the deferred cash awards are included in the fiscal year actually granted (2009), rather than the year to which they relate (2008). During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type w:val="continuous"/>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spacing w:after="0" w:line="298" w:lineRule="auto"/>
        <w:rPr>
          <w:sz w:val="20"/>
          <w:szCs w:val="20"/>
          <w:color w:val="auto"/>
        </w:rPr>
      </w:pPr>
      <w:r>
        <w:rPr>
          <w:rFonts w:ascii="Arial" w:cs="Arial" w:eastAsia="Arial" w:hAnsi="Arial"/>
          <w:sz w:val="16"/>
          <w:szCs w:val="16"/>
          <w:color w:val="auto"/>
        </w:rPr>
        <w:t>the fourth quarter of 2009, the Compensation Committee approved the acceleration of the deferred cash awards to be paid out in February 2010 for all recipients, including our executive officers. Amounts reported in the Bonus column above include these accelerated deferred cash awards as follows: $3.9 million to Mr. Jacobs; $1.005 million to Mr. Castellano; $4.56 million to Mr. Golub; $1.395 million to Mr. Hoffman; $1.175 million to Mr. Stern; and $1.575 million to Mr. Ward. See “Compensation Discussion and Analysis—Design of Our Compensation Programs.”</w:t>
      </w:r>
    </w:p>
    <w:p>
      <w:pPr>
        <w:spacing w:after="0" w:line="32" w:lineRule="exact"/>
        <w:rPr>
          <w:sz w:val="20"/>
          <w:szCs w:val="20"/>
          <w:color w:val="auto"/>
        </w:rPr>
      </w:pPr>
    </w:p>
    <w:p>
      <w:pPr>
        <w:ind w:left="460" w:right="100" w:hanging="452"/>
        <w:spacing w:after="0" w:line="255"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RSUs granted to each of the named executive officers during fiscal year 2009, which relate to 2008 performance. As required under SEC rules for compensation disclosure in proxy statements, the value of the RSUs reported in the Summary Compensation Table is based on the grant date fair value of awards in the fiscal year actually granted (rather than in the year to which it relates) and computed in accordance with FASB ASC Topic 718. See Note 17 of Notes to the Consolidated Financial Statements contained in Lazard’s 2009 Annual Report on Form 10-K for a discussion of the assumptions used in the valuation of the RSUs.</w:t>
      </w:r>
    </w:p>
    <w:p>
      <w:pPr>
        <w:spacing w:after="0" w:line="48" w:lineRule="exact"/>
        <w:rPr>
          <w:rFonts w:ascii="Arial" w:cs="Arial" w:eastAsia="Arial" w:hAnsi="Arial"/>
          <w:sz w:val="18"/>
          <w:szCs w:val="18"/>
          <w:color w:val="auto"/>
        </w:rPr>
      </w:pPr>
    </w:p>
    <w:p>
      <w:pPr>
        <w:ind w:left="460" w:right="240" w:hanging="452"/>
        <w:spacing w:after="0" w:line="298" w:lineRule="auto"/>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Represents the aggregate change in actuarial present value of the listed officer’s accumulated benefit under the Lazard Frères &amp; Co. LLC Employees’ Pension Plan, and in the case of Mr. Hoffman and Mr. Stern, a related supplemental defined-benefit pension plan. With respect to Mr. Stern, the actuarial present value decreased by $29 in 2009 compared to 2008 because benefit accruals under both of these plans were frozen for all participants effective January 31, 2005 and the discount rate used in the calculations increased from 5.80% to 6.00%.</w:t>
      </w:r>
    </w:p>
    <w:p>
      <w:pPr>
        <w:spacing w:after="0" w:line="18" w:lineRule="exact"/>
        <w:rPr>
          <w:rFonts w:ascii="Arial" w:cs="Arial" w:eastAsia="Arial" w:hAnsi="Arial"/>
          <w:sz w:val="16"/>
          <w:szCs w:val="16"/>
          <w:color w:val="auto"/>
        </w:rPr>
      </w:pPr>
    </w:p>
    <w:p>
      <w:pPr>
        <w:ind w:left="460" w:right="20" w:hanging="452"/>
        <w:spacing w:after="0" w:line="259"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of our named executive officers is the beneficiary of Company provided life insurance, and an excess liability insurance policy, and beginning on August 1, 2009, the Company began to provide long term disability insurance. In addition, beginning on August 1, 2009, the firm began paying a portion of the health insurance premiums for our named executive officers, as it does for all U.S. employees.</w:t>
      </w:r>
    </w:p>
    <w:p>
      <w:pPr>
        <w:spacing w:after="0" w:line="45" w:lineRule="exact"/>
        <w:rPr>
          <w:rFonts w:ascii="Arial" w:cs="Arial" w:eastAsia="Arial" w:hAnsi="Arial"/>
          <w:sz w:val="18"/>
          <w:szCs w:val="18"/>
          <w:color w:val="auto"/>
        </w:rPr>
      </w:pPr>
    </w:p>
    <w:p>
      <w:pPr>
        <w:ind w:left="460" w:right="120" w:hanging="452"/>
        <w:spacing w:after="0" w:line="306" w:lineRule="auto"/>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Each of our named executive officers (other than Mr. Wasserstein) received interest payments on the deferred cash awards they were granted as part of the 2008 compensation cycle for the period from the date of the grant through December 31, 2009, as follows: $175,500 to Mr. Jacobs; $45,225 to Mr. Castellano; $205,200 to Mr. Golub; $62,775 to Mr. Hoffman; $52,875 to Mr. Stern; and $70,875 to Mr. Ward.</w:t>
      </w:r>
    </w:p>
    <w:p>
      <w:pPr>
        <w:spacing w:after="0" w:line="12" w:lineRule="exact"/>
        <w:rPr>
          <w:rFonts w:ascii="Arial" w:cs="Arial" w:eastAsia="Arial" w:hAnsi="Arial"/>
          <w:sz w:val="16"/>
          <w:szCs w:val="16"/>
          <w:color w:val="auto"/>
        </w:rPr>
      </w:pPr>
    </w:p>
    <w:p>
      <w:pPr>
        <w:ind w:left="460" w:right="320"/>
        <w:spacing w:after="0" w:line="268" w:lineRule="auto"/>
        <w:rPr>
          <w:rFonts w:ascii="Arial" w:cs="Arial" w:eastAsia="Arial" w:hAnsi="Arial"/>
          <w:sz w:val="16"/>
          <w:szCs w:val="16"/>
          <w:color w:val="auto"/>
        </w:rPr>
      </w:pPr>
      <w:r>
        <w:rPr>
          <w:rFonts w:ascii="Arial" w:cs="Arial" w:eastAsia="Arial" w:hAnsi="Arial"/>
          <w:sz w:val="18"/>
          <w:szCs w:val="18"/>
          <w:color w:val="auto"/>
        </w:rPr>
        <w:t>Perquisite compensation for Messrs. Jacobs, Castellano, Golub, Hoffman and Stern includes the incremental cost to the Company of providing U.S. tax advice and preparation of year-end personal tax returns.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 Based Awards</w:t>
      </w:r>
    </w:p>
    <w:p>
      <w:pPr>
        <w:spacing w:after="0" w:line="83"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The following table provides information about RSUs granted to each of the named executive officers during fiscal year 2009, which relate to 2008 performance. For information on the grant date fair value of RSU awards made to each of our named executive officers, other than Mr. Wasserstein, during fiscal year 2010, which relate to 2009 performance, see “Compensation Discussion and Analysis—Compensation For Each of Our Named Executive Officers in 2009.”</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Grant 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Grant Date</w:t>
            </w:r>
          </w:p>
        </w:tc>
        <w:tc>
          <w:tcPr>
            <w:tcW w:w="44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5"/>
              </w:rPr>
              <w:t>Number of</w:t>
            </w:r>
          </w:p>
        </w:tc>
        <w:tc>
          <w:tcPr>
            <w:tcW w:w="11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Value of Restricted</w:t>
            </w:r>
          </w:p>
        </w:tc>
        <w:tc>
          <w:tcPr>
            <w:tcW w:w="0" w:type="dxa"/>
            <w:vAlign w:val="bottom"/>
          </w:tcPr>
          <w:p>
            <w:pPr>
              <w:spacing w:after="0"/>
              <w:rPr>
                <w:sz w:val="1"/>
                <w:szCs w:val="1"/>
                <w:color w:val="auto"/>
              </w:rPr>
            </w:pPr>
          </w:p>
        </w:tc>
      </w:tr>
      <w:tr>
        <w:trPr>
          <w:trHeight w:val="161"/>
        </w:trPr>
        <w:tc>
          <w:tcPr>
            <w:tcW w:w="1560" w:type="dxa"/>
            <w:vAlign w:val="bottom"/>
            <w:gridSpan w:val="3"/>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5060" w:type="dxa"/>
            <w:vAlign w:val="bottom"/>
          </w:tcPr>
          <w:p>
            <w:pPr>
              <w:spacing w:after="0"/>
              <w:rPr>
                <w:sz w:val="14"/>
                <w:szCs w:val="14"/>
                <w:color w:val="auto"/>
              </w:rPr>
            </w:pPr>
          </w:p>
        </w:tc>
        <w:tc>
          <w:tcPr>
            <w:tcW w:w="21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7"/>
              </w:rPr>
              <w:t>Restricted</w:t>
            </w:r>
          </w:p>
        </w:tc>
        <w:tc>
          <w:tcPr>
            <w:tcW w:w="11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Stock Units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8"/>
              </w:rPr>
              <w:t>Kenneth M. Jacobs</w:t>
            </w:r>
          </w:p>
        </w:tc>
        <w:tc>
          <w:tcPr>
            <w:tcW w:w="5060" w:type="dxa"/>
            <w:vAlign w:val="bottom"/>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February 10, 2009</w:t>
            </w:r>
          </w:p>
        </w:tc>
        <w:tc>
          <w:tcPr>
            <w:tcW w:w="4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73,789</w:t>
            </w:r>
          </w:p>
        </w:tc>
        <w:tc>
          <w:tcPr>
            <w:tcW w:w="4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2,300,000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Bruce Wasserstein</w:t>
            </w:r>
          </w:p>
        </w:tc>
        <w:tc>
          <w:tcPr>
            <w:tcW w:w="506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February 10, 2009</w:t>
            </w:r>
          </w:p>
        </w:tc>
        <w:tc>
          <w:tcPr>
            <w:tcW w:w="440" w:type="dxa"/>
            <w:vAlign w:val="bottom"/>
          </w:tcPr>
          <w:p>
            <w:pPr>
              <w:spacing w:after="0"/>
              <w:rPr>
                <w:sz w:val="18"/>
                <w:szCs w:val="18"/>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J. Golub</w:t>
            </w:r>
          </w:p>
        </w:tc>
        <w:tc>
          <w:tcPr>
            <w:tcW w:w="506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10, 2009</w:t>
            </w:r>
          </w:p>
        </w:tc>
        <w:tc>
          <w:tcPr>
            <w:tcW w:w="1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84,697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2,640,000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w w:val="88"/>
              </w:rPr>
              <w:t>Michael J. Castellano</w:t>
            </w:r>
          </w:p>
        </w:tc>
        <w:tc>
          <w:tcPr>
            <w:tcW w:w="506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February 10, 2009</w:t>
            </w:r>
          </w:p>
        </w:tc>
        <w:tc>
          <w:tcPr>
            <w:tcW w:w="1520" w:type="dxa"/>
            <w:vAlign w:val="bottom"/>
            <w:gridSpan w:val="3"/>
          </w:tcPr>
          <w:p>
            <w:pPr>
              <w:jc w:val="right"/>
              <w:ind w:right="440"/>
              <w:spacing w:after="0"/>
              <w:rPr>
                <w:sz w:val="20"/>
                <w:szCs w:val="20"/>
                <w:color w:val="auto"/>
              </w:rPr>
            </w:pPr>
            <w:r>
              <w:rPr>
                <w:rFonts w:ascii="Arial" w:cs="Arial" w:eastAsia="Arial" w:hAnsi="Arial"/>
                <w:sz w:val="18"/>
                <w:szCs w:val="18"/>
                <w:color w:val="auto"/>
              </w:rPr>
              <w:t>20,693</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D. Hoffman</w:t>
            </w:r>
          </w:p>
        </w:tc>
        <w:tc>
          <w:tcPr>
            <w:tcW w:w="506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10, 2009</w:t>
            </w:r>
          </w:p>
        </w:tc>
        <w:tc>
          <w:tcPr>
            <w:tcW w:w="1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27,430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Alexander F. Stern</w:t>
            </w:r>
          </w:p>
        </w:tc>
        <w:tc>
          <w:tcPr>
            <w:tcW w:w="506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February 10, 2009</w:t>
            </w:r>
          </w:p>
        </w:tc>
        <w:tc>
          <w:tcPr>
            <w:tcW w:w="1520" w:type="dxa"/>
            <w:vAlign w:val="bottom"/>
            <w:gridSpan w:val="3"/>
          </w:tcPr>
          <w:p>
            <w:pPr>
              <w:jc w:val="right"/>
              <w:ind w:right="440"/>
              <w:spacing w:after="0"/>
              <w:rPr>
                <w:sz w:val="20"/>
                <w:szCs w:val="20"/>
                <w:color w:val="auto"/>
              </w:rPr>
            </w:pPr>
            <w:r>
              <w:rPr>
                <w:rFonts w:ascii="Arial" w:cs="Arial" w:eastAsia="Arial" w:hAnsi="Arial"/>
                <w:sz w:val="18"/>
                <w:szCs w:val="18"/>
                <w:color w:val="auto"/>
              </w:rPr>
              <w:t>26,468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Charles G. Ward, III</w:t>
            </w:r>
          </w:p>
        </w:tc>
        <w:tc>
          <w:tcPr>
            <w:tcW w:w="506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10, 2009</w:t>
            </w:r>
          </w:p>
        </w:tc>
        <w:tc>
          <w:tcPr>
            <w:tcW w:w="1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37,308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1,162,885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060" w:type="dxa"/>
            <w:vAlign w:val="bottom"/>
            <w:vMerge w:val="restart"/>
          </w:tcPr>
          <w:p>
            <w:pPr>
              <w:jc w:val="right"/>
              <w:ind w:right="692"/>
              <w:spacing w:after="0"/>
              <w:rPr>
                <w:sz w:val="20"/>
                <w:szCs w:val="20"/>
                <w:color w:val="auto"/>
              </w:rPr>
            </w:pPr>
            <w:r>
              <w:rPr>
                <w:rFonts w:ascii="Arial" w:cs="Arial" w:eastAsia="Arial" w:hAnsi="Arial"/>
                <w:sz w:val="18"/>
                <w:szCs w:val="18"/>
                <w:color w:val="auto"/>
              </w:rPr>
              <w:t>148</w:t>
            </w:r>
          </w:p>
        </w:tc>
        <w:tc>
          <w:tcPr>
            <w:tcW w:w="2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6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RSUs included in the table above were granted under our 2008 Incentive Compensation Plan and represent a contingent right to receive an equivalent number of shares of Class A common stock. The RSUs shown in the table were valued by multiplying the number of RSUs awarded to each named executive officer by the closing price-per-share of the Class A common stock on the NYSE on the day before the grant date. The closing price on February 9, 2009 was $31.17 per share. The RSUs granted on February 10, 2009 to each of our named executive officers relate to 2008 performance and will vest on March 1, 2013. Each of our named executive officers signed an RSU agreement in connection with his award. In general, these agreements provide that non-vested RSUs are forfeited on termination of employment, except in limited cases such as death, disability or a termination by the Company other than for “cause”. In the event of a “Change in Control” (as defined in the 2008 Incentive Compensation Plan), any unvested but outstanding RSUs automatically will vest. All RSUs receive dividend equivalents at the same rate that dividends are paid on shares of Class A common stock. These dividends are credited in the form of additional RSUs with the same restrictions as the underlying RSUs to which they relate. In addition, the RSU agreements contain standard covenants, including among others, noncompetition and nonsolicitation of our clients and employees.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Plan</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 align employee and shareholder interests, we adopted the 2005 Bonus Plan for purposes of determining annual bonuses for our senior executives. The Compensation Committee has full direct responsibility and authority for determining our Chief Executive Officer’s compensation under the plan. The Committee reviews and approves the recommendations of our Chief Executive Officer with regard to the compensation of our other executive officers under the plan. Subject to overall compensation limits as determined from time to time and, with respect to plan participants, the terms of the plan, our Chief Executive Officer has responsibility for determining the compensation of all employees except as provided above.</w:t>
      </w:r>
    </w:p>
    <w:p>
      <w:pPr>
        <w:spacing w:after="0" w:line="102"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actual size of the bonus pool is determined at the end of each fiscal year, taking into account our results of operations, shareholder return, and/or other measures of our financial performance or of the financial performance of one or more of our subsidiaries or divisions, as well as competitive compensation practices in the financial services industry. A target maximum ratio of aggregate compensation and benefits expense for the year (including annual incentive payments under the plan) to annual revenue or income (or to similar measures of corporate profitability) may also be taken into account. The bonus pool is allocated among the participants in the plan with respect to each fiscal year. This allocation may be made at any time prior to payment of bonuses for such year, and may take into account any factors deemed appropriate, including, without limitation, assessments of individual, subsidiary or division performance and input of management.</w:t>
      </w:r>
    </w:p>
    <w:p>
      <w:pPr>
        <w:spacing w:after="0" w:line="13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Amounts payable with respect to bonuses are satisfied in cash and through equity awards granted under either the 2008 Incentive Compensation Plan or under our 2005 Equity Incentive Plan.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Retention Agreements with Named Executive Officers</w:t>
      </w:r>
    </w:p>
    <w:p>
      <w:pPr>
        <w:spacing w:after="0" w:line="7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Each of the named executive officers has entered into a retention or employment agreement with Lazard. Generally, the provision of services under the retention agreements is terminable by either party upon three months notice, and the agreements also contain the following terms and conditions: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Compensation and Employee Benefits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Each of Messrs. Jacobs and Stern entered into a retention agreement with Lazard on March 18, 2005 and October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4, 2004, respectively. Messrs. Castellano, Golub, Hoffman and Ward entered into amended retention agreements with Lazard on May 7, 2008. These retention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agreements provide for an annual base salary of $1,500,000 for Mr. Jacobs; $500,000 for Mr. Castellano; $900,000 for Mr. Golub; $600,000 for Mr. Hoffman;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$750,000 for Mr. Stern; and $900,000 for Mr. Ward. In connection with his appointment to Chief Executive Officer of Lazard on November 16, 2009, Mr. Jacobs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agreed to reduce his annual salary to $900,000. The term of the agreements for Messrs. Castellano, Golub, Hoffman and Ward continue until March 31, 2011,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unless earlier terminated in accordance with their terms. In addition, each of</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Messrs. Castellano, Golub, Hoffman and Ward is entitled to an annual bonus to be determined under the applicable annual bonus plan of Lazard on the same basis as annual bonuses are determined for other executive officers of Lazard and paid in the same ratio of cash to equity awards as is applicable to other executives, provided that he is employed by Lazard at the end of the applicable fiscal year.</w:t>
      </w:r>
    </w:p>
    <w:p>
      <w:pPr>
        <w:spacing w:after="0" w:line="127"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In addition, the retention agreements with each of Messrs. Jacobs, Castellano, Golub, Hoffman, Stern, and Ward provide that they will be entitled to participate in employee retirement and welfare benefit plans and programs of the type made available to our most senior executives.</w:t>
      </w:r>
    </w:p>
    <w:p>
      <w:pPr>
        <w:spacing w:after="0" w:line="72"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b w:val="1"/>
          <w:bCs w:val="1"/>
          <w:i w:val="1"/>
          <w:iCs w:val="1"/>
          <w:color w:val="auto"/>
        </w:rPr>
        <w:t>Payments and Benefits Upon Certain Terminations of Service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retention agreement with our named executive officers, other than Messrs. Jacobs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Stern, provides for certain severance benefits in the event of a termination prior to March 31, 2011, by us other than for cause or by the named executive officer for good reason (which we refer to below as a “qualifying termination”). The level of the severance benefits depends on whether the applicable termination occurs prior to or following a change in control of Lazard Ltd.</w:t>
      </w:r>
    </w:p>
    <w:p>
      <w:pPr>
        <w:spacing w:after="0" w:line="13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the event of a qualifying termination of any of Messrs. Castellano, Golub, Hoffman, or Ward prior to a change in control, the executive generally would be entitled to receive in a lump sum (1) any unpaid base salary accrued through the date of termination, (2) any earned but unpaid bonuses for years completed prior to the date of termination, (3) a prorated bonus for the year of termination and (4) a severance payment in the following amount: two times the sum of such executive officer’s base salary and average annual bonus for the two fiscal years that ended prior to the date of such executive officer’s termination. Upon such a qualifying termination, Messrs. Castellano, Golub, Hoffman and Ward and their eligible dependents would generally continue to be eligible to participate in our medical and dental benefit plans, on the same basis as in effect immediately prior to the date of termination (which currently requires the named executive officer to pay a portion of the premiums), for two years following such termination. The period of such medical and dental benefits continuation would generally be credited towards the named executive officer’s credited age and service for the purpose of our retiree medical program.</w:t>
      </w:r>
    </w:p>
    <w:p>
      <w:pPr>
        <w:spacing w:after="0" w:line="10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the event of a qualifying termination of any of Messrs. Castellano, Golub or Ward on or following a change in control, such executive officer would receive the severance payments and benefits described in the preceding paragraph, except that the severance payments would be in the following amount: three times the sum of such executive officer’s base salary and average annual bonus for the two fiscal years that ended prior to the date of such executive officer’s termination. In addition, each of the named executive officers, other than Messrs. Jacobs and Stern, and their eligible dependents, would be eligible for continued participation in our medical and dental benefit plans and receive age and service credit, as described above, except that the applicable period would be 36 months following the date of termination of service.</w:t>
      </w:r>
    </w:p>
    <w:p>
      <w:pPr>
        <w:spacing w:after="0" w:line="13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retention agreement with each of Messrs. Golub and Castellano provides that if the executive officer voluntarily retires after March 31, 2011, the RSUs that he currently holds, as well as any RSUs that he is granted in later years as part of ordinary annual incentive compensation will continue to vest on the original vesting dates, subject only to compliance with the applicable restrictive covenants through the applicable vesting date (without regard to the earlier expiration of the stated duration of any such restricted covenant), and will not be forfeited upon the termination of his employment. In order to address certain rules on partnership taxation which could result in taxation of Messrs. Golub and Castellano on their RSUs awards immediately following March 31, 2011, on that date, Messrs. Golub and Castellano will receive 50% of the shares of Class A common stock subject to their then outstanding RSUs awards. All remaining shares will continue to be subject to the applicable restrictive covenants and will not be paid to the applicable executive until the relevant vesting dates.</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Change in Control Excise Tax Gross-up</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retention agreement with our named executive officers, other than Messrs. Jacobs and Stern, provides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event that the executive officer’s receipt of any payment made by us under the retention agreement or otherwise is subject to the excise tax imposed under Section 4999 of the Code, an additional payment will be made to restore the executive to the after-tax position that he would have been in if the excise tax had not been imposed.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325" w:lineRule="auto"/>
        <w:rPr>
          <w:sz w:val="20"/>
          <w:szCs w:val="20"/>
          <w:color w:val="auto"/>
        </w:rPr>
      </w:pPr>
      <w:r>
        <w:rPr>
          <w:rFonts w:ascii="Arial" w:cs="Arial" w:eastAsia="Arial" w:hAnsi="Arial"/>
          <w:sz w:val="16"/>
          <w:szCs w:val="16"/>
          <w:b w:val="1"/>
          <w:bCs w:val="1"/>
          <w:i w:val="1"/>
          <w:iCs w:val="1"/>
          <w:color w:val="auto"/>
        </w:rPr>
        <w:t>Noncompetition and Nonsolicitation of Clients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While providing services to us and during the three-month period following termination of the named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officer’s services to us (one-month period in the event of such a termination by us without cause), the named executive officer may not:</w:t>
      </w:r>
    </w:p>
    <w:p>
      <w:pPr>
        <w:spacing w:after="0" w:line="1" w:lineRule="exact"/>
        <w:rPr>
          <w:sz w:val="20"/>
          <w:szCs w:val="20"/>
          <w:color w:val="auto"/>
        </w:rPr>
      </w:pPr>
    </w:p>
    <w:p>
      <w:pPr>
        <w:ind w:left="780" w:right="60" w:hanging="326"/>
        <w:spacing w:after="0" w:line="298" w:lineRule="auto"/>
        <w:tabs>
          <w:tab w:leader="none" w:pos="7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perform services in a line of business that is similar to any line of business in which the named executive officer provided services to us in a capacity that is similar to the capacity in which the named executive officer acted for us while providing services to us (“competing services”) for any business enterprise that engages in any activity, or owns a significant interest in any entity that engages in any activity, that competes with any activity in which we are engaged up to and including the date of termination of employment (a “competitive enterprise”),</w:t>
      </w:r>
    </w:p>
    <w:p>
      <w:pPr>
        <w:spacing w:after="0" w:line="18" w:lineRule="exact"/>
        <w:rPr>
          <w:rFonts w:ascii="Arial" w:cs="Arial" w:eastAsia="Arial" w:hAnsi="Arial"/>
          <w:sz w:val="16"/>
          <w:szCs w:val="16"/>
          <w:color w:val="auto"/>
        </w:rPr>
      </w:pPr>
    </w:p>
    <w:p>
      <w:pPr>
        <w:ind w:left="780" w:hanging="326"/>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acquire an ownership or voting interest of 5% or more in any competitive enterprise, or</w:t>
      </w:r>
    </w:p>
    <w:p>
      <w:pPr>
        <w:spacing w:after="0" w:line="103" w:lineRule="exact"/>
        <w:rPr>
          <w:rFonts w:ascii="Arial" w:cs="Arial" w:eastAsia="Arial" w:hAnsi="Arial"/>
          <w:sz w:val="18"/>
          <w:szCs w:val="18"/>
          <w:color w:val="auto"/>
        </w:rPr>
      </w:pPr>
    </w:p>
    <w:p>
      <w:pPr>
        <w:ind w:left="780" w:right="400" w:hanging="326"/>
        <w:spacing w:after="0" w:line="268"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solicit any of our clients on behalf of a competitive enterprise in connection with the performance of services that would be competing services or otherwise interfere with or disrupt any client’s relationship with us.</w:t>
      </w:r>
    </w:p>
    <w:p>
      <w:pPr>
        <w:spacing w:after="0" w:line="118"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b w:val="1"/>
          <w:bCs w:val="1"/>
          <w:i w:val="1"/>
          <w:iCs w:val="1"/>
          <w:color w:val="auto"/>
        </w:rPr>
        <w:t>Nonsolicitation of Employees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While providing services to us and during the six-month period following termination of the named executive officer’s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the named executive officer may not, directly or indirectly, in any manner, solicit or hire any of our employees at the associate level or above to apply for, or accept employment with, any competitive enterprise or otherwise interfere with any such employee’s relationship with us.</w:t>
      </w:r>
    </w:p>
    <w:p>
      <w:pPr>
        <w:spacing w:after="0" w:line="9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Transfer of Client Relationships, Nondisparagement and Notice Period Restrictions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named executive officer is required, upon termination of 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to us and during the 90-day period following termination, to take all actions and do all things reasonably requested by us to maintain for us the business, goodwill and business relationships with our clients with which he worked, provided that such actions and things do not materially interfere with other employment or professional activities of the named executive officer. In addition, while providing services to us and thereafter, the named executive officer generally may not disparage us, and before and during the three-month notice period prior to termination, the named executive officer is prohibited from entering into a written agreement to perform services for a competitive enterprise.</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Provisions Relating to the Restrictive Covenants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the retention agreements with the named executive officers contain restrictive covenants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provisions that are substantially similar. However, we would treat a termination by any of Messrs. Castellano, Golub, Hoffman, or Ward for good reason as a termination by us without cause for purposes of the duration of the restrictive covenants and the provisions governing the timing of exchangeability of LAZ-MD Holdings LLC exchangeable interests into shares of our Class A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2009 Fiscal Year-End</w:t>
      </w:r>
    </w:p>
    <w:p>
      <w:pPr>
        <w:spacing w:after="0" w:line="8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following table provides information about the number and value of RSUs held by the named executive officers as of December 31, 2009. The market value of the RSUs was calculated based on the closing price of the Lazard Class A common stock on the NYSE on December 31, 2009 ($37.97). The table does not include RSU awards that relate to 2009 performance, which were granted in February 2010.</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280" w:type="dxa"/>
            <w:vAlign w:val="bottom"/>
            <w:gridSpan w:val="2"/>
          </w:tcPr>
          <w:p>
            <w:pPr>
              <w:jc w:val="right"/>
              <w:ind w:right="1580"/>
              <w:spacing w:after="0"/>
              <w:rPr>
                <w:sz w:val="20"/>
                <w:szCs w:val="20"/>
                <w:color w:val="auto"/>
              </w:rPr>
            </w:pPr>
            <w:r>
              <w:rPr>
                <w:rFonts w:ascii="Arial" w:cs="Arial" w:eastAsia="Arial" w:hAnsi="Arial"/>
                <w:sz w:val="14"/>
                <w:szCs w:val="14"/>
                <w:b w:val="1"/>
                <w:bCs w:val="1"/>
                <w:color w:val="auto"/>
                <w:w w:val="91"/>
              </w:rPr>
              <w:t>Number of Restricted Stock</w:t>
            </w:r>
          </w:p>
        </w:tc>
        <w:tc>
          <w:tcPr>
            <w:tcW w:w="2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Market Value of Restricted</w:t>
            </w:r>
          </w:p>
        </w:tc>
        <w:tc>
          <w:tcPr>
            <w:tcW w:w="0" w:type="dxa"/>
            <w:vAlign w:val="bottom"/>
          </w:tcPr>
          <w:p>
            <w:pPr>
              <w:spacing w:after="0"/>
              <w:rPr>
                <w:sz w:val="1"/>
                <w:szCs w:val="1"/>
                <w:color w:val="auto"/>
              </w:rPr>
            </w:pPr>
          </w:p>
        </w:tc>
      </w:tr>
      <w:tr>
        <w:trPr>
          <w:trHeight w:val="161"/>
        </w:trPr>
        <w:tc>
          <w:tcPr>
            <w:tcW w:w="1560" w:type="dxa"/>
            <w:vAlign w:val="bottom"/>
            <w:gridSpan w:val="2"/>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4600" w:type="dxa"/>
            <w:vAlign w:val="bottom"/>
          </w:tcPr>
          <w:p>
            <w:pPr>
              <w:spacing w:after="0"/>
              <w:rPr>
                <w:sz w:val="14"/>
                <w:szCs w:val="14"/>
                <w:color w:val="auto"/>
              </w:rPr>
            </w:pPr>
          </w:p>
        </w:tc>
        <w:tc>
          <w:tcPr>
            <w:tcW w:w="3280" w:type="dxa"/>
            <w:vAlign w:val="bottom"/>
            <w:gridSpan w:val="2"/>
          </w:tcPr>
          <w:p>
            <w:pPr>
              <w:jc w:val="right"/>
              <w:ind w:right="1500"/>
              <w:spacing w:after="0"/>
              <w:rPr>
                <w:sz w:val="20"/>
                <w:szCs w:val="20"/>
                <w:color w:val="auto"/>
              </w:rPr>
            </w:pPr>
            <w:r>
              <w:rPr>
                <w:rFonts w:ascii="Arial" w:cs="Arial" w:eastAsia="Arial" w:hAnsi="Arial"/>
                <w:sz w:val="14"/>
                <w:szCs w:val="14"/>
                <w:b w:val="1"/>
                <w:bCs w:val="1"/>
                <w:color w:val="auto"/>
                <w:w w:val="86"/>
              </w:rPr>
              <w:t>Units That Have Not Vested (1)</w:t>
            </w:r>
          </w:p>
        </w:tc>
        <w:tc>
          <w:tcPr>
            <w:tcW w:w="2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Stock Units That Have Not Vested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w w:val="98"/>
              </w:rPr>
              <w:t>Kenneth M. Jacobs</w:t>
            </w:r>
          </w:p>
        </w:tc>
        <w:tc>
          <w:tcPr>
            <w:tcW w:w="460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jc w:val="right"/>
              <w:ind w:right="1500"/>
              <w:spacing w:after="0"/>
              <w:rPr>
                <w:sz w:val="20"/>
                <w:szCs w:val="20"/>
                <w:color w:val="auto"/>
              </w:rPr>
            </w:pPr>
            <w:r>
              <w:rPr>
                <w:rFonts w:ascii="Arial" w:cs="Arial" w:eastAsia="Arial" w:hAnsi="Arial"/>
                <w:sz w:val="18"/>
                <w:szCs w:val="18"/>
                <w:color w:val="auto"/>
              </w:rPr>
              <w:t>454,021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17,239,177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Bruce Wasserstein</w:t>
            </w:r>
          </w:p>
        </w:tc>
        <w:tc>
          <w:tcPr>
            <w:tcW w:w="4600" w:type="dxa"/>
            <w:vAlign w:val="bottom"/>
          </w:tcPr>
          <w:p>
            <w:pPr>
              <w:spacing w:after="0"/>
              <w:rPr>
                <w:sz w:val="18"/>
                <w:szCs w:val="18"/>
                <w:color w:val="auto"/>
              </w:rPr>
            </w:pPr>
          </w:p>
        </w:tc>
        <w:tc>
          <w:tcPr>
            <w:tcW w:w="3280" w:type="dxa"/>
            <w:vAlign w:val="bottom"/>
            <w:gridSpan w:val="2"/>
          </w:tcPr>
          <w:p>
            <w:pPr>
              <w:jc w:val="right"/>
              <w:ind w:right="158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Steven J. Golub</w:t>
            </w:r>
          </w:p>
        </w:tc>
        <w:tc>
          <w:tcPr>
            <w:tcW w:w="7880" w:type="dxa"/>
            <w:vAlign w:val="bottom"/>
            <w:gridSpan w:val="3"/>
            <w:shd w:val="clear" w:color="auto" w:fill="CCEEFF"/>
          </w:tcPr>
          <w:p>
            <w:pPr>
              <w:jc w:val="right"/>
              <w:ind w:right="1500"/>
              <w:spacing w:after="0"/>
              <w:rPr>
                <w:sz w:val="20"/>
                <w:szCs w:val="20"/>
                <w:color w:val="auto"/>
              </w:rPr>
            </w:pPr>
            <w:r>
              <w:rPr>
                <w:rFonts w:ascii="Arial" w:cs="Arial" w:eastAsia="Arial" w:hAnsi="Arial"/>
                <w:sz w:val="18"/>
                <w:szCs w:val="18"/>
                <w:color w:val="auto"/>
              </w:rPr>
              <w:t>635,128</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$24,115,810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w w:val="88"/>
              </w:rPr>
              <w:t>Michael J. Castellano</w:t>
            </w:r>
          </w:p>
        </w:tc>
        <w:tc>
          <w:tcPr>
            <w:tcW w:w="7880" w:type="dxa"/>
            <w:vAlign w:val="bottom"/>
            <w:gridSpan w:val="3"/>
          </w:tcPr>
          <w:p>
            <w:pPr>
              <w:jc w:val="right"/>
              <w:ind w:right="1500"/>
              <w:spacing w:after="0"/>
              <w:rPr>
                <w:sz w:val="20"/>
                <w:szCs w:val="20"/>
                <w:color w:val="auto"/>
              </w:rPr>
            </w:pPr>
            <w:r>
              <w:rPr>
                <w:rFonts w:ascii="Arial" w:cs="Arial" w:eastAsia="Arial" w:hAnsi="Arial"/>
                <w:sz w:val="18"/>
                <w:szCs w:val="18"/>
                <w:color w:val="auto"/>
              </w:rPr>
              <w:t>62,696</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2,380,567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Scott D. Hoffman</w:t>
            </w:r>
          </w:p>
        </w:tc>
        <w:tc>
          <w:tcPr>
            <w:tcW w:w="7880" w:type="dxa"/>
            <w:vAlign w:val="bottom"/>
            <w:gridSpan w:val="3"/>
            <w:shd w:val="clear" w:color="auto" w:fill="CCEEFF"/>
          </w:tcPr>
          <w:p>
            <w:pPr>
              <w:jc w:val="right"/>
              <w:ind w:right="1500"/>
              <w:spacing w:after="0"/>
              <w:rPr>
                <w:sz w:val="20"/>
                <w:szCs w:val="20"/>
                <w:color w:val="auto"/>
              </w:rPr>
            </w:pPr>
            <w:r>
              <w:rPr>
                <w:rFonts w:ascii="Arial" w:cs="Arial" w:eastAsia="Arial" w:hAnsi="Arial"/>
                <w:sz w:val="18"/>
                <w:szCs w:val="18"/>
                <w:color w:val="auto"/>
              </w:rPr>
              <w:t>91,181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3,462,143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Alexander F. Stern</w:t>
            </w:r>
          </w:p>
        </w:tc>
        <w:tc>
          <w:tcPr>
            <w:tcW w:w="7880" w:type="dxa"/>
            <w:vAlign w:val="bottom"/>
            <w:gridSpan w:val="3"/>
          </w:tcPr>
          <w:p>
            <w:pPr>
              <w:jc w:val="right"/>
              <w:ind w:right="1500"/>
              <w:spacing w:after="0"/>
              <w:rPr>
                <w:sz w:val="20"/>
                <w:szCs w:val="20"/>
                <w:color w:val="auto"/>
              </w:rPr>
            </w:pPr>
            <w:r>
              <w:rPr>
                <w:rFonts w:ascii="Arial" w:cs="Arial" w:eastAsia="Arial" w:hAnsi="Arial"/>
                <w:sz w:val="18"/>
                <w:szCs w:val="18"/>
                <w:color w:val="auto"/>
              </w:rPr>
              <w:t>132,717</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5,039,264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w w:val="95"/>
              </w:rPr>
              <w:t>Charles G. Ward, III</w:t>
            </w:r>
          </w:p>
        </w:tc>
        <w:tc>
          <w:tcPr>
            <w:tcW w:w="7880" w:type="dxa"/>
            <w:vAlign w:val="bottom"/>
            <w:gridSpan w:val="3"/>
            <w:shd w:val="clear" w:color="auto" w:fill="CCEEFF"/>
          </w:tcPr>
          <w:p>
            <w:pPr>
              <w:jc w:val="right"/>
              <w:ind w:right="1500"/>
              <w:spacing w:after="0"/>
              <w:rPr>
                <w:sz w:val="20"/>
                <w:szCs w:val="20"/>
                <w:color w:val="auto"/>
              </w:rPr>
            </w:pPr>
            <w:r>
              <w:rPr>
                <w:rFonts w:ascii="Arial" w:cs="Arial" w:eastAsia="Arial" w:hAnsi="Arial"/>
                <w:sz w:val="18"/>
                <w:szCs w:val="18"/>
                <w:color w:val="auto"/>
              </w:rPr>
              <w:t>187,197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7,107,870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600" w:type="dxa"/>
            <w:vAlign w:val="bottom"/>
          </w:tcPr>
          <w:p>
            <w:pPr>
              <w:jc w:val="right"/>
              <w:ind w:right="232"/>
              <w:spacing w:after="0"/>
              <w:rPr>
                <w:sz w:val="20"/>
                <w:szCs w:val="20"/>
                <w:color w:val="auto"/>
              </w:rPr>
            </w:pPr>
            <w:r>
              <w:rPr>
                <w:rFonts w:ascii="Arial" w:cs="Arial" w:eastAsia="Arial" w:hAnsi="Arial"/>
                <w:sz w:val="18"/>
                <w:szCs w:val="18"/>
                <w:color w:val="auto"/>
              </w:rPr>
              <w:t>151</w:t>
            </w:r>
          </w:p>
        </w:tc>
        <w:tc>
          <w:tcPr>
            <w:tcW w:w="1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100" w:hanging="452"/>
        <w:spacing w:after="0" w:line="255"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RSU awards are typically granted to our named executive officers in February of each year under Lazard’s 2005 Equity Incentive Plan or the 2008 Incentive Compensation Plan and relate to the prior year’s performance. The scheduled vesting dates for RSU awards granted to each of the named executive officers are as follows: (i) RSUs granted on February 10, 2009 will vest on March 1, 2013; (ii) RSUs granted on January 30, 2008 will vest on March 31, 2011; (iii) RSUs granted on January 23, 2007 will vest 50% on March 31, 2010 and 50% on March 31, 2011; and (iv) RSUs granted on January 24, 2006 will vest on March 31, 2010.</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following table provides information with respect to Lazard Frères &amp; Co. LLC Employees’ Pension Plan, a qualified defined-benefit pension plan, and a related supplemental defined-benefit pension plan. Each of Messrs. Jacobs, Golub, Hoffman, and Stern has an accrued benefit under the Lazard Frères &amp; Co. LLC Employees’ Pension Plan, and Messrs. Hoffman and Stern have accrued additional benefits under the related supplemental defined-benefit pension plan. The annual benefit under such plans, payable as a single life annuity commencing at age 65, would be $6,447 for Mr. Jacobs, $4,328 for Mr. Golub, $18,845 for Mr. Hoffman and $12,421 for Mr. Stern. Under the terms of the supplemental defined-benefit pension plan, the benefits are only payable in a single lump sum payment. These benefits accrued in each case prior to the applicable officer’s becoming a managing director of Lazard. Benefit accruals under both of these plans were frozen for all participants effective January 31, 2005. For a discussion of the valuation method and all material assumptions applied in quantifying the present value of the current accrued benefit, see Note 18 of Notes to Lazard’s Consolidated Financial Statements contained in its 2009 Annual Report on Form 10-K. Messrs. Wasserstein, Castellano and Ward do not participate in any of these plans.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8"/>
              </w:rPr>
              <w:t>Number of</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1"/>
              </w:rPr>
              <w:t>Present</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Years</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60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4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Plan Name</w:t>
            </w:r>
          </w:p>
        </w:tc>
        <w:tc>
          <w:tcPr>
            <w:tcW w:w="60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Credited</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Accumulated</w:t>
            </w:r>
          </w:p>
        </w:tc>
        <w:tc>
          <w:tcPr>
            <w:tcW w:w="60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7"/>
              </w:rPr>
              <w:t>During Last</w:t>
            </w:r>
          </w:p>
        </w:tc>
        <w:tc>
          <w:tcPr>
            <w:tcW w:w="0" w:type="dxa"/>
            <w:vAlign w:val="bottom"/>
          </w:tcPr>
          <w:p>
            <w:pPr>
              <w:spacing w:after="0"/>
              <w:rPr>
                <w:sz w:val="1"/>
                <w:szCs w:val="1"/>
                <w:color w:val="auto"/>
              </w:rPr>
            </w:pPr>
          </w:p>
        </w:tc>
      </w:tr>
      <w:tr>
        <w:trPr>
          <w:trHeight w:val="161"/>
        </w:trPr>
        <w:tc>
          <w:tcPr>
            <w:tcW w:w="3720" w:type="dxa"/>
            <w:vAlign w:val="bottom"/>
            <w:gridSpan w:val="3"/>
          </w:tcPr>
          <w:p>
            <w:pPr>
              <w:spacing w:after="0"/>
              <w:rPr>
                <w:sz w:val="20"/>
                <w:szCs w:val="20"/>
                <w:color w:val="auto"/>
              </w:rPr>
            </w:pPr>
            <w:r>
              <w:rPr>
                <w:rFonts w:ascii="Arial" w:cs="Arial" w:eastAsia="Arial" w:hAnsi="Arial"/>
                <w:sz w:val="14"/>
                <w:szCs w:val="14"/>
                <w:b w:val="1"/>
                <w:bCs w:val="1"/>
                <w:color w:val="auto"/>
              </w:rPr>
              <w:t>Named Executive Officer</w:t>
            </w:r>
          </w:p>
        </w:tc>
        <w:tc>
          <w:tcPr>
            <w:tcW w:w="600" w:type="dxa"/>
            <w:vAlign w:val="bottom"/>
          </w:tcPr>
          <w:p>
            <w:pPr>
              <w:spacing w:after="0"/>
              <w:rPr>
                <w:sz w:val="14"/>
                <w:szCs w:val="14"/>
                <w:color w:val="auto"/>
              </w:rPr>
            </w:pPr>
          </w:p>
        </w:tc>
        <w:tc>
          <w:tcPr>
            <w:tcW w:w="30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4"/>
              </w:rPr>
              <w:t>Service (1)</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4"/>
              </w:rPr>
              <w:t xml:space="preserve">Benefit </w:t>
            </w:r>
            <w:r>
              <w:rPr>
                <w:rFonts w:ascii="Arial" w:cs="Arial" w:eastAsia="Arial" w:hAnsi="Arial"/>
                <w:sz w:val="14"/>
                <w:szCs w:val="14"/>
                <w:b w:val="1"/>
                <w:bCs w:val="1"/>
                <w:u w:val="single" w:color="auto"/>
                <w:color w:val="auto"/>
                <w:w w:val="84"/>
              </w:rPr>
              <w:t>($</w:t>
            </w:r>
            <w:r>
              <w:rPr>
                <w:rFonts w:ascii="Arial" w:cs="Arial" w:eastAsia="Arial" w:hAnsi="Arial"/>
                <w:sz w:val="14"/>
                <w:szCs w:val="14"/>
                <w:b w:val="1"/>
                <w:bCs w:val="1"/>
                <w:color w:val="auto"/>
                <w:w w:val="84"/>
              </w:rPr>
              <w:t>) (2)</w:t>
            </w:r>
          </w:p>
        </w:tc>
        <w:tc>
          <w:tcPr>
            <w:tcW w:w="60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 xml:space="preserve">Fiscal Year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Kenneth M. Jacobs</w:t>
            </w:r>
          </w:p>
        </w:tc>
        <w:tc>
          <w:tcPr>
            <w:tcW w:w="216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ind w:left="600"/>
              <w:spacing w:after="0" w:line="201" w:lineRule="exact"/>
              <w:rPr>
                <w:sz w:val="20"/>
                <w:szCs w:val="20"/>
                <w:color w:val="auto"/>
              </w:rPr>
            </w:pPr>
            <w:r>
              <w:rPr>
                <w:rFonts w:ascii="Arial" w:cs="Arial" w:eastAsia="Arial" w:hAnsi="Arial"/>
                <w:sz w:val="18"/>
                <w:szCs w:val="18"/>
                <w:color w:val="auto"/>
              </w:rPr>
              <w:t>Lazard Frères &amp; Co. LLC</w:t>
            </w:r>
          </w:p>
        </w:tc>
        <w:tc>
          <w:tcPr>
            <w:tcW w:w="1840" w:type="dxa"/>
            <w:vAlign w:val="bottom"/>
            <w:gridSpan w:val="3"/>
            <w:shd w:val="clear" w:color="auto" w:fill="CCEEFF"/>
          </w:tcPr>
          <w:p>
            <w:pPr>
              <w:jc w:val="right"/>
              <w:ind w:right="600"/>
              <w:spacing w:after="0" w:line="201" w:lineRule="exact"/>
              <w:rPr>
                <w:sz w:val="20"/>
                <w:szCs w:val="20"/>
                <w:color w:val="auto"/>
              </w:rPr>
            </w:pPr>
            <w:r>
              <w:rPr>
                <w:rFonts w:ascii="Arial" w:cs="Arial" w:eastAsia="Arial" w:hAnsi="Arial"/>
                <w:sz w:val="18"/>
                <w:szCs w:val="18"/>
                <w:color w:val="auto"/>
              </w:rPr>
              <w:t>3</w:t>
            </w:r>
          </w:p>
        </w:tc>
        <w:tc>
          <w:tcPr>
            <w:tcW w:w="7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$31,340</w:t>
            </w:r>
          </w:p>
        </w:tc>
        <w:tc>
          <w:tcPr>
            <w:tcW w:w="14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36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Employees’ Pension Plan</w:t>
            </w:r>
          </w:p>
        </w:tc>
        <w:tc>
          <w:tcPr>
            <w:tcW w:w="6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720" w:type="dxa"/>
            <w:vAlign w:val="bottom"/>
            <w:gridSpan w:val="3"/>
          </w:tcPr>
          <w:p>
            <w:pPr>
              <w:spacing w:after="0"/>
              <w:rPr>
                <w:sz w:val="20"/>
                <w:szCs w:val="20"/>
                <w:color w:val="auto"/>
              </w:rPr>
            </w:pPr>
            <w:r>
              <w:rPr>
                <w:rFonts w:ascii="Arial" w:cs="Arial" w:eastAsia="Arial" w:hAnsi="Arial"/>
                <w:sz w:val="18"/>
                <w:szCs w:val="18"/>
                <w:color w:val="auto"/>
              </w:rPr>
              <w:t>Steven J. Golub</w:t>
            </w:r>
          </w:p>
        </w:tc>
        <w:tc>
          <w:tcPr>
            <w:tcW w:w="3640" w:type="dxa"/>
            <w:vAlign w:val="bottom"/>
            <w:gridSpan w:val="2"/>
          </w:tcPr>
          <w:p>
            <w:pPr>
              <w:ind w:left="600"/>
              <w:spacing w:after="0"/>
              <w:rPr>
                <w:sz w:val="20"/>
                <w:szCs w:val="20"/>
                <w:color w:val="auto"/>
              </w:rPr>
            </w:pPr>
            <w:r>
              <w:rPr>
                <w:rFonts w:ascii="Arial" w:cs="Arial" w:eastAsia="Arial" w:hAnsi="Arial"/>
                <w:sz w:val="18"/>
                <w:szCs w:val="18"/>
                <w:color w:val="auto"/>
              </w:rPr>
              <w:t>Lazard Frères &amp; Co. LLC</w:t>
            </w:r>
          </w:p>
        </w:tc>
        <w:tc>
          <w:tcPr>
            <w:tcW w:w="1840" w:type="dxa"/>
            <w:vAlign w:val="bottom"/>
            <w:gridSpan w:val="3"/>
          </w:tcPr>
          <w:p>
            <w:pPr>
              <w:jc w:val="right"/>
              <w:ind w:right="600"/>
              <w:spacing w:after="0"/>
              <w:rPr>
                <w:sz w:val="20"/>
                <w:szCs w:val="20"/>
                <w:color w:val="auto"/>
              </w:rPr>
            </w:pPr>
            <w:r>
              <w:rPr>
                <w:rFonts w:ascii="Arial" w:cs="Arial" w:eastAsia="Arial" w:hAnsi="Arial"/>
                <w:sz w:val="18"/>
                <w:szCs w:val="18"/>
                <w:color w:val="auto"/>
              </w:rPr>
              <w:t>2</w:t>
            </w:r>
          </w:p>
        </w:tc>
        <w:tc>
          <w:tcPr>
            <w:tcW w:w="780" w:type="dxa"/>
            <w:vAlign w:val="bottom"/>
          </w:tcPr>
          <w:p>
            <w:pPr>
              <w:jc w:val="right"/>
              <w:spacing w:after="0"/>
              <w:rPr>
                <w:sz w:val="20"/>
                <w:szCs w:val="20"/>
                <w:color w:val="auto"/>
              </w:rPr>
            </w:pPr>
            <w:r>
              <w:rPr>
                <w:rFonts w:ascii="Arial" w:cs="Arial" w:eastAsia="Arial" w:hAnsi="Arial"/>
                <w:sz w:val="18"/>
                <w:szCs w:val="18"/>
                <w:color w:val="auto"/>
              </w:rPr>
              <w:t>$43,798</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640" w:type="dxa"/>
            <w:vAlign w:val="bottom"/>
            <w:gridSpan w:val="2"/>
          </w:tcPr>
          <w:p>
            <w:pPr>
              <w:ind w:left="600"/>
              <w:spacing w:after="0"/>
              <w:rPr>
                <w:sz w:val="20"/>
                <w:szCs w:val="20"/>
                <w:color w:val="auto"/>
              </w:rPr>
            </w:pPr>
            <w:r>
              <w:rPr>
                <w:rFonts w:ascii="Arial" w:cs="Arial" w:eastAsia="Arial" w:hAnsi="Arial"/>
                <w:sz w:val="18"/>
                <w:szCs w:val="18"/>
                <w:color w:val="auto"/>
              </w:rPr>
              <w:t>Employees’ Pension Plan</w:t>
            </w: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54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D. Hoffman</w:t>
            </w:r>
          </w:p>
        </w:tc>
        <w:tc>
          <w:tcPr>
            <w:tcW w:w="36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Lazard Frères &amp; Co. LLC</w:t>
            </w:r>
          </w:p>
        </w:tc>
        <w:tc>
          <w:tcPr>
            <w:tcW w:w="18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Employees’ Pension Plan</w:t>
            </w:r>
          </w:p>
        </w:tc>
        <w:tc>
          <w:tcPr>
            <w:tcW w:w="6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36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7"/>
              </w:rPr>
              <w:t>Supplemental Defined-Benefit Pension</w:t>
            </w:r>
          </w:p>
        </w:tc>
        <w:tc>
          <w:tcPr>
            <w:tcW w:w="18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720" w:type="dxa"/>
            <w:vAlign w:val="bottom"/>
            <w:gridSpan w:val="3"/>
          </w:tcPr>
          <w:p>
            <w:pPr>
              <w:spacing w:after="0"/>
              <w:rPr>
                <w:sz w:val="20"/>
                <w:szCs w:val="20"/>
                <w:color w:val="auto"/>
              </w:rPr>
            </w:pPr>
            <w:r>
              <w:rPr>
                <w:rFonts w:ascii="Arial" w:cs="Arial" w:eastAsia="Arial" w:hAnsi="Arial"/>
                <w:sz w:val="18"/>
                <w:szCs w:val="18"/>
                <w:color w:val="auto"/>
              </w:rPr>
              <w:t>Alexander F. Stern</w:t>
            </w:r>
          </w:p>
        </w:tc>
        <w:tc>
          <w:tcPr>
            <w:tcW w:w="3640" w:type="dxa"/>
            <w:vAlign w:val="bottom"/>
            <w:gridSpan w:val="2"/>
          </w:tcPr>
          <w:p>
            <w:pPr>
              <w:ind w:left="600"/>
              <w:spacing w:after="0"/>
              <w:rPr>
                <w:sz w:val="20"/>
                <w:szCs w:val="20"/>
                <w:color w:val="auto"/>
              </w:rPr>
            </w:pPr>
            <w:r>
              <w:rPr>
                <w:rFonts w:ascii="Arial" w:cs="Arial" w:eastAsia="Arial" w:hAnsi="Arial"/>
                <w:sz w:val="18"/>
                <w:szCs w:val="18"/>
                <w:color w:val="auto"/>
              </w:rPr>
              <w:t>Lazard Frères &amp; Co. LLC</w:t>
            </w:r>
          </w:p>
        </w:tc>
        <w:tc>
          <w:tcPr>
            <w:tcW w:w="1840" w:type="dxa"/>
            <w:vAlign w:val="bottom"/>
            <w:gridSpan w:val="3"/>
          </w:tcPr>
          <w:p>
            <w:pPr>
              <w:jc w:val="right"/>
              <w:ind w:right="600"/>
              <w:spacing w:after="0"/>
              <w:rPr>
                <w:sz w:val="20"/>
                <w:szCs w:val="20"/>
                <w:color w:val="auto"/>
              </w:rPr>
            </w:pPr>
            <w:r>
              <w:rPr>
                <w:rFonts w:ascii="Arial" w:cs="Arial" w:eastAsia="Arial" w:hAnsi="Arial"/>
                <w:sz w:val="18"/>
                <w:szCs w:val="18"/>
                <w:color w:val="auto"/>
              </w:rPr>
              <w:t>6</w:t>
            </w:r>
          </w:p>
        </w:tc>
        <w:tc>
          <w:tcPr>
            <w:tcW w:w="780" w:type="dxa"/>
            <w:vAlign w:val="bottom"/>
          </w:tcPr>
          <w:p>
            <w:pPr>
              <w:jc w:val="right"/>
              <w:spacing w:after="0"/>
              <w:rPr>
                <w:sz w:val="20"/>
                <w:szCs w:val="20"/>
                <w:color w:val="auto"/>
              </w:rPr>
            </w:pPr>
            <w:r>
              <w:rPr>
                <w:rFonts w:ascii="Arial" w:cs="Arial" w:eastAsia="Arial" w:hAnsi="Arial"/>
                <w:sz w:val="18"/>
                <w:szCs w:val="18"/>
                <w:color w:val="auto"/>
              </w:rPr>
              <w:t>$35,753</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640" w:type="dxa"/>
            <w:vAlign w:val="bottom"/>
            <w:gridSpan w:val="2"/>
          </w:tcPr>
          <w:p>
            <w:pPr>
              <w:ind w:left="600"/>
              <w:spacing w:after="0"/>
              <w:rPr>
                <w:sz w:val="20"/>
                <w:szCs w:val="20"/>
                <w:color w:val="auto"/>
              </w:rPr>
            </w:pPr>
            <w:r>
              <w:rPr>
                <w:rFonts w:ascii="Arial" w:cs="Arial" w:eastAsia="Arial" w:hAnsi="Arial"/>
                <w:sz w:val="18"/>
                <w:szCs w:val="18"/>
                <w:color w:val="auto"/>
              </w:rPr>
              <w:t>Employees’ Pension Plan</w:t>
            </w: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640" w:type="dxa"/>
            <w:vAlign w:val="bottom"/>
            <w:gridSpan w:val="2"/>
          </w:tcPr>
          <w:p>
            <w:pPr>
              <w:ind w:left="600"/>
              <w:spacing w:after="0"/>
              <w:rPr>
                <w:sz w:val="20"/>
                <w:szCs w:val="20"/>
                <w:color w:val="auto"/>
              </w:rPr>
            </w:pPr>
            <w:r>
              <w:rPr>
                <w:rFonts w:ascii="Arial" w:cs="Arial" w:eastAsia="Arial" w:hAnsi="Arial"/>
                <w:sz w:val="18"/>
                <w:szCs w:val="18"/>
                <w:color w:val="auto"/>
                <w:w w:val="97"/>
              </w:rPr>
              <w:t>Supplemental Defined-Benefit Pension</w:t>
            </w:r>
          </w:p>
        </w:tc>
        <w:tc>
          <w:tcPr>
            <w:tcW w:w="1840" w:type="dxa"/>
            <w:vAlign w:val="bottom"/>
            <w:gridSpan w:val="3"/>
          </w:tcPr>
          <w:p>
            <w:pPr>
              <w:jc w:val="right"/>
              <w:ind w:right="600"/>
              <w:spacing w:after="0"/>
              <w:rPr>
                <w:sz w:val="20"/>
                <w:szCs w:val="20"/>
                <w:color w:val="auto"/>
              </w:rPr>
            </w:pPr>
            <w:r>
              <w:rPr>
                <w:rFonts w:ascii="Arial" w:cs="Arial" w:eastAsia="Arial" w:hAnsi="Arial"/>
                <w:sz w:val="18"/>
                <w:szCs w:val="18"/>
                <w:color w:val="auto"/>
              </w:rPr>
              <w:t>6</w:t>
            </w:r>
          </w:p>
        </w:tc>
        <w:tc>
          <w:tcPr>
            <w:tcW w:w="780" w:type="dxa"/>
            <w:vAlign w:val="bottom"/>
          </w:tcPr>
          <w:p>
            <w:pPr>
              <w:jc w:val="right"/>
              <w:spacing w:after="0"/>
              <w:rPr>
                <w:sz w:val="20"/>
                <w:szCs w:val="20"/>
                <w:color w:val="auto"/>
              </w:rPr>
            </w:pPr>
            <w:r>
              <w:rPr>
                <w:rFonts w:ascii="Arial" w:cs="Arial" w:eastAsia="Arial" w:hAnsi="Arial"/>
                <w:sz w:val="18"/>
                <w:szCs w:val="18"/>
                <w:color w:val="auto"/>
              </w:rPr>
              <w:t>$ 1,925</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640" w:type="dxa"/>
            <w:vAlign w:val="bottom"/>
            <w:gridSpan w:val="2"/>
          </w:tcPr>
          <w:p>
            <w:pPr>
              <w:ind w:left="600"/>
              <w:spacing w:after="0"/>
              <w:rPr>
                <w:sz w:val="20"/>
                <w:szCs w:val="20"/>
                <w:color w:val="auto"/>
              </w:rPr>
            </w:pPr>
            <w:r>
              <w:rPr>
                <w:rFonts w:ascii="Arial" w:cs="Arial" w:eastAsia="Arial" w:hAnsi="Arial"/>
                <w:sz w:val="18"/>
                <w:szCs w:val="18"/>
                <w:color w:val="auto"/>
              </w:rPr>
              <w:t>Plan</w:t>
            </w: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0" w:hanging="452"/>
        <w:spacing w:after="0" w:line="347" w:lineRule="auto"/>
        <w:tabs>
          <w:tab w:leader="none" w:pos="460" w:val="left"/>
        </w:tabs>
        <w:numPr>
          <w:ilvl w:val="0"/>
          <w:numId w:val="79"/>
        </w:numPr>
        <w:rPr>
          <w:rFonts w:ascii="Arial" w:cs="Arial" w:eastAsia="Arial" w:hAnsi="Arial"/>
          <w:sz w:val="15"/>
          <w:szCs w:val="15"/>
          <w:color w:val="auto"/>
        </w:rPr>
      </w:pPr>
      <w:r>
        <w:rPr>
          <w:rFonts w:ascii="Arial" w:cs="Arial" w:eastAsia="Arial" w:hAnsi="Arial"/>
          <w:sz w:val="15"/>
          <w:szCs w:val="15"/>
          <w:color w:val="auto"/>
        </w:rPr>
        <w:t>Mr. Jacobs has been employed by Lazard for 22 years, Mr. Golub 25 years, Mr. Hoffman 16 years, and Mr. Stern 14 years. Mr. Jacobs became a managing director of Lazard in 1991, Mr. Golub in 1986, Mr. Hoffman in 1999, and Mr. Stern in 2002, at which point they ceased accruing benefits under these plans.</w:t>
      </w:r>
    </w:p>
    <w:p>
      <w:pPr>
        <w:ind w:left="460" w:right="160" w:hanging="452"/>
        <w:spacing w:after="0" w:line="256"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calculating the present value of accumulated benefits outlined above, Messrs. Jacobs, Golub, Hoffman, and Stern are assumed to live to age 65 and subsequently retire. They are also assumed to choose the single life annuity form of benefit under the Lazard Frères &amp; Co. LLC Employees’ Pension Plan and the lump sum form of benefit under the Supplemental Defined-Benefit Pension Plan (for Mr. Hoffman and Mr. Stern only). The interest rate and mortality used to determine the Employees’ Pension Plan present value is 6.00%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98" w:lineRule="auto"/>
        <w:rPr>
          <w:sz w:val="20"/>
          <w:szCs w:val="20"/>
          <w:color w:val="auto"/>
        </w:rPr>
      </w:pPr>
      <w:r>
        <w:rPr>
          <w:rFonts w:ascii="Arial" w:cs="Arial" w:eastAsia="Arial" w:hAnsi="Arial"/>
          <w:sz w:val="16"/>
          <w:szCs w:val="16"/>
          <w:color w:val="auto"/>
        </w:rPr>
        <w:t>for all years and the RP-2000 Mortality Table (with 9 years improvement and adjusted for white collar workers) after retirement only. The Supplemental Defined-Benefit Pension Plan assumes that the annuity benefit will be converted to a lump sum at age 65 using a 5.75% interest rate and the mortality outlined in IRS Notice 2008-85 applicable for lump sum payments (projected to the year participant attains age 65 using Scale AA). A 6.00% discount rate is used to determine the present value of this single payment at age 65 at December 31, 2009.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described above, each of our named executive officers has entered into a retention or employment agreement with Lazard. However, the retention agreements with Messrs. Jacobs and Stern do not provide for any payments or benefits in connection with the termination of their employment. The retention agreements with Messrs. Castellano, Golub, Hoffman, and Ward provide for certain severance benefits in the event of a termination prior to March 31, 2011 by us other than for cause or by such named executive officer for good reason. The level of the severance benefits depends on whether the applicable termination occurs prior to or following a change in control of Lazard Ltd. For a discussion of the severance benefits provided pursuant to the retention agreements, see “Retention Agreements with Named Executive Officers.”</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Each of our named executive officers has received RSUs pursuant to Lazard’s 2005 Equity Incentive Plan or the 2008 Incentive Compensation Plan. In the event of a change in control of Lazard Ltd, all RSUs granted under the 2005 Equity Incentive Plan or the 2008 Incentive Compensation Plan will automatically vest.</w:t>
      </w:r>
    </w:p>
    <w:p>
      <w:pPr>
        <w:spacing w:after="0" w:line="12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following table shows the potential payments that would be made by Lazard to each of the named executive officers assuming that such officers’ employment with Lazard terminated, or a change in control occurred, on December 31, 2009 under the circumstances outlined in the table. As a result, the RSU awards granted in February 2010 (which relate to 2009 performance) are not reflected in the table. In the case of Mr. Wasserstein, the table reports the value of the Lazard Class A common stock to which his estate became entitled upon his passing on October 14, 2009. For purposes of this table (other than with respect to shares delivered to the estate of Mr. Wasserstein), the price of Lazard Class A common stock is assumed to be $37.97, which was the closing price on December 31, 2009.</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9"/>
          </w:tcPr>
          <w:p>
            <w:pPr>
              <w:ind w:left="500"/>
              <w:spacing w:after="0"/>
              <w:rPr>
                <w:sz w:val="20"/>
                <w:szCs w:val="20"/>
                <w:color w:val="auto"/>
              </w:rPr>
            </w:pPr>
            <w:r>
              <w:rPr>
                <w:rFonts w:ascii="Arial" w:cs="Arial" w:eastAsia="Arial" w:hAnsi="Arial"/>
                <w:sz w:val="14"/>
                <w:szCs w:val="14"/>
                <w:b w:val="1"/>
                <w:bCs w:val="1"/>
                <w:color w:val="auto"/>
              </w:rPr>
              <w:t>Prior to a Change in Control</w:t>
            </w:r>
          </w:p>
        </w:tc>
        <w:tc>
          <w:tcPr>
            <w:tcW w:w="80" w:type="dxa"/>
            <w:vAlign w:val="bottom"/>
          </w:tcPr>
          <w:p>
            <w:pPr>
              <w:spacing w:after="0"/>
              <w:rPr>
                <w:sz w:val="14"/>
                <w:szCs w:val="14"/>
                <w:color w:val="auto"/>
              </w:rPr>
            </w:pPr>
          </w:p>
        </w:tc>
        <w:tc>
          <w:tcPr>
            <w:tcW w:w="320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0"/>
              </w:rPr>
              <w:t>On or After a Change in Control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2"/>
              <w:spacing w:after="0" w:line="129" w:lineRule="exact"/>
              <w:rPr>
                <w:sz w:val="20"/>
                <w:szCs w:val="20"/>
                <w:color w:val="auto"/>
              </w:rPr>
            </w:pPr>
            <w:r>
              <w:rPr>
                <w:rFonts w:ascii="Arial" w:cs="Arial" w:eastAsia="Arial" w:hAnsi="Arial"/>
                <w:sz w:val="14"/>
                <w:szCs w:val="14"/>
                <w:b w:val="1"/>
                <w:bCs w:val="1"/>
                <w:color w:val="auto"/>
                <w:w w:val="92"/>
              </w:rPr>
              <w:t>Involuntary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without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Involuntary</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“Cause”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7"/>
              </w:rPr>
              <w:t>Termination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Resignation</w:t>
            </w: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Resignation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Death or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without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for “Good</w:t>
            </w:r>
          </w:p>
        </w:tc>
        <w:tc>
          <w:tcPr>
            <w:tcW w:w="80" w:type="dxa"/>
            <w:vAlign w:val="bottom"/>
          </w:tcPr>
          <w:p>
            <w:pPr>
              <w:spacing w:after="0"/>
              <w:rPr>
                <w:sz w:val="12"/>
                <w:szCs w:val="12"/>
                <w:color w:val="auto"/>
              </w:rPr>
            </w:pPr>
          </w:p>
        </w:tc>
        <w:tc>
          <w:tcPr>
            <w:tcW w:w="104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89"/>
              </w:rPr>
              <w:t>No Termination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Death or</w:t>
            </w:r>
          </w:p>
        </w:tc>
        <w:tc>
          <w:tcPr>
            <w:tcW w:w="8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“Good</w:t>
            </w:r>
          </w:p>
        </w:tc>
        <w:tc>
          <w:tcPr>
            <w:tcW w:w="0" w:type="dxa"/>
            <w:vAlign w:val="bottom"/>
          </w:tcPr>
          <w:p>
            <w:pPr>
              <w:spacing w:after="0"/>
              <w:rPr>
                <w:sz w:val="1"/>
                <w:szCs w:val="1"/>
                <w:color w:val="auto"/>
              </w:rPr>
            </w:pPr>
          </w:p>
        </w:tc>
      </w:tr>
      <w:tr>
        <w:trPr>
          <w:trHeight w:val="161"/>
        </w:trPr>
        <w:tc>
          <w:tcPr>
            <w:tcW w:w="5140" w:type="dxa"/>
            <w:vAlign w:val="bottom"/>
            <w:gridSpan w:val="3"/>
          </w:tcPr>
          <w:p>
            <w:pPr>
              <w:spacing w:after="0"/>
              <w:rPr>
                <w:sz w:val="20"/>
                <w:szCs w:val="20"/>
                <w:color w:val="auto"/>
              </w:rPr>
            </w:pPr>
            <w:r>
              <w:rPr>
                <w:rFonts w:ascii="Arial" w:cs="Arial" w:eastAsia="Arial" w:hAnsi="Arial"/>
                <w:sz w:val="14"/>
                <w:szCs w:val="14"/>
                <w:b w:val="1"/>
                <w:bCs w:val="1"/>
                <w:color w:val="auto"/>
              </w:rPr>
              <w:t>Named Executive Officer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92"/>
              <w:spacing w:after="0"/>
              <w:rPr>
                <w:sz w:val="20"/>
                <w:szCs w:val="20"/>
                <w:color w:val="auto"/>
              </w:rPr>
            </w:pPr>
            <w:r>
              <w:rPr>
                <w:rFonts w:ascii="Arial" w:cs="Arial" w:eastAsia="Arial" w:hAnsi="Arial"/>
                <w:sz w:val="14"/>
                <w:szCs w:val="14"/>
                <w:b w:val="1"/>
                <w:bCs w:val="1"/>
                <w:color w:val="auto"/>
              </w:rPr>
              <w:t>Disability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“Cause”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Reason” (1)</w:t>
            </w:r>
          </w:p>
        </w:tc>
        <w:tc>
          <w:tcPr>
            <w:tcW w:w="80" w:type="dxa"/>
            <w:vAlign w:val="bottom"/>
          </w:tcPr>
          <w:p>
            <w:pPr>
              <w:spacing w:after="0"/>
              <w:rPr>
                <w:sz w:val="14"/>
                <w:szCs w:val="14"/>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b w:val="1"/>
                <w:bCs w:val="1"/>
                <w:color w:val="auto"/>
                <w:w w:val="88"/>
              </w:rPr>
              <w:t>of Employment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Disability</w:t>
            </w:r>
          </w:p>
        </w:tc>
        <w:tc>
          <w:tcPr>
            <w:tcW w:w="8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Reason” (1)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Kenneth M. Jacobs</w:t>
            </w:r>
          </w:p>
        </w:tc>
        <w:tc>
          <w:tcPr>
            <w:tcW w:w="3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Severance Payment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RSU Vesting (2)(3)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17,239,177</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17,239,177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17,239,177</w:t>
            </w: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17,239,177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17,239,177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Pro-rata Annual Incentive Payment (4)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6,072,115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6,072,115</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Cash Award Vesting (5)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3,900,000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3,900,000</w:t>
            </w: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Excise Tax Gross-up Payment (6)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5140" w:type="dxa"/>
            <w:vAlign w:val="bottom"/>
            <w:gridSpan w:val="3"/>
          </w:tcPr>
          <w:p>
            <w:pPr>
              <w:spacing w:after="0"/>
              <w:rPr>
                <w:sz w:val="20"/>
                <w:szCs w:val="20"/>
                <w:color w:val="auto"/>
              </w:rPr>
            </w:pPr>
            <w:r>
              <w:rPr>
                <w:rFonts w:ascii="Arial" w:cs="Arial" w:eastAsia="Arial" w:hAnsi="Arial"/>
                <w:sz w:val="14"/>
                <w:szCs w:val="14"/>
                <w:b w:val="1"/>
                <w:bCs w:val="1"/>
                <w:color w:val="auto"/>
              </w:rPr>
              <w:t>Bruce Wasserstein</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Severance Payment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RSU Vesting (3)(7)</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191,217,584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Pro-rata Annual Incentive Payment (4)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Deferred Cash Award Vesting (5)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20" w:type="dxa"/>
            <w:vAlign w:val="bottom"/>
            <w:gridSpan w:val="2"/>
          </w:tcPr>
          <w:p>
            <w:pPr>
              <w:ind w:left="200"/>
              <w:spacing w:after="0"/>
              <w:rPr>
                <w:sz w:val="20"/>
                <w:szCs w:val="20"/>
                <w:color w:val="auto"/>
              </w:rPr>
            </w:pPr>
            <w:r>
              <w:rPr>
                <w:rFonts w:ascii="Arial" w:cs="Arial" w:eastAsia="Arial" w:hAnsi="Arial"/>
                <w:sz w:val="14"/>
                <w:szCs w:val="14"/>
                <w:color w:val="auto"/>
              </w:rPr>
              <w:t>Excise Tax Gross-up Payment (6)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Steven J. Golub</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Severance Payment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23,987,885</w:t>
            </w: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23,987,885</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35,981,828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RSU Vesting (2)(3)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24,115,807</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24,115,807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24,115,807</w:t>
            </w: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24,115,807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24,115,807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Pro-rata Annual Incentive Payment (4)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5,100,000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5,100,000</w:t>
            </w: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5,100,000</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Cash Award Vesting (5)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4,560,000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4,560,000</w:t>
            </w: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Excise Tax Gross-up Payment (6)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20,861,152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80" w:type="dxa"/>
            <w:vAlign w:val="bottom"/>
            <w:gridSpan w:val="9"/>
          </w:tcPr>
          <w:p>
            <w:pPr>
              <w:ind w:left="480"/>
              <w:spacing w:after="0"/>
              <w:rPr>
                <w:sz w:val="20"/>
                <w:szCs w:val="20"/>
                <w:color w:val="auto"/>
              </w:rPr>
            </w:pPr>
            <w:r>
              <w:rPr>
                <w:rFonts w:ascii="Arial" w:cs="Arial" w:eastAsia="Arial" w:hAnsi="Arial"/>
                <w:sz w:val="14"/>
                <w:szCs w:val="14"/>
                <w:b w:val="1"/>
                <w:bCs w:val="1"/>
                <w:color w:val="auto"/>
              </w:rPr>
              <w:t>Prior to a Change in Control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60" w:type="dxa"/>
            <w:vAlign w:val="bottom"/>
            <w:gridSpan w:val="9"/>
          </w:tcPr>
          <w:p>
            <w:pPr>
              <w:jc w:val="center"/>
              <w:ind w:right="100"/>
              <w:spacing w:after="0"/>
              <w:rPr>
                <w:sz w:val="20"/>
                <w:szCs w:val="20"/>
                <w:color w:val="auto"/>
              </w:rPr>
            </w:pPr>
            <w:r>
              <w:rPr>
                <w:rFonts w:ascii="Arial" w:cs="Arial" w:eastAsia="Arial" w:hAnsi="Arial"/>
                <w:sz w:val="14"/>
                <w:szCs w:val="14"/>
                <w:b w:val="1"/>
                <w:bCs w:val="1"/>
                <w:color w:val="auto"/>
                <w:w w:val="89"/>
              </w:rPr>
              <w:t>On or After a Change in Control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2"/>
              <w:spacing w:after="0" w:line="129" w:lineRule="exact"/>
              <w:rPr>
                <w:sz w:val="20"/>
                <w:szCs w:val="20"/>
                <w:color w:val="auto"/>
              </w:rPr>
            </w:pPr>
            <w:r>
              <w:rPr>
                <w:rFonts w:ascii="Arial" w:cs="Arial" w:eastAsia="Arial" w:hAnsi="Arial"/>
                <w:sz w:val="14"/>
                <w:szCs w:val="14"/>
                <w:b w:val="1"/>
                <w:bCs w:val="1"/>
                <w:color w:val="auto"/>
                <w:w w:val="90"/>
              </w:rPr>
              <w:t>Involuntary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without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Involuntary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“Cause”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22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Resignation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Resignation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Death or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without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for “Good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 Termination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Death or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“Good</w:t>
            </w:r>
          </w:p>
        </w:tc>
        <w:tc>
          <w:tcPr>
            <w:tcW w:w="0" w:type="dxa"/>
            <w:vAlign w:val="bottom"/>
          </w:tcPr>
          <w:p>
            <w:pPr>
              <w:spacing w:after="0"/>
              <w:rPr>
                <w:sz w:val="1"/>
                <w:szCs w:val="1"/>
                <w:color w:val="auto"/>
              </w:rPr>
            </w:pPr>
          </w:p>
        </w:tc>
      </w:tr>
      <w:tr>
        <w:trPr>
          <w:trHeight w:val="161"/>
        </w:trPr>
        <w:tc>
          <w:tcPr>
            <w:tcW w:w="4920" w:type="dxa"/>
            <w:vAlign w:val="bottom"/>
            <w:gridSpan w:val="3"/>
          </w:tcPr>
          <w:p>
            <w:pPr>
              <w:spacing w:after="0"/>
              <w:rPr>
                <w:sz w:val="20"/>
                <w:szCs w:val="20"/>
                <w:color w:val="auto"/>
              </w:rPr>
            </w:pPr>
            <w:r>
              <w:rPr>
                <w:rFonts w:ascii="Arial" w:cs="Arial" w:eastAsia="Arial" w:hAnsi="Arial"/>
                <w:sz w:val="14"/>
                <w:szCs w:val="14"/>
                <w:b w:val="1"/>
                <w:bCs w:val="1"/>
                <w:color w:val="auto"/>
              </w:rPr>
              <w:t>Named Executive Officer</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Disability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5"/>
              </w:rPr>
              <w:t>“Cause”</w:t>
            </w:r>
          </w:p>
        </w:tc>
        <w:tc>
          <w:tcPr>
            <w:tcW w:w="22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Reason” (1)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of Employment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Disability</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Reason” (1)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Michael J. Castellano</w:t>
            </w:r>
          </w:p>
        </w:tc>
        <w:tc>
          <w:tcPr>
            <w:tcW w:w="3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Severance Payment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5,150,000</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5,150,000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RSU Vesting (2)(3)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2,380,560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2,380,560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99"/>
              </w:rPr>
              <w:t>2,380,560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2,380,560</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2,380,560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Pro-rata Annual Incentive Payment (4)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83"/>
              </w:rPr>
              <w:t>1,950,000</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1,950,000</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1,950,000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1,950,000</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Cash Award Vesting (5)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83"/>
              </w:rPr>
              <w:t>1,005,000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1,005,000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99"/>
              </w:rPr>
              <w:t>1,005,000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1,005,000</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Excise Tax Gross-up Payment (6)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3,786,633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4920" w:type="dxa"/>
            <w:vAlign w:val="bottom"/>
            <w:gridSpan w:val="3"/>
          </w:tcPr>
          <w:p>
            <w:pPr>
              <w:spacing w:after="0"/>
              <w:rPr>
                <w:sz w:val="20"/>
                <w:szCs w:val="20"/>
                <w:color w:val="auto"/>
              </w:rPr>
            </w:pPr>
            <w:r>
              <w:rPr>
                <w:rFonts w:ascii="Arial" w:cs="Arial" w:eastAsia="Arial" w:hAnsi="Arial"/>
                <w:sz w:val="14"/>
                <w:szCs w:val="14"/>
                <w:b w:val="1"/>
                <w:bCs w:val="1"/>
                <w:color w:val="auto"/>
              </w:rPr>
              <w:t>Scott D. Hoffman</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Severance Payment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6,850,000</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6,850,000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10,275,000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RSU Vesting (2)(3)</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3,462,097</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3,462,097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99"/>
              </w:rPr>
              <w:t>3,462,097</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3,462,097</w:t>
            </w:r>
          </w:p>
        </w:tc>
        <w:tc>
          <w:tcPr>
            <w:tcW w:w="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3,462,097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Pro-rata Annual Incentive Payment (4)</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2,900,000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2,900,000</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2,900,000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2,900,000</w:t>
            </w:r>
          </w:p>
        </w:tc>
        <w:tc>
          <w:tcPr>
            <w:tcW w:w="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Deferred Cash Award Vesting (5)</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1,395,000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1,395,000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99"/>
              </w:rPr>
              <w:t>1,395,000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1,395,000</w:t>
            </w:r>
          </w:p>
        </w:tc>
        <w:tc>
          <w:tcPr>
            <w:tcW w:w="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1,395,000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00" w:type="dxa"/>
            <w:vAlign w:val="bottom"/>
            <w:gridSpan w:val="2"/>
          </w:tcPr>
          <w:p>
            <w:pPr>
              <w:ind w:left="200"/>
              <w:spacing w:after="0"/>
              <w:rPr>
                <w:sz w:val="20"/>
                <w:szCs w:val="20"/>
                <w:color w:val="auto"/>
              </w:rPr>
            </w:pPr>
            <w:r>
              <w:rPr>
                <w:rFonts w:ascii="Arial" w:cs="Arial" w:eastAsia="Arial" w:hAnsi="Arial"/>
                <w:sz w:val="14"/>
                <w:szCs w:val="14"/>
                <w:color w:val="auto"/>
              </w:rPr>
              <w:t>Excise Tax Gross-up Payment (6)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5,368,069</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Alexander F. Stern</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Severance Payment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RSU Vesting (2)(3)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5,039,264</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5,039,264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99"/>
              </w:rPr>
              <w:t>5,039,264</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5,039,264</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5,039,264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Pro-rata Annual Incentive Payment (4)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83"/>
              </w:rPr>
              <w:t>2,750,000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2,750,000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Cash Award Vesting (5)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83"/>
              </w:rPr>
              <w:t>1,175,000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1,175,000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99"/>
              </w:rPr>
              <w:t>1,175,000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1,175,000</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Excise Tax Gross-up Payment (6)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4920" w:type="dxa"/>
            <w:vAlign w:val="bottom"/>
            <w:gridSpan w:val="3"/>
          </w:tcPr>
          <w:p>
            <w:pPr>
              <w:spacing w:after="0"/>
              <w:rPr>
                <w:sz w:val="20"/>
                <w:szCs w:val="20"/>
                <w:color w:val="auto"/>
              </w:rPr>
            </w:pPr>
            <w:r>
              <w:rPr>
                <w:rFonts w:ascii="Arial" w:cs="Arial" w:eastAsia="Arial" w:hAnsi="Arial"/>
                <w:sz w:val="14"/>
                <w:szCs w:val="14"/>
                <w:b w:val="1"/>
                <w:bCs w:val="1"/>
                <w:color w:val="auto"/>
              </w:rPr>
              <w:t>Charles G. Ward, III</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Severance Payment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10,037,885</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6"/>
              </w:rPr>
              <w:t>10,037,885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15,056,828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RSU Vesting (2)(3)</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7,107,851</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7,107,851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99"/>
              </w:rPr>
              <w:t>7,107,851</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7,107,851</w:t>
            </w:r>
          </w:p>
        </w:tc>
        <w:tc>
          <w:tcPr>
            <w:tcW w:w="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7,107,851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Pro-rata Annual Incentive Payment (4)</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2,100,000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2,100,000</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2,100,000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2,100,000</w:t>
            </w:r>
          </w:p>
        </w:tc>
        <w:tc>
          <w:tcPr>
            <w:tcW w:w="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Deferred Cash Award Vesting (5)</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1,575,000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1,575,000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99"/>
              </w:rPr>
              <w:t>1,575,000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1,575,000</w:t>
            </w:r>
          </w:p>
        </w:tc>
        <w:tc>
          <w:tcPr>
            <w:tcW w:w="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1,575,000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00" w:type="dxa"/>
            <w:vAlign w:val="bottom"/>
            <w:gridSpan w:val="2"/>
          </w:tcPr>
          <w:p>
            <w:pPr>
              <w:ind w:left="200"/>
              <w:spacing w:after="0"/>
              <w:rPr>
                <w:sz w:val="20"/>
                <w:szCs w:val="20"/>
                <w:color w:val="auto"/>
              </w:rPr>
            </w:pPr>
            <w:r>
              <w:rPr>
                <w:rFonts w:ascii="Arial" w:cs="Arial" w:eastAsia="Arial" w:hAnsi="Arial"/>
                <w:sz w:val="14"/>
                <w:szCs w:val="14"/>
                <w:color w:val="auto"/>
              </w:rPr>
              <w:t>Excise Tax Gross-up Payment (6)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8,080,396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5"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Messrs. Jacobs and Stern are not entitled to any payments upon a resignation for “Good Reason.”</w:t>
      </w:r>
    </w:p>
    <w:p>
      <w:pPr>
        <w:spacing w:after="0" w:line="55" w:lineRule="exact"/>
        <w:rPr>
          <w:rFonts w:ascii="Arial" w:cs="Arial" w:eastAsia="Arial" w:hAnsi="Arial"/>
          <w:sz w:val="14"/>
          <w:szCs w:val="14"/>
          <w:color w:val="auto"/>
        </w:rPr>
      </w:pPr>
    </w:p>
    <w:p>
      <w:pPr>
        <w:ind w:left="340" w:right="160" w:hanging="332"/>
        <w:spacing w:after="0" w:line="239" w:lineRule="auto"/>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Valuation of all RSU awards is based upon the full value of the underlying Lazard Class A common stock at the close of business on December 31, 2009, without taking into account any discount for the present value of such awards. Upon a Change in Control, all RSU awards immediately vest in full.</w:t>
      </w:r>
    </w:p>
    <w:p>
      <w:pPr>
        <w:spacing w:after="0" w:line="43" w:lineRule="exact"/>
        <w:rPr>
          <w:rFonts w:ascii="Arial" w:cs="Arial" w:eastAsia="Arial" w:hAnsi="Arial"/>
          <w:sz w:val="14"/>
          <w:szCs w:val="14"/>
          <w:color w:val="auto"/>
        </w:rPr>
      </w:pPr>
    </w:p>
    <w:p>
      <w:pPr>
        <w:ind w:left="340" w:right="60" w:hanging="332"/>
        <w:spacing w:after="0" w:line="273" w:lineRule="auto"/>
        <w:tabs>
          <w:tab w:leader="none" w:pos="340" w:val="left"/>
        </w:tabs>
        <w:numPr>
          <w:ilvl w:val="0"/>
          <w:numId w:val="80"/>
        </w:numPr>
        <w:rPr>
          <w:rFonts w:ascii="Arial" w:cs="Arial" w:eastAsia="Arial" w:hAnsi="Arial"/>
          <w:sz w:val="12"/>
          <w:szCs w:val="12"/>
          <w:color w:val="auto"/>
        </w:rPr>
      </w:pPr>
      <w:r>
        <w:rPr>
          <w:rFonts w:ascii="Arial" w:cs="Arial" w:eastAsia="Arial" w:hAnsi="Arial"/>
          <w:sz w:val="12"/>
          <w:szCs w:val="12"/>
          <w:color w:val="auto"/>
        </w:rPr>
        <w:t>Upon death, all RSU awards vest upon the earlier of 30 days or the scheduled vesting date. Upon disability, or a termination without “cause,” the executive may be immediately taxed on 100% of the shares underlying the RSUs. Accordingly, 50% of the shares underlying the RSUs will be delivered to the executive immediately upon termination to allow payment of taxes, and the remaining 50% will be delivered on the original vesting dates, provided that the executive does not violate his restrictive covenants. The scheduled vesting date for our various RSU awards are as follows: (i) RSUs granted on February 10, 2009 will vest on March 31, 2013; (ii) RSUs granted on January 30, 2008 will vest on March 31, 2011; (iii) RSUs granted on January 23, 2007 will vest 50% on March 31, 2010 and 50% on March 31, 2011; and (iv) RSUs granted on January 24, 2006 will vest on March 31, 2010. See Footnote (1) to the “Outstanding Equity Awards at 2009 Fiscal Year-End” table.</w:t>
      </w:r>
    </w:p>
    <w:p>
      <w:pPr>
        <w:spacing w:after="0" w:line="25" w:lineRule="exact"/>
        <w:rPr>
          <w:rFonts w:ascii="Arial" w:cs="Arial" w:eastAsia="Arial" w:hAnsi="Arial"/>
          <w:sz w:val="12"/>
          <w:szCs w:val="12"/>
          <w:color w:val="auto"/>
        </w:rPr>
      </w:pPr>
    </w:p>
    <w:p>
      <w:pPr>
        <w:ind w:left="340" w:right="60" w:hanging="332"/>
        <w:spacing w:after="0" w:line="233" w:lineRule="auto"/>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Under the terms of the 2005 Bonus Plan, upon death or disability, each named executive officer may receive a pro-rated portion of the annual incentive compensation that he would have received in the absence of such termination. Assuming a December 31, 2009 death or disability, all named executive officers were assumed to have received their full incentive compensation award for 2009 (annual cash bonus plus value of RSU award).</w:t>
      </w:r>
    </w:p>
    <w:p>
      <w:pPr>
        <w:spacing w:after="0" w:line="44" w:lineRule="exact"/>
        <w:rPr>
          <w:rFonts w:ascii="Arial" w:cs="Arial" w:eastAsia="Arial" w:hAnsi="Arial"/>
          <w:sz w:val="14"/>
          <w:szCs w:val="14"/>
          <w:color w:val="auto"/>
        </w:rPr>
      </w:pPr>
    </w:p>
    <w:p>
      <w:pPr>
        <w:ind w:left="360" w:right="100"/>
        <w:spacing w:after="0" w:line="233" w:lineRule="auto"/>
        <w:rPr>
          <w:rFonts w:ascii="Arial" w:cs="Arial" w:eastAsia="Arial" w:hAnsi="Arial"/>
          <w:sz w:val="14"/>
          <w:szCs w:val="14"/>
          <w:color w:val="auto"/>
        </w:rPr>
      </w:pPr>
      <w:r>
        <w:rPr>
          <w:rFonts w:ascii="Arial" w:cs="Arial" w:eastAsia="Arial" w:hAnsi="Arial"/>
          <w:sz w:val="14"/>
          <w:szCs w:val="14"/>
          <w:color w:val="auto"/>
        </w:rPr>
        <w:t>Pursuant to their retention agreements, in the event of an involuntary termination without “Cause” or resignation for “Good Reason”, each of Messrs. Castellano, Golub, Hoffman and Ward is entitled to a pro-rated portion of the bonus payment that he would have received in the absence of such termination. Under such circumstances, we have assumed that each named executive officer would receive his full incentive compensation award for 2009 (annual cash bonus plus value of RSU award).</w:t>
      </w:r>
    </w:p>
    <w:p>
      <w:pPr>
        <w:spacing w:after="0" w:line="44" w:lineRule="exact"/>
        <w:rPr>
          <w:rFonts w:ascii="Arial" w:cs="Arial" w:eastAsia="Arial" w:hAnsi="Arial"/>
          <w:sz w:val="14"/>
          <w:szCs w:val="14"/>
          <w:color w:val="auto"/>
        </w:rPr>
      </w:pPr>
    </w:p>
    <w:p>
      <w:pPr>
        <w:ind w:left="340" w:right="60" w:hanging="332"/>
        <w:spacing w:after="0" w:line="270" w:lineRule="auto"/>
        <w:tabs>
          <w:tab w:leader="none" w:pos="340" w:val="left"/>
        </w:tabs>
        <w:numPr>
          <w:ilvl w:val="0"/>
          <w:numId w:val="80"/>
        </w:numPr>
        <w:rPr>
          <w:rFonts w:ascii="Arial" w:cs="Arial" w:eastAsia="Arial" w:hAnsi="Arial"/>
          <w:sz w:val="12"/>
          <w:szCs w:val="12"/>
          <w:color w:val="auto"/>
        </w:rPr>
      </w:pPr>
      <w:r>
        <w:rPr>
          <w:rFonts w:ascii="Arial" w:cs="Arial" w:eastAsia="Arial" w:hAnsi="Arial"/>
          <w:sz w:val="12"/>
          <w:szCs w:val="12"/>
          <w:color w:val="auto"/>
        </w:rPr>
        <w:t>Upon death, all deferred cash awards vest upon the earlier of 30 days or the scheduled vesting date. Upon disability, or a termination without “cause,” the executive may be immediately taxed on 100% of the value of the deferred cash awards. Accordingly, 50% of the unpaid installments under the deferred cash awards will be paid out to the executive immediately upon termination to allow payment of taxes, and the remaining 50% will be paid out in equal installments on each of the subsequent original vesting dates, provided that the executive does not violate his restrictive covenants. All payments to be made with respect to the deferred cash awards upon a termination due to disability or without cause or in the event of death prior to the final vesting date of the deferred cash awards but subsequent to a termination of employment are conditioned on the named executive officer signing an irrevocable release of claims in favor of the Company and its affiliates. Prior to the acceleration of vesting of the deferred cash awards, the deferred cash awards were scheduled to vest in three equal installments on November 30, 2010, February 28, 2012 and February 28, 2013.</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20" w:hanging="332"/>
        <w:spacing w:after="0" w:line="228" w:lineRule="auto"/>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Amounts represent the amount needed to pay each named executive officer in order to provide them with a gross up for their excise tax obligations under Section 4999 of the Code, which imposes an excise tax on certain payments made in connection with a change in control of the Company, and any additional tax cost related to the gross-up payment, assuming that a change in control of the Company and a qualifying termination of employment occurred on December 31, 2009. Amounts were determined in accordance with Section 280G of the Code and the regulations issued thereunder, assuming a regular income tax rate ranging from 43.7% to 44.6% based on each named executive officer’s work location and personal residence, each named executive officer’s Lazard compensation for the period from 2004-2008 and an interest rate equal to 0.83%.</w:t>
      </w:r>
    </w:p>
    <w:p>
      <w:pPr>
        <w:spacing w:after="0" w:line="45" w:lineRule="exact"/>
        <w:rPr>
          <w:rFonts w:ascii="Arial" w:cs="Arial" w:eastAsia="Arial" w:hAnsi="Arial"/>
          <w:sz w:val="14"/>
          <w:szCs w:val="14"/>
          <w:color w:val="auto"/>
        </w:rPr>
      </w:pPr>
    </w:p>
    <w:p>
      <w:pPr>
        <w:ind w:left="340" w:right="40" w:hanging="332"/>
        <w:spacing w:after="0" w:line="273" w:lineRule="auto"/>
        <w:tabs>
          <w:tab w:leader="none" w:pos="3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Mr. Wasserstein passed away on October 14, 2009. At the time of his death he held 4,406,440 RSUs, which were converted into shares of Lazard Class A common stock and delivered to his estate on November 13, 2009. The closing price of the Lazard Class A common stock on the NYSE on October 14, 2009 was $43.27 per share. In addition, his estate became entitled to receive an additional 14,452 RSUs pursuant to the dividend equivalent provisions of the underlying award based on a Lazard dividend declared on October 27, 2009 to shareholders of record on November 6, 2009 and payable on November 27, 2009. These additional RSUs were immediately converted into shares of Lazard Class A common stock and delivered to Mr. Wasserstein’s estate. The closing price of the Lazard Class A common stock on the NYSE on November 27, 2009 was $38.12 per share.</w:t>
      </w:r>
    </w:p>
    <w:p>
      <w:pPr>
        <w:spacing w:after="0" w:line="10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 named executive officer had voluntarily resigned or retired from Lazard on December 31, 2009 without “good reason” or was terminated by Lazard for cause, he would not have been entitled to receive any severance payments from Lazard and any unvested RSUs and deferred cash awards would have been forfeited.</w:t>
      </w:r>
    </w:p>
    <w:p>
      <w:pPr>
        <w:spacing w:after="0" w:line="12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With respect to a termination for Cause of a named executive officer, the term Cause shall mean: (A) conviction of, or a guilty plea to, a felony, or of any other crime that legally prohibits the named executive officer from working for Lazard; (B) a breach of a regulatory rule that materially adversely affects the named executive officer’s ability to perform his duties for Lazard; (C) willful and deliberate failure on the part of the named executive officer (i) to perform his employment duties in any material respect or (ii) to follow specific reasonable directions received from Lazard; or (D) a breach of the covenants contained in the retention agreements that is (individually or combined with other such breaches) demonstrably and materially injurious to Lazard or any of its affiliates. Notwithstanding the foregoing, with respect to the events described in clauses (B) and (C)(i) of the prior sentence, the named executive officer’s acts or failure to act shall not constitute cause to the extent taken (or not taken) based upon the direct instructions of the Chief Executive Officer of Lazard or the Board of Directors of Lazard or a more senior executive officer of Lazard.</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respect to a termination of any of Messrs. Castellano, Golub, Hoffman or Ward for Good Reason, their retention agreements define Good Reason as:</w:t>
      </w:r>
    </w:p>
    <w:p>
      <w:pPr>
        <w:spacing w:after="0" w:line="38" w:lineRule="exact"/>
        <w:rPr>
          <w:sz w:val="20"/>
          <w:szCs w:val="20"/>
          <w:color w:val="auto"/>
        </w:rPr>
      </w:pPr>
    </w:p>
    <w:p>
      <w:pPr>
        <w:ind w:firstLine="8"/>
        <w:spacing w:after="0" w:line="281" w:lineRule="auto"/>
        <w:tabs>
          <w:tab w:leader="none" w:pos="21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assignment of the named executive officer to any duties inconsistent in any material respect with his position (including status, offices, titles and reporting requirements), authority, duties or responsibilities as in effect as of May 7, 2008, or any other action by Lazard which results in a material diminution in such position, authority, duties or responsibilities from the level in effect as of May 7, 2008; (ii) a material breach by Lazard of the terms of the retention agreement, or</w:t>
      </w:r>
    </w:p>
    <w:p>
      <w:pPr>
        <w:spacing w:after="0" w:line="2" w:lineRule="exact"/>
        <w:rPr>
          <w:rFonts w:ascii="Arial" w:cs="Arial" w:eastAsia="Arial" w:hAnsi="Arial"/>
          <w:sz w:val="16"/>
          <w:szCs w:val="16"/>
          <w:color w:val="auto"/>
        </w:rPr>
      </w:pPr>
    </w:p>
    <w:p>
      <w:pPr>
        <w:ind w:right="80" w:firstLine="8"/>
        <w:spacing w:after="0" w:line="261" w:lineRule="auto"/>
        <w:tabs>
          <w:tab w:leader="none" w:pos="307"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requirement that the named executive officer’s principal place of employment be relocated to a location that increases the executive’s commute from his primary residence by more than 30 miles.</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term Change in Control, as used in the retention agreements and in the 2005 Equity Incentive Plan and the 2008 Incentive Compensation Plan, shall mean any of the following events: (i) an acquisition (other than directly from the Company) by an individual, entity or a group (excluding the Company or an employee benefit plan of the Company or a corporation controlled by the Company’s shareholders) of 20% (30% for purposes of the 2008 Incentive Compensation Plan) or more of either (A) the then-outstanding shares of Common Stock (treating, for this purpose, the then-outstanding Class II interests of LAZ-MD Holdings (“Class II interests”) as shares of Common Stock on an as-if fully exchanged basis in accordance with the Master Separation Agreement) (the “Outstanding Company Common Stock”), assuming the full exchange of all of the then-outstanding Class II interests for shares of Common Stock in accordance with the Master Separation Agreement or (B) the combined voting power of the then-outstanding voting securities of the Company entitled to vote generally in the election of directors (the “Outstanding Company Voting Securities”); (ii) a change in a majority of the current Board of Directors (the “Incumbent Board”) (excluding any persons approved by a vote of at least a majority of the Incumbent Board other than in connection with an actual or threatened proxy contest); (iii) consummation of a merger, consolidation or sale of all or substantially all of the Company’s assets (collectively, a “Business Combination”) other than a Business Combination in which all or substantially all of the individuals and entities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380"/>
          </w:cols>
          <w:pgMar w:left="240" w:top="459" w:right="2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who are the beneficial owners, respectively, of the Outstanding Company Common Stock and Outstanding Company Voting Securities immediately prior to such Business Combination (assuming in each case the full exchange of the Class II Interests for shares of Company Common Stock in accordance with the Master Separation Agreement) will beneficially own, directly or indirectly, more than 50% of, respectively, the outstanding shares of common stock, and the combined voting power of the then outstanding voting securities entitled to vote generally in the election of directors, as the case may be, of the corporation resulting from such Business Combination, at least a majority of the Board of Directors of the resulting corporation were members of the Incumbent Board, and after which no Person owns 20% (30% for purposes of the 2008 Incentive Compensation Plan) or more of the stock of the resulting corporation, who did not own such stock immediately before the Business Combination or (iv) shareholder approval of a complete liquidation or dissolution of the Company.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2009</w:t>
      </w:r>
    </w:p>
    <w:p>
      <w:pPr>
        <w:spacing w:after="0" w:line="83"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Directors who are officers of Lazard do not receive any fees for their service as directors. In 2009, our directors’ compensation program provided that each of our non-executive directors would receive an annual cash retainer of $96,750 and an annual award of deferred stock units (“DSUs”) with a grant date value of $118,250. The chair of the Audit Committee of Lazard Ltd is paid an additional annual retainer of $30,000 and the chairs of each of the Nominating &amp; Governance Committee of Lazard Ltd and the Compensation Committee of Lazard Ltd are paid an additional annual retainer of $20,000, in each case 45% of which is paid in cash and 55% in DSUs. The other members of the Audit Committee of Lazard Ltd are paid an additional annual retainer of $20,000 and the other members of the Nominating &amp; Governance Committee of Lazard Ltd and the Compensation Committee of Lazard Ltd are paid an additional annual retainer of $15,000, in each case 45% of which is paid in cash and 55% in DSUs. Cash compensation is paid out on a quarterly basis (on February 15</w:t>
      </w:r>
      <w:r>
        <w:rPr>
          <w:rFonts w:ascii="Arial" w:cs="Arial" w:eastAsia="Arial" w:hAnsi="Arial"/>
          <w:sz w:val="10"/>
          <w:szCs w:val="10"/>
          <w:color w:val="auto"/>
        </w:rPr>
        <w:t>th</w:t>
      </w:r>
      <w:r>
        <w:rPr>
          <w:rFonts w:ascii="Arial" w:cs="Arial" w:eastAsia="Arial" w:hAnsi="Arial"/>
          <w:sz w:val="16"/>
          <w:szCs w:val="16"/>
          <w:color w:val="auto"/>
        </w:rPr>
        <w:t>, May 15</w:t>
      </w:r>
      <w:r>
        <w:rPr>
          <w:rFonts w:ascii="Arial" w:cs="Arial" w:eastAsia="Arial" w:hAnsi="Arial"/>
          <w:sz w:val="10"/>
          <w:szCs w:val="10"/>
          <w:color w:val="auto"/>
        </w:rPr>
        <w:t>th</w:t>
      </w:r>
      <w:r>
        <w:rPr>
          <w:rFonts w:ascii="Arial" w:cs="Arial" w:eastAsia="Arial" w:hAnsi="Arial"/>
          <w:sz w:val="16"/>
          <w:szCs w:val="16"/>
          <w:color w:val="auto"/>
        </w:rPr>
        <w:t>, August</w:t>
      </w:r>
    </w:p>
    <w:p>
      <w:pPr>
        <w:jc w:val="both"/>
        <w:ind w:right="60"/>
        <w:spacing w:after="0" w:line="255" w:lineRule="auto"/>
        <w:rPr>
          <w:sz w:val="20"/>
          <w:szCs w:val="20"/>
          <w:color w:val="auto"/>
        </w:rPr>
      </w:pPr>
      <w:r>
        <w:rPr>
          <w:rFonts w:ascii="Arial" w:cs="Arial" w:eastAsia="Arial" w:hAnsi="Arial"/>
          <w:sz w:val="18"/>
          <w:szCs w:val="18"/>
          <w:color w:val="auto"/>
        </w:rPr>
        <w:t>15</w:t>
      </w:r>
      <w:r>
        <w:rPr>
          <w:rFonts w:ascii="Arial" w:cs="Arial" w:eastAsia="Arial" w:hAnsi="Arial"/>
          <w:sz w:val="11"/>
          <w:szCs w:val="11"/>
          <w:color w:val="auto"/>
        </w:rPr>
        <w:t>th</w:t>
      </w:r>
      <w:r>
        <w:rPr>
          <w:rFonts w:ascii="Arial" w:cs="Arial" w:eastAsia="Arial" w:hAnsi="Arial"/>
          <w:sz w:val="18"/>
          <w:szCs w:val="18"/>
          <w:color w:val="auto"/>
        </w:rPr>
        <w:t>, and November 15</w:t>
      </w:r>
      <w:r>
        <w:rPr>
          <w:rFonts w:ascii="Arial" w:cs="Arial" w:eastAsia="Arial" w:hAnsi="Arial"/>
          <w:sz w:val="11"/>
          <w:szCs w:val="11"/>
          <w:color w:val="auto"/>
        </w:rPr>
        <w:t>th</w:t>
      </w:r>
      <w:r>
        <w:rPr>
          <w:rFonts w:ascii="Arial" w:cs="Arial" w:eastAsia="Arial" w:hAnsi="Arial"/>
          <w:sz w:val="18"/>
          <w:szCs w:val="18"/>
          <w:color w:val="auto"/>
        </w:rPr>
        <w:t>) and the DSU awards described above are granted on an annual basis on June 1</w:t>
      </w:r>
      <w:r>
        <w:rPr>
          <w:rFonts w:ascii="Arial" w:cs="Arial" w:eastAsia="Arial" w:hAnsi="Arial"/>
          <w:sz w:val="11"/>
          <w:szCs w:val="11"/>
          <w:color w:val="auto"/>
        </w:rPr>
        <w:t>st</w:t>
      </w:r>
      <w:r>
        <w:rPr>
          <w:rFonts w:ascii="Arial" w:cs="Arial" w:eastAsia="Arial" w:hAnsi="Arial"/>
          <w:sz w:val="18"/>
          <w:szCs w:val="18"/>
          <w:color w:val="auto"/>
        </w:rPr>
        <w:t xml:space="preserve"> of each year, except for initial pro-rated grants made to new directors upon their joining the Board of Lazard Ltd. The number of DSUs granted is based on the closing price of Lazard Ltd Class A common stock on the NYSE on the date of grant.</w:t>
      </w:r>
    </w:p>
    <w:p>
      <w:pPr>
        <w:spacing w:after="0" w:line="131"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Non-executive directors may elect to receive additional DSUs in lieu of some or all of their cash compensation pursuant to the Directors Fee Deferral Unit Plan. DSUs awarded under this plan are granted on the same quarterly payment date as cash compensation would have been received and the number of DSUs is calculated based on the closing price of our Class A common stock on the NYSE on the date of grant.</w:t>
      </w:r>
    </w:p>
    <w:p>
      <w:pPr>
        <w:spacing w:after="0" w:line="9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All DSUs awarded under these arrangements (1) were issued under either the 2005 Equity Incentive Plan or the 2008 Incentive Compensation Plan, and (2) are converted to Class A common stock of Lazard Ltd on a one-for-one basis and distributed to the director after he or she resigns or otherwise ceases to be a member of our Board. All DSUs receive dividend equivalents at the same rate and time that dividends are paid on shares of Lazard Ltd Class A common stock.</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4"/>
              </w:rPr>
              <w:t>Fees Earned or</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94"/>
              <w:spacing w:after="0"/>
              <w:rPr>
                <w:sz w:val="20"/>
                <w:szCs w:val="20"/>
                <w:color w:val="auto"/>
              </w:rPr>
            </w:pPr>
            <w:r>
              <w:rPr>
                <w:rFonts w:ascii="Arial" w:cs="Arial" w:eastAsia="Arial" w:hAnsi="Arial"/>
                <w:sz w:val="14"/>
                <w:szCs w:val="14"/>
                <w:b w:val="1"/>
                <w:bCs w:val="1"/>
                <w:color w:val="auto"/>
                <w:w w:val="99"/>
              </w:rPr>
              <w:t>Stock</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All Other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Directors</w:t>
            </w:r>
          </w:p>
        </w:tc>
        <w:tc>
          <w:tcPr>
            <w:tcW w:w="28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Paid in Cash</w:t>
            </w:r>
          </w:p>
        </w:tc>
        <w:tc>
          <w:tcPr>
            <w:tcW w:w="5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Awards (1)</w:t>
            </w:r>
          </w:p>
        </w:tc>
        <w:tc>
          <w:tcPr>
            <w:tcW w:w="54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Compensation (2)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Doerfler</w:t>
            </w:r>
          </w:p>
        </w:tc>
        <w:tc>
          <w:tcPr>
            <w:tcW w:w="302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110,250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134,779</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4,307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249,336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Dominique Ferrero (3)(4)</w:t>
            </w: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48,416</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3,174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J. Heyer (3)</w:t>
            </w: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250,131</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8,948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259,079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Sylvia Jay</w:t>
            </w:r>
          </w:p>
        </w:tc>
        <w:tc>
          <w:tcPr>
            <w:tcW w:w="3020" w:type="dxa"/>
            <w:vAlign w:val="bottom"/>
            <w:gridSpan w:val="2"/>
          </w:tcPr>
          <w:p>
            <w:pPr>
              <w:ind w:left="28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110,250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134,807</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4,453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249,510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Ellis Jones (3)</w:t>
            </w: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215,078</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7,077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222,155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Philip A. Laskawy</w:t>
            </w:r>
          </w:p>
        </w:tc>
        <w:tc>
          <w:tcPr>
            <w:tcW w:w="3020" w:type="dxa"/>
            <w:vAlign w:val="bottom"/>
            <w:gridSpan w:val="2"/>
          </w:tcPr>
          <w:p>
            <w:pPr>
              <w:ind w:left="28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105,750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129,261</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2,412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237,423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Laurent Mignon (3)(4)</w:t>
            </w: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129,184</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Hal S. Scott</w:t>
            </w:r>
          </w:p>
        </w:tc>
        <w:tc>
          <w:tcPr>
            <w:tcW w:w="3020" w:type="dxa"/>
            <w:vAlign w:val="bottom"/>
            <w:gridSpan w:val="2"/>
          </w:tcPr>
          <w:p>
            <w:pPr>
              <w:ind w:left="28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114,750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140,270</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4,676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259,696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Turner</w:t>
            </w:r>
          </w:p>
        </w:tc>
        <w:tc>
          <w:tcPr>
            <w:tcW w:w="302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110,250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134,807</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4,453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249,510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820" w:type="dxa"/>
            <w:vAlign w:val="bottom"/>
          </w:tcPr>
          <w:p>
            <w:pPr>
              <w:ind w:left="1880"/>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80" w:hanging="452"/>
        <w:spacing w:after="0" w:line="310" w:lineRule="auto"/>
        <w:tabs>
          <w:tab w:leader="none" w:pos="4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value of the DSUs reported in the table above is based on the grant date fair value of awards computed in accordance with FASB ASC Topic 718. See Note 17 of Notes to the Consolidated Financial Statements contained in Lazard’s 2009 Annual Report on Form 10-K for a discussion of the assumptions used in the valuation of the DSUs. The number and grant date fair value of DSUs granted on June 1, 2009 under FAS ASC Topic 718 (based on the closing price of our Class A common stock on the NYSE at the time of the grant) were as follows: Mr. Doerfler, 4,836, valued at $134,779; Mr. Heyer, 4,935, valued at $137,538; Lady Jay, 4,837, valued at $134,807; Mr. Jones, 4,243, valued at $118,252; Mr. Laskawy, 4,638, valued at $129,261; Mr. Mignon, 3,268, valued at $99,870 (granted on July 28, 2009, when he joined the Board); Mr. Scott, 5,033, valued at $140,270; and Mr. Turner, 4,837, valued at $134,807. The total number of DSUs held by each of our non-executive directors at December 31, 2009 was as follows: Mr. Doerfler, 11,721; Mr. Heyer, 24,003; Lady Jay, 12,045; Mr. Jones, 19,268; Mr. Laskawy, 7,421; Mr. Mignon, 4,015; Mr. Scott, 12,628; and Mr. Turner, 12,045.</w:t>
      </w:r>
    </w:p>
    <w:p>
      <w:pPr>
        <w:spacing w:after="0" w:line="13" w:lineRule="exact"/>
        <w:rPr>
          <w:rFonts w:ascii="Arial" w:cs="Arial" w:eastAsia="Arial" w:hAnsi="Arial"/>
          <w:sz w:val="15"/>
          <w:szCs w:val="15"/>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Represents cash dividends paid on the DSUs to each of the directors listed in the table.</w:t>
      </w:r>
    </w:p>
    <w:p>
      <w:pPr>
        <w:spacing w:after="0" w:line="76" w:lineRule="exact"/>
        <w:rPr>
          <w:rFonts w:ascii="Arial" w:cs="Arial" w:eastAsia="Arial" w:hAnsi="Arial"/>
          <w:sz w:val="18"/>
          <w:szCs w:val="18"/>
          <w:color w:val="auto"/>
        </w:rPr>
      </w:pPr>
    </w:p>
    <w:p>
      <w:pPr>
        <w:ind w:left="460" w:right="160" w:hanging="452"/>
        <w:spacing w:after="0" w:line="259"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Messrs. Ferrero, Heyer, Jones, and Mignon elected to defer their quarterly cash compensation into additional DSUs, pursuant to the terms of the Directors Fee Deferral Unit Plan, which was approved by our Board of Directors on May 9, 2006. As a result, Messrs. Ferrero, Heyer, Jones, and Mignon received 1,722, 3,457, 2,973, and 747 additional DSUs in lieu of cash, respectively, in 2009.</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Mr. Ferrero resigned from the Board on May 18, 2009 and Mr. Mignon joined the Board on July 28, 2009.</w:t>
      </w:r>
    </w:p>
    <w:p>
      <w:pPr>
        <w:spacing w:after="0" w:line="158"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Vernon E. Jordan, Jr. is a member of our Board of Directors and is a senior managing director of Lazard. Mr. Jordan is not an executive officer of Lazard, as that term is defined in the rules and regulations promulgated under the Securities Exchange Act of 1934, as amended (the “Exchange Act”), and was therefore not included in the Summary Compensation Table. Mr. Jordan does not receive any fees for his service as director of Lazard. In connection with our recapitalization in May 2005, Mr. Jordan entered into a retention agreement in the form applicable to our named executive officers generally. See “Retention Agreements with Named Executive Officers.” Mr. Jordan’s total compensation as a senior managing director for 2009, as viewed by senior management and the Compensation Committee, was as follows: base salary, $500,000; annual cash bonus, $922,500; RSU award, $1,077,500; for total compensation of $2,500,000. This presentation differs from the presentation in the table below by (i) including the full grant date value of the restricted stock units (“RSUs”) awarded on February 11, 2010, which related to 2009 performance but are not reflected in the table because they were granted after the end of our 2009 fiscal year, (ii) excluding the full grant date value of the RSUs and deferred cash awards granted on February 10, 2009, which related to 2008 performance, and (iii) excluding the compensation related to Mr. Jordan’s use of a corporate apartment in New York as described in footnote 3 below.</w:t>
      </w:r>
    </w:p>
    <w:p>
      <w:pPr>
        <w:spacing w:after="0" w:line="109"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sets forth Mr. Jordan’s compensation as a senior managing director for 2009 as required under SEC rules for director compensation disclosure in proxy statements.</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Annual Cash</w:t>
            </w:r>
          </w:p>
        </w:tc>
        <w:tc>
          <w:tcPr>
            <w:tcW w:w="9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5"/>
              </w:rPr>
              <w:t>Restricted Stock</w:t>
            </w:r>
          </w:p>
        </w:tc>
        <w:tc>
          <w:tcPr>
            <w:tcW w:w="9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1"/>
        </w:trPr>
        <w:tc>
          <w:tcPr>
            <w:tcW w:w="10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Salary</w:t>
            </w:r>
          </w:p>
        </w:tc>
        <w:tc>
          <w:tcPr>
            <w:tcW w:w="19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Bonus (1)</w:t>
            </w:r>
          </w:p>
        </w:tc>
        <w:tc>
          <w:tcPr>
            <w:tcW w:w="9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Unit Awards (2)</w:t>
            </w:r>
          </w:p>
        </w:tc>
        <w:tc>
          <w:tcPr>
            <w:tcW w:w="9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Compensation (3)</w:t>
            </w:r>
          </w:p>
        </w:tc>
        <w:tc>
          <w:tcPr>
            <w:tcW w:w="9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Total</w:t>
            </w:r>
          </w:p>
        </w:tc>
      </w:tr>
      <w:tr>
        <w:trPr>
          <w:trHeight w:val="210"/>
        </w:trPr>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800" w:type="dxa"/>
            <w:vAlign w:val="bottom"/>
            <w:gridSpan w:val="2"/>
            <w:shd w:val="clear" w:color="auto" w:fill="CCEEFF"/>
          </w:tcPr>
          <w:p>
            <w:pPr>
              <w:jc w:val="center"/>
              <w:ind w:left="1812"/>
              <w:spacing w:after="0"/>
              <w:rPr>
                <w:sz w:val="20"/>
                <w:szCs w:val="20"/>
                <w:color w:val="auto"/>
              </w:rPr>
            </w:pPr>
            <w:r>
              <w:rPr>
                <w:rFonts w:ascii="Arial" w:cs="Arial" w:eastAsia="Arial" w:hAnsi="Arial"/>
                <w:sz w:val="18"/>
                <w:szCs w:val="18"/>
                <w:color w:val="auto"/>
                <w:w w:val="86"/>
              </w:rPr>
              <w:t>$1,847,500</w:t>
            </w:r>
          </w:p>
        </w:tc>
        <w:tc>
          <w:tcPr>
            <w:tcW w:w="1960" w:type="dxa"/>
            <w:vAlign w:val="bottom"/>
            <w:gridSpan w:val="2"/>
            <w:shd w:val="clear" w:color="auto" w:fill="CCEEFF"/>
          </w:tcPr>
          <w:p>
            <w:pPr>
              <w:jc w:val="center"/>
              <w:ind w:left="812"/>
              <w:spacing w:after="0"/>
              <w:rPr>
                <w:sz w:val="20"/>
                <w:szCs w:val="20"/>
                <w:color w:val="auto"/>
              </w:rPr>
            </w:pPr>
            <w:r>
              <w:rPr>
                <w:rFonts w:ascii="Arial" w:cs="Arial" w:eastAsia="Arial" w:hAnsi="Arial"/>
                <w:sz w:val="18"/>
                <w:szCs w:val="18"/>
                <w:color w:val="auto"/>
                <w:w w:val="87"/>
              </w:rPr>
              <w:t>$825,000</w:t>
            </w:r>
          </w:p>
        </w:tc>
        <w:tc>
          <w:tcPr>
            <w:tcW w:w="2040" w:type="dxa"/>
            <w:vAlign w:val="bottom"/>
            <w:gridSpan w:val="2"/>
            <w:shd w:val="clear" w:color="auto" w:fill="CCEEFF"/>
          </w:tcPr>
          <w:p>
            <w:pPr>
              <w:jc w:val="center"/>
              <w:ind w:left="812"/>
              <w:spacing w:after="0"/>
              <w:rPr>
                <w:sz w:val="20"/>
                <w:szCs w:val="20"/>
                <w:color w:val="auto"/>
              </w:rPr>
            </w:pPr>
            <w:r>
              <w:rPr>
                <w:rFonts w:ascii="Arial" w:cs="Arial" w:eastAsia="Arial" w:hAnsi="Arial"/>
                <w:sz w:val="18"/>
                <w:szCs w:val="18"/>
                <w:color w:val="auto"/>
                <w:w w:val="87"/>
              </w:rPr>
              <w:t>$537,627</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$3,710,127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60" w:hanging="452"/>
        <w:spacing w:after="0" w:line="255"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As was the case for most of our senior employees, Mr. Jordan received a deferred cash award of $925,000 on February 10, 2009, which related to 2008 performance. As required under SEC rules for compensation disclosure in proxy statements, the deferred cash awards are included in the fiscal year actually granted (2009), rather than the year to which they relate (2008). During the fourth quarter of 2009, the Compensation Committee approved the acceleration of the deferred cash awards to be paid out in February 2010 for all recipients, including Mr. Jordan. See “Compensation Discussion and Analysis—Design of Our Compensation Programs.”</w:t>
      </w:r>
    </w:p>
    <w:p>
      <w:pPr>
        <w:spacing w:after="0" w:line="48" w:lineRule="exact"/>
        <w:rPr>
          <w:rFonts w:ascii="Arial" w:cs="Arial" w:eastAsia="Arial" w:hAnsi="Arial"/>
          <w:sz w:val="18"/>
          <w:szCs w:val="18"/>
          <w:color w:val="auto"/>
        </w:rPr>
      </w:pPr>
    </w:p>
    <w:p>
      <w:pPr>
        <w:jc w:val="both"/>
        <w:ind w:left="460" w:hanging="452"/>
        <w:spacing w:after="0" w:line="306" w:lineRule="auto"/>
        <w:tabs>
          <w:tab w:leader="none" w:pos="4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value of the RSUs is based on the grant date fair value of awards computed in accordance with FASB ASC Topic 718 for the 2009 fiscal year. The total number of RSUs held by Mr. Jordan at December 31, 2009 was 83,477. See the narrative discussion under the heading “Grants of Plan Based Awards” for a description of the terms and conditions of the January 2009 RSU grants. On February 11, 2010, Mr. Jordan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720"/>
        <w:spacing w:after="0" w:line="259" w:lineRule="auto"/>
        <w:rPr>
          <w:sz w:val="20"/>
          <w:szCs w:val="20"/>
          <w:color w:val="auto"/>
        </w:rPr>
      </w:pPr>
      <w:r>
        <w:rPr>
          <w:rFonts w:ascii="Arial" w:cs="Arial" w:eastAsia="Arial" w:hAnsi="Arial"/>
          <w:sz w:val="18"/>
          <w:szCs w:val="18"/>
          <w:color w:val="auto"/>
        </w:rPr>
        <w:t>received an RSU award with a grant date value of $1,077,500, which related to 2009 performance. See the narrative discussion under the heading “Compensation Discussion and Analysis— Design of Our Compensation Programs—Incentive Compensation” for a description of the terms and conditions of the February 2010 RSU grants.</w:t>
      </w:r>
    </w:p>
    <w:p>
      <w:pPr>
        <w:spacing w:after="0" w:line="59" w:lineRule="exact"/>
        <w:rPr>
          <w:sz w:val="20"/>
          <w:szCs w:val="20"/>
          <w:color w:val="auto"/>
        </w:rPr>
      </w:pPr>
    </w:p>
    <w:p>
      <w:pPr>
        <w:ind w:left="460" w:hanging="452"/>
        <w:spacing w:after="0" w:line="312" w:lineRule="auto"/>
        <w:tabs>
          <w:tab w:leader="none" w:pos="460" w:val="left"/>
        </w:tabs>
        <w:numPr>
          <w:ilvl w:val="0"/>
          <w:numId w:val="86"/>
        </w:numPr>
        <w:rPr>
          <w:rFonts w:ascii="Arial" w:cs="Arial" w:eastAsia="Arial" w:hAnsi="Arial"/>
          <w:sz w:val="15"/>
          <w:szCs w:val="15"/>
          <w:color w:val="auto"/>
        </w:rPr>
      </w:pPr>
      <w:r>
        <w:rPr>
          <w:rFonts w:ascii="Arial" w:cs="Arial" w:eastAsia="Arial" w:hAnsi="Arial"/>
          <w:sz w:val="15"/>
          <w:szCs w:val="15"/>
          <w:color w:val="auto"/>
        </w:rPr>
        <w:t>Pursuant to a letter agreement entered into with Mr. Jordan in 1999 and subsequently amended on January 1, 2004, Mr. Jordan is entitled to benefits on the same basis as other managing directors and to use, on a priority basis, a corporate apartment in New York. The incremental cost to Lazard of providing Mr. Jordan with use of this apartment was $288,000 in 2009. Mr. Jordan also received a tax gross-up payment of $217,356 as reimbursement for taxes paid on the imputed income from the use of the apartment. In connection with the deferred cash award granted to Mr. Jordan on February 10, 2009, he received an interest payment of $28,125 for the period from the date of the grant through December 31, 2009. Mr. Jordan is also the beneficiary of a Company provided life insurance and excess liability insurance policy, and beginning on August 1, 2009, the Company began to provide long-term disability insurance to Mr. Jordan. In addition, beginning on August 1, 2009, the firm began paying a portion of his health insurance premiums, as it does for all U.S. employees.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3"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The members of Lazard Ltd’s Compensation Committee are Steven J. Heyer, Sylvia Jay and Michael J. Turner. Mr. Wasserstein, our former Chairman and Chief Executive Officer, served as the Chairman and is the majority owner of Wasserstein Holdings, LLC, the ultimate general partner of Wasserstein &amp; Co., LP, a separate merchant banking firm in which Lazard does not hold any economic interest and at which Ellis Jones, who serves on our Board of Directors, serves as Chief Executive Officer. See “Certain Relationships with our Directors, Executive Officers and Employees” below.</w:t>
      </w:r>
    </w:p>
    <w:p>
      <w:pPr>
        <w:spacing w:after="0" w:line="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2009, approximately 74.5% and 25.5% of our common membership interests are held by wholly-owned subsidiaries of Lazard Ltd and by LAZ-MD Holdings, respectively. Our managing member interests are held by two indirect wholly owned subsidiaries of Lazard Ltd and our profit participation interests are held by various managing directors.</w:t>
      </w:r>
    </w:p>
    <w:p>
      <w:pPr>
        <w:spacing w:after="0" w:line="1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8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Pursuant to the corporate governance listing standards of the NYSE, the Board of Directors has adopted standards for determining whether directors have material relationships with Lazard. The standards are set forth on Annex A to Lazard Ltd’s proxy statement. Under these standards, a director employed by Lazard cannot be deemed to be an “independent director,” and consequently Messrs. Jacobs and Jordan are not independent directors of Lazard.</w:t>
      </w:r>
    </w:p>
    <w:p>
      <w:pPr>
        <w:spacing w:after="0" w:line="9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Board has determined that Messrs. Doerfler, Heyer, Jones, Laskawy, Scott, Turner and Lady Jay do not have a material relationship with Lazard under the Board’s standards for independence and accordingly each is independent under the NYSE corporate governance listing standards. In making its independence determinations the Board considered the engagement of Lazard in 2009 by The Hearst Corporation and L’Oreal USA, Inc., a sister company of L’Oreal UK. Mr. Doerfler is the Chief Financial Officer of The Hearst Corporation and Lady Jay is Vice Chairman of L’Oreal UK. In both instances Lazard provided M&amp;A advisory services in the ordinary course of business and the engagements were deemed per se immaterial pursuant to Lazard’s Standards of Director Independence, as set forth on Annex A to the Lazard Ltd proxy statement.</w:t>
      </w:r>
    </w:p>
    <w:p>
      <w:pPr>
        <w:spacing w:after="0" w:line="10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Board also determined that Mr. Mignon was independent, after giving careful consideration to the relationship between Lazard and Natixis, of which Mr. Mignon is the Chief Executive Officer. Natixis is the successor entity in a merger with IXIS Corporate &amp; Investment Bank, which participated as an investor in our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recapitalization transactions in May 2005, purchasing $150 million of our equity security units and 2,000,000 shares of Class A common stock at the IPO price of $25 per share. In May 2008, Natixis acquired 4,999,800 additional shares of Lazard’s Class A common stock upon the settlement of the purchase contracts comprising a portion of our equity security units. In connection with the original investment by Natixis in May 2005, Lazard agreed to nominate one person designated by Natixis to our Board of Directors, currently Mr. Mignon. At the time of our equity public offering, Lazard also had in place a cooperation arrangement with Natixis in France. This cooperation arrangement was originally set to expire during the third quarter of 2008; however, the arrangement continues to be applied in accordance with its general terms pending the outcome of the continuing discussions regarding its formal extension. The cooperation arrangement provides that Lazard Group and Natixis will (1) place and underwrite securities on the French equity primary capital markets under a common brand, “Lazard-Natixis,” and cooperate in their respective origination, syndication and placement activities, (2) form an alliance in real estate advisory work with the objective of establishing a common brand for advisory and financing operations within France, and (3) create an exclusive mutual referral cooperation arrangement, subject to the fiduciary duties of each firm, with the goal of referring clients from Lazard Group to Natixis for services relating to corporate banking, lending, securitizations and derivatives within France and from Natixis to Lazard Group for mergers and acquisitions advisory services within France. In 2009, the cooperation arrangement generated approximately $25.5 million of gross revenue for Natixis and $14.4 million of gross revenue for Lazard. We also received advisory fees in 2009 of $2.1 million with respect to one transaction involving Natixis. In 2008, we received advisory fees of $600,000 with respect to one transaction involving Natixis. In 2007, we received advisory fees of $5.4 million with respect to several transactions involving Natixis and its affiliates. The Board determined, in its business judgment, that these relationships were not material, noting that 2009 gross revenue generated pursuant to the cooperation arrangement and other transactions referenced above were less than 1.1% of Lazard’s gross revenue for 2009 and less than 1.0% of the annual gross revenue of Natixis for 2009. See “Agreement with Natixis and the Wasserstein Family Trusts” and “Certain Relationships with Our Directors, Executive Officers and Employees.”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Related Party Transactions</w:t>
      </w:r>
    </w:p>
    <w:p>
      <w:pPr>
        <w:spacing w:after="0" w:line="83"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Our Board of Directors has adopted a written policy requiring that all “Interested Transactions” (as defined below) be approved or ratified by either the Nominating &amp; Governance Committee of Lazard Ltd or, under certain circumstances, the Chair of the Nominating &amp; Governance Committee of Lazard Ltd. The Nominating &amp; Governance Committee of Lazard Ltd is required to review the material facts of all Interested Transactions that require the Committee’s approval or ratification and either approve or disapprove of the entry into the Interested Transaction. In determining whether to approve or ratify an Interested Transaction, the Nominating &amp; Governance Committee of Lazard Ltd takes into account, among other factors it deems appropriate, whether the Interested Transaction is on terms no less favorable than terms generally available to an unaffiliated third-party under the same or similar circumstances and the extent of the interest of the “Related Party” (as defined below) in the transaction. In addition, the Board of Directors has delegated to the Chair of the Nominating &amp; Governance Committee of Lazard Ltd the authority to pre-approve or ratify (as applicable) any Interested Transaction with a Related Party in which the aggregate amount involved is expected to be less than $1 million. A report is then made to the Nominating &amp; Governance Committee of Lazard Ltd at its next regularly scheduled meeting of each new Interested Transaction pre-approved by the Chair of the Nominating &amp; Governance Committee of Lazard Ltd. Any director who is a Related Party with respect to an Interested Transaction may not participate in any discussion or approval of such Interested Transaction. An “Interested Transaction” is one in which</w:t>
      </w:r>
    </w:p>
    <w:p>
      <w:pPr>
        <w:spacing w:after="0" w:line="4" w:lineRule="exact"/>
        <w:rPr>
          <w:sz w:val="20"/>
          <w:szCs w:val="20"/>
          <w:color w:val="auto"/>
        </w:rPr>
      </w:pPr>
    </w:p>
    <w:p>
      <w:pPr>
        <w:ind w:firstLine="8"/>
        <w:spacing w:after="0" w:line="302" w:lineRule="auto"/>
        <w:tabs>
          <w:tab w:leader="none" w:pos="210" w:val="left"/>
        </w:tabs>
        <w:numPr>
          <w:ilvl w:val="0"/>
          <w:numId w:val="87"/>
        </w:numPr>
        <w:rPr>
          <w:rFonts w:ascii="Arial" w:cs="Arial" w:eastAsia="Arial" w:hAnsi="Arial"/>
          <w:sz w:val="16"/>
          <w:szCs w:val="16"/>
          <w:color w:val="auto"/>
        </w:rPr>
      </w:pPr>
      <w:r>
        <w:rPr>
          <w:rFonts w:ascii="Arial" w:cs="Arial" w:eastAsia="Arial" w:hAnsi="Arial"/>
          <w:sz w:val="16"/>
          <w:szCs w:val="16"/>
          <w:color w:val="auto"/>
        </w:rPr>
        <w:t>we are a participant, (ii) the aggregate amount involved will or may be expected to exceed $120,000, (iii) one of our executive officers, directors, director nominees, 5% shareholders, or their family members (each a “Related Party”) has a direct or indirect material interest in the transaction and (iv) the transaction is required to be disclosed in our Proxy Statement or Annual Report on Form 10-K pursuant to the rules and regulations promulgated by the SEC.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8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On May 10, 2005, we completed a series of financing transactions the net proceeds of which were primarily used to redeem the outstanding Lazard Group membership interests of Lazard Group’s historical partners. In the discussions below, we refer to these financing transactions and the IPO, collectively, as the “recapitalization.” Concurrently, on May 10, 2005, Lazard Group transferred its capital markets business, which consisted of equity, fixed income and convertibles sales and trading, broking, research and underwriting services, its fund management activities outside of France and specified non-operating assets and liabilities, to LFCM Holdings. In the discussions below, we refer to these businesses, assets and liabilities as the “separated businesses” and these transfers collectively as the “separation.”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LAZ-MD Holdings and LFCM Holdings</w:t>
      </w:r>
    </w:p>
    <w:p>
      <w:pPr>
        <w:spacing w:after="0" w:line="8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LAZ-MD Holdings is a significant stockholder of Lazard Ltd. As of December 31, 2009, LAZ-MD Holdings owned approximately 25.5% of the voting power of all shares of Lazard Ltd’s voting stock through its ownership of the Class B common stock and is thereby able to exercise significant influence in the election of Lazard Ltd’s directors. LAZ-MD Holdings’ voting power in Lazard Ltd is intended to mirror its economic interest in Lazard Group, and its voting power will decrease over time in connection with the exchange of the LAZ-MD Holdings exchangeable interests by the current and former working members of Lazard Group for shares of Lazard Ltd’s Class A common stock. The current and former working members of Lazard Group, including our managing directors who held working member interests at the time of the recapitalization, own LAZ-MD Holdings exchangeable interests and, through the LAZ-MD Holdings stockholders’ agreement, have the right to cause LAZ-MD Holdings to vote its Class B common stock on an as-if-exchanged basis.</w:t>
      </w:r>
    </w:p>
    <w:p>
      <w:pPr>
        <w:spacing w:after="0" w:line="10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LFCM Holdings, which is the entity that owns and operates the separated businesses, ceased to be a subsidiary of Lazard Group and LAZ-MD Holdings at the time of the separation. It is owned by current and former working members of Lazard Group, including our managing directors and named executive officers, who</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360"/>
          </w:cols>
          <w:pgMar w:left="240" w:top="459" w:right="2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are members of LAZ-MD Holdings. A managing director of Lazard Frères &amp; Co LLC, a wholly owned subsidiary of Lazard Group, is the chairman of LFCM Holdings. LFCM Holdings reimbursed us $1.5 million for a portion of his salary and bonus in 2009 for services that he rendered to LFCM Holdings as its chairman. In addition, the chairman of Lazard Alternative Investments Holdings LLC (“LAI”), a subsidiary of LFCM Holdings, is our President, Charles G. Ward, III. Mr. Ward does not receive any compensation from LAI for his services as chairman and was appointed to this position to oversee Lazard Group’s interest in LAI pursuant to the business alliance agreement. See “—Business Alliance Agreement.”</w:t>
      </w:r>
    </w:p>
    <w:p>
      <w:pPr>
        <w:spacing w:after="0" w:line="102"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entered into several agreements with Lazard Group, LAZ-MD Holdings and LFCM Holdings to effect the separation and recapitalization transactions and to define and regulate the relationships of the parties. Except as described in this section, we do not have any material arrangements with LAZ-MD Holdings and LFCM Holdings other than ordinary course business relationships on arm’s length terms.</w:t>
      </w:r>
    </w:p>
    <w:p>
      <w:pPr>
        <w:spacing w:after="0" w:line="9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Pursuant to a Prospectus Supplement dated June 2, 2009, certain holders of LAZ-MD exchangeable interests (including certain of our executive officers) exchanged their interests for Lazard Ltd Class A common stock (the “selling shareholders”) and sold 4,000,000 shares of common stock of Lazard Ltd to Goldman, Sachs &amp; Co. (“Goldman Sachs”) at a price of $26.00 per share. In connection with this offering, Lazard Group LLC purchased an additional 1,700,000 shares of Lazard Ltd Class A common stock from the selling shareholders through Goldman Sachs, as agent, at the price of $26.00 per share. In the aggregate, the selling shareholders sold a total of 5,700,000 shares of Lazard Ltd Class A common stock. Lazard Group did not receive any net proceeds from the sale of the Lazard Ltd Class A common stock. The purchase price was agreed upon based upon negotiations between a committee for the selling shareholders and Goldman Sachs. In addition, pursuant to a Prospectus Supplement dated September 8, 2009, certain holders of LAZ-MD exchangeable interests (including certain of our executive officers) exchanged their interests for Lazard Ltd Class A common stock and sold 5,215,921 shares of Lazard Ltd common stock to Goldman Sachs at a price of $37.00 per share. Lazard Group did not receive any net proceeds from the sale of the Lazard Ltd Class A common stock. The purchase price was agreed upon based upon negotiations between a committee for the selling shareholders and Goldman Sachs. Both of these transactions were approved by our Board of Directors.</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Agreements with LAZ-MD Holdings and LFCM Holdings</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have provided below summary descriptions of the master separation agreement and the other key related agreements we entered into with Lazard Group, LAZ-MD Holdings and LFCM Holdings in connection with the separation and recapitalization transactions, as well as any material amendments thereto. These agreements effected the separation and recapitalization transactions and also provide a framework for our ongoing relationship with LAZ-MD Holdings and LFCM Holdings. These agreements include:</w:t>
      </w:r>
    </w:p>
    <w:p>
      <w:pPr>
        <w:spacing w:after="0" w:line="49" w:lineRule="exact"/>
        <w:rPr>
          <w:sz w:val="20"/>
          <w:szCs w:val="20"/>
          <w:color w:val="auto"/>
        </w:rPr>
      </w:pPr>
    </w:p>
    <w:p>
      <w:pPr>
        <w:ind w:left="780" w:hanging="326"/>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master separation agreement,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license agreement,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administrative services agreement,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business alliance agreement,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tax receivable agreement.</w:t>
      </w:r>
    </w:p>
    <w:p>
      <w:pPr>
        <w:spacing w:after="0" w:line="185"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descriptions set forth below, which summarize selected terms of these agreements, are not complete. Copies of these agreements have been filed as exhibits to our Annual Report on Form 10-K and are available to the public from the SEC’s internet site at www.sec.gov.</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Master Separation Agreement</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May 10, 2005, Lazard Ltd entered into the master separation agreement with Lazard Group, LAZ-MD Holdings and LFCM Holdings. The master separation agreement contains key provisions relating to the separation and recapitalization transactions and the relationship among the parties after completion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separation and recapitalization. The master separation agreement identified the assets, liabilities and businesses of Lazard Group that were transferred to LFCM Holdings in connection with the separation and recapitalization and described when and how the separation and recapitalization occurred. In addition, the master separation agreement continues to regulate aspects of the relationship among the parties, including the exchange mechanics of the LAZ-MD Holdings exchangeable interests.</w:t>
      </w:r>
    </w:p>
    <w:p>
      <w:pPr>
        <w:spacing w:after="0" w:line="13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i w:val="1"/>
          <w:iCs w:val="1"/>
          <w:color w:val="auto"/>
        </w:rPr>
        <w:t xml:space="preserve">Relationship Among Lazard Ltd, Lazard Group, LAZ-MD Holdings and LFCM Holdings. </w:t>
      </w:r>
      <w:r>
        <w:rPr>
          <w:rFonts w:ascii="Arial" w:cs="Arial" w:eastAsia="Arial" w:hAnsi="Arial"/>
          <w:sz w:val="18"/>
          <w:szCs w:val="18"/>
          <w:color w:val="auto"/>
        </w:rPr>
        <w:t>The master separation agreement contains various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governing the relationship among Lazard Ltd, Lazard Group, LAZ-MD Holdings and LFCM Holdings after the separation and recapitalization, including with respect to the following matters.</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Limitation on Scope of LAZ-MD Holdings’ Operations. </w:t>
      </w:r>
      <w:r>
        <w:rPr>
          <w:rFonts w:ascii="Arial" w:cs="Arial" w:eastAsia="Arial" w:hAnsi="Arial"/>
          <w:sz w:val="18"/>
          <w:szCs w:val="18"/>
          <w:color w:val="auto"/>
        </w:rPr>
        <w:t>The master separation agreement provides that LAZ-MD Holdings will not engage in any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to act as the holding company for the working members’ interests in Lazard Group and Lazard Ltd’s Class B common stock and actions incidental thereto, except as otherwise agreed by Lazard Ltd.</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Parity of Lazard Group Common Membership Interests and Lazard Ltd’s common stock. </w:t>
      </w:r>
      <w:r>
        <w:rPr>
          <w:rFonts w:ascii="Arial" w:cs="Arial" w:eastAsia="Arial" w:hAnsi="Arial"/>
          <w:sz w:val="16"/>
          <w:szCs w:val="16"/>
          <w:color w:val="auto"/>
        </w:rPr>
        <w:t>The master separation agreement sets forth the intention of Lazard</w:t>
      </w:r>
      <w:r>
        <w:rPr>
          <w:rFonts w:ascii="Arial" w:cs="Arial" w:eastAsia="Arial" w:hAnsi="Arial"/>
          <w:sz w:val="16"/>
          <w:szCs w:val="16"/>
          <w:i w:val="1"/>
          <w:iCs w:val="1"/>
          <w:color w:val="auto"/>
        </w:rPr>
        <w:t xml:space="preserve"> </w:t>
      </w:r>
      <w:r>
        <w:rPr>
          <w:rFonts w:ascii="Arial" w:cs="Arial" w:eastAsia="Arial" w:hAnsi="Arial"/>
          <w:sz w:val="16"/>
          <w:szCs w:val="16"/>
          <w:color w:val="auto"/>
        </w:rPr>
        <w:t>Group and Lazard Ltd that the number of Lazard Group common membership interests held by Lazard Ltd (or its subsidiaries) will at all times be equal in number to the number of outstanding shares of Lazard Ltd’s common stock, subject to customary anti-dilution adjustments.</w:t>
      </w:r>
    </w:p>
    <w:p>
      <w:pPr>
        <w:spacing w:after="0" w:line="9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The master separation agreement sets forth the intention of Lazard Group to reimburse Lazard Ltd for its costs and expenses incurred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course of business.</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LAZ-MD Holdings Exchangeable Interests. </w:t>
      </w:r>
      <w:r>
        <w:rPr>
          <w:rFonts w:ascii="Arial" w:cs="Arial" w:eastAsia="Arial" w:hAnsi="Arial"/>
          <w:sz w:val="18"/>
          <w:szCs w:val="18"/>
          <w:color w:val="auto"/>
        </w:rPr>
        <w:t>The master separation agreement sets forth the terms and arrangements with respect to the LAZ-MD Holdings</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exchangeable interests, including the exchange rate and timing of exchangeability of those interests.</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 xml:space="preserve">Indemnification. </w:t>
      </w:r>
      <w:r>
        <w:rPr>
          <w:rFonts w:ascii="Arial" w:cs="Arial" w:eastAsia="Arial" w:hAnsi="Arial"/>
          <w:sz w:val="16"/>
          <w:szCs w:val="16"/>
          <w:color w:val="auto"/>
        </w:rPr>
        <w:t>In general, under the master separation agreement, Lazard Group indemnifies LFCM Holdings, LAZ-MD Holdings and their respective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representatives and affiliates for any and all losses (including tax losses) that such persons incur to the extent arising out of or relating to our business (both historically and in the future) and any and all losses that LFCM Holdings, LAZ-MD Holdings and their respective representatives and affiliates incur arising out of or relating to any breach of the master separation agreement by Lazard Group or Lazard Ltd.</w:t>
      </w:r>
    </w:p>
    <w:p>
      <w:pPr>
        <w:spacing w:after="0" w:line="9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general, under the master separation agreement, LFCM Holdings indemnifies Lazard Ltd, Lazard Group, LAZ-MD Holdings and their respective representatives and affiliates for any and all losses (including tax losses) that such persons incur arising out of or relating to the separated businesses and the businesses conducted by LFCM Holdings (both historically and in the future) and any and all losses that Lazard Ltd, Lazard Group, LAZ-MD Holdings and their respective representatives or affiliates incur arising out of or relating to any breach of the master separation agreement by LFCM Holdings.</w:t>
      </w:r>
    </w:p>
    <w:p>
      <w:pPr>
        <w:spacing w:after="0" w:line="9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general, under the master separation agreement, LAZ-MD Holdings indemnifies Lazard Ltd, Lazard Group, LFCM Holdings and their respective representatives and affiliates for any and all losses that such persons incur to the extent arising out of or relating to any breach of the master separation agreement by LAZ-MD Holdings.</w:t>
      </w:r>
    </w:p>
    <w:p>
      <w:pPr>
        <w:spacing w:after="0" w:line="12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Any indemnification amounts are reduced by any insurance proceeds and other offsetting amounts recovered by the indemnitee. The master separation agreement specifies procedures with respect to claims subject to indemnification and related matters.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380"/>
          </w:cols>
          <w:pgMar w:left="240" w:top="460" w:right="2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Other Provisions. </w:t>
      </w:r>
      <w:r>
        <w:rPr>
          <w:rFonts w:ascii="Arial" w:cs="Arial" w:eastAsia="Arial" w:hAnsi="Arial"/>
          <w:sz w:val="18"/>
          <w:szCs w:val="18"/>
          <w:color w:val="auto"/>
        </w:rPr>
        <w:t>The master separation agreement also contains provisions governing the sharing of information between Lazard Ltd and Lazard Group,</w:t>
      </w:r>
      <w:r>
        <w:rPr>
          <w:rFonts w:ascii="Arial" w:cs="Arial" w:eastAsia="Arial" w:hAnsi="Arial"/>
          <w:sz w:val="18"/>
          <w:szCs w:val="18"/>
          <w:i w:val="1"/>
          <w:iCs w:val="1"/>
          <w:color w:val="auto"/>
        </w:rPr>
        <w:t xml:space="preserve"> </w:t>
      </w:r>
      <w:r>
        <w:rPr>
          <w:rFonts w:ascii="Arial" w:cs="Arial" w:eastAsia="Arial" w:hAnsi="Arial"/>
          <w:sz w:val="18"/>
          <w:szCs w:val="18"/>
          <w:color w:val="auto"/>
        </w:rPr>
        <w:t>on the one hand, and LAZ-MD Holdings and LFCM Holdings, on the other hand.</w:t>
      </w:r>
    </w:p>
    <w:p>
      <w:pPr>
        <w:spacing w:after="0" w:line="118" w:lineRule="exact"/>
        <w:rPr>
          <w:sz w:val="20"/>
          <w:szCs w:val="20"/>
          <w:color w:val="auto"/>
        </w:rPr>
      </w:pPr>
    </w:p>
    <w:p>
      <w:pPr>
        <w:ind w:right="700" w:firstLine="456"/>
        <w:spacing w:after="0" w:line="259" w:lineRule="auto"/>
        <w:rPr>
          <w:sz w:val="20"/>
          <w:szCs w:val="20"/>
          <w:color w:val="auto"/>
        </w:rPr>
      </w:pPr>
      <w:r>
        <w:rPr>
          <w:rFonts w:ascii="Arial" w:cs="Arial" w:eastAsia="Arial" w:hAnsi="Arial"/>
          <w:sz w:val="18"/>
          <w:szCs w:val="18"/>
          <w:color w:val="auto"/>
        </w:rPr>
        <w:t>On November 6, 2006, Lazard Ltd, Lazard Group and LAZ-MD Holdings entered into Amendment No. 1 to the master separation agreement (the “amendment”). The amendment modified the provisions of the master separation agreement relating to the exchange terms of the LAZ-MD Holdings exchangeable interests. The modifications included the following:</w:t>
      </w:r>
    </w:p>
    <w:p>
      <w:pPr>
        <w:spacing w:after="0" w:line="46" w:lineRule="exact"/>
        <w:rPr>
          <w:sz w:val="20"/>
          <w:szCs w:val="20"/>
          <w:color w:val="auto"/>
        </w:rPr>
      </w:pPr>
    </w:p>
    <w:p>
      <w:pPr>
        <w:ind w:left="780" w:right="140" w:hanging="326"/>
        <w:spacing w:after="0" w:line="268" w:lineRule="auto"/>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exchange of LAZ-MD Holdings exchangeable interests may be conditioned upon the actual sale of all or any portion (such amount designated by the holder) of the LAZ-MD Holdings exchangeable interests in connection with a registered offering.</w:t>
      </w:r>
    </w:p>
    <w:p>
      <w:pPr>
        <w:spacing w:after="0" w:line="37" w:lineRule="exact"/>
        <w:rPr>
          <w:rFonts w:ascii="Arial" w:cs="Arial" w:eastAsia="Arial" w:hAnsi="Arial"/>
          <w:sz w:val="18"/>
          <w:szCs w:val="18"/>
          <w:color w:val="auto"/>
        </w:rPr>
      </w:pPr>
    </w:p>
    <w:p>
      <w:pPr>
        <w:ind w:left="780" w:right="60" w:hanging="326"/>
        <w:spacing w:after="0" w:line="259" w:lineRule="auto"/>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Holders of LAZ-MD Holdings exchangeable interests that are then exchangeable may exchange these interests not only at annual registration periods but also in connection with demand and piggy-back registration opportunities and during window periods after the filing of selected Quarterly Reports on Form 10-Q and Annual Reports on Form 10-K by Lazard Ltd.</w:t>
      </w:r>
    </w:p>
    <w:p>
      <w:pPr>
        <w:spacing w:after="0" w:line="45" w:lineRule="exact"/>
        <w:rPr>
          <w:rFonts w:ascii="Arial" w:cs="Arial" w:eastAsia="Arial" w:hAnsi="Arial"/>
          <w:sz w:val="18"/>
          <w:szCs w:val="18"/>
          <w:color w:val="auto"/>
        </w:rPr>
      </w:pPr>
    </w:p>
    <w:p>
      <w:pPr>
        <w:ind w:left="780" w:right="140" w:hanging="326"/>
        <w:spacing w:after="0" w:line="335" w:lineRule="auto"/>
        <w:tabs>
          <w:tab w:leader="none" w:pos="780" w:val="left"/>
        </w:tabs>
        <w:numPr>
          <w:ilvl w:val="0"/>
          <w:numId w:val="89"/>
        </w:numPr>
        <w:rPr>
          <w:rFonts w:ascii="Arial" w:cs="Arial" w:eastAsia="Arial" w:hAnsi="Arial"/>
          <w:sz w:val="15"/>
          <w:szCs w:val="15"/>
          <w:color w:val="auto"/>
        </w:rPr>
      </w:pPr>
      <w:r>
        <w:rPr>
          <w:rFonts w:ascii="Arial" w:cs="Arial" w:eastAsia="Arial" w:hAnsi="Arial"/>
          <w:sz w:val="15"/>
          <w:szCs w:val="15"/>
          <w:color w:val="auto"/>
        </w:rPr>
        <w:t>In addition to requiring the consent of Lazard Ltd, Lazard Group and LAZ-MD Holdings to amend the exchangeability provisions, any amendment that materially and adversely impacts the rights of any holder thereunder requires the consent of such holder or it will not apply to such person unless such amendment applies to and affects the rights of all holders equally, regardless of whether or not such person is providing services to Lazard Ltd.</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Lazard License Agreement</w:t>
      </w:r>
    </w:p>
    <w:p>
      <w:pPr>
        <w:spacing w:after="0" w:line="7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logo, trademarks, trade names and service marks of Lazard are currently property of various wholly-owned subsidiaries of Lazard Group. Pursuant to the master separation agreement, Lazard Group and those subsidiaries entered into a license agreement with LFCM Holdings that governs the use of the Lazard and LF names by LFCM Holdings in connection with the separated businesses.</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general, LFCM Holdings is permitted to use the Lazard and LF names to the extent that the Lazard name was being used at the time of the separation and recapitalization by the separated businesses and is permitted to use the LF name solely for the use of the name LFCM Holdings LLC in its capacity as a holding company for the separated businesses. Under the agreement, LFCM Holdings pays $100,000 per year for the right to license the Lazard name. The license survives with respect to capital markets activities until the expiration or termination of the business alliance provided for in the business alliance agreement that LFCM Holdings entered into with Lazard Group. With respect to alternative investment (including private equity) activities, LFCM Holdings’ license survives until the earlier of the expiration, termination or closing of the options to purchase the North American and European fund management activities, granted in the business alliance agreement, as described in “—Business Alliance Agreement”, or until the business alliance agreement is terminated. The license for the LF name in LFCM Holdings LLC may be terminated by either party for any reason after the license with respect to the capital markets business and the license for the alternative investment activities have both expired or been terminated. Upon termination of either the license with respect to the capital markets business or the license for the alternative investment activities, the license fee for the calendar year following the termination and each year thereafter will be $75,000 per year. If both of those licenses are terminated, the license fee for the calendar year following the termination and each year thereafter will be $25,000 per year.</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entered into an administrative services agreement with LAZ-MD Holdings and LFCM Holdings regarding the provision of administrative and support services after the separation and recapitalization.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the administrative services agreement, Lazard Group provides selected administrative and support services to LAZ-MD Holdings and LFCM Holdings, such as:</w:t>
      </w:r>
    </w:p>
    <w:p>
      <w:pPr>
        <w:spacing w:after="0" w:line="37" w:lineRule="exact"/>
        <w:rPr>
          <w:sz w:val="20"/>
          <w:szCs w:val="20"/>
          <w:color w:val="auto"/>
        </w:rPr>
      </w:pPr>
    </w:p>
    <w:p>
      <w:pPr>
        <w:ind w:left="780" w:hanging="326"/>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cash management and debt service administration,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accounting and financing activities,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tax,</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payroll,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human resources administration,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financial transaction support,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information technology,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public communications,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data processing,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procurement,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real estate management,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other general administrative functions.</w:t>
      </w:r>
    </w:p>
    <w:p>
      <w:pPr>
        <w:spacing w:after="0" w:line="185"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Lazard Group charges LFCM Holdings for the above services based on Lazard Group’s cost allocation methodology. Notwithstanding Lazard Group’s providing data processing services, Lazard Group does not provide any security administration services, as such services were transferred to LFCM Holdings.</w:t>
      </w:r>
    </w:p>
    <w:p>
      <w:pPr>
        <w:spacing w:after="0" w:line="4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the administrative services agreement, Lazard Group also provides tax services to LAZ-MD Holdings and LFCM Holdings provides security administrative services to Lazard Group.</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services provided by Lazard Group to LFCM Holdings, and by LFCM Holdings to Lazard Group, under the administrative services agreement generally were to be provided until December 31, 2008, and were subject to automatic annual renewal, unless either party gives 180 days notice of termination. As of December 31, 2009, neither party has given notice of termination, and the agreement has been automatically renewed for an additional one year period. LFCM Holdings and Lazard Group have a right to terminate the services earlier if there is a change of control of either party or the business alliance provided in the business alliance agreement expires or is terminated. The party receiving a service may also terminate a service earlier upon 180 days’ notice as long as such receiving party pays the service provider an additional 3 months of service fee for the terminated service. The services provided by Lazard Group to LAZ-MD Holdings will generally be provided until December 31, 2014, unless terminated earlier because of a change of control of either party. See Note 22 of Notes to the Consolidated Financial Statements contained in Lazard’s 2009 Annual Report on Form 10-K for a discussion of payments made in 2009 under the administrative services agreement.</w:t>
      </w:r>
    </w:p>
    <w:p>
      <w:pPr>
        <w:spacing w:after="0" w:line="10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in connection with the various agreements entered into in connection with the CP II MgmtCo Spin-Off, Lazard Group agreed to provide certain specified services to LFCM Holdings (which, in turn, LFCM Holdings may provide to CP II MgmtCo) pursuant to the administrative services agreement and to generally not terminate such specified services until June 30, 2010. See “—Business Alliance Agreement” for a discussion of the CP II MgmtCo Spin-Off.</w:t>
      </w:r>
    </w:p>
    <w:p>
      <w:pPr>
        <w:spacing w:after="0" w:line="9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the absence of gross negligence or willful misconduct, the party receiving services under the administrative services agreement waives any rights and claims it may have against the service provider in respect of any services provided under the administrative services agreement.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Alliance Agreement</w:t>
      </w:r>
    </w:p>
    <w:p>
      <w:pPr>
        <w:spacing w:after="0" w:line="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Lazard Group and LFCM Holdings entered into a business alliance agreement that provides for the continuation of Lazard Group’s and LFCM Holdings’ business relationships in the areas and on the terms summarized below.</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business alliance agreement provides that Lazard Group will refer to LFCM Holdings selected opportunities for underwriting and distribution of securities. In addition, Lazard Group will provide assistance in the execution of any such referred business. In exchange for this referral obligation and assistance, Lazard Group is entitled to a referral fee from LFCM Holdings equal to approximately half of the revenue obtained by LFCM Holdings in respect of any underwriting or distribution opportunity. In addition, LFCM Holdings will refer opportunities in the Financial Advisory and Asset Management businesses to Lazard Group. In exchange for this referral, LFCM Holdings is entitled to a customary finders’ fee from Lazard Group. In addition, the business alliance agreement further provides that, during the term of the business alliance, Lazard Frères &amp; Co. LLC and LAM Securities will introduce execution and settlement transactions to newly formed broker-dealer entities affiliated with LFCM Holdings. The term of the business alliance expires on May 10, 2010, subject to periodic automatic renewal, unless either party elects to terminate in connection with any such renewal or elects to terminate on account of a change of control of either party. See Note 22 of Notes to the Consolidated Financial Statements contained in Lazard’s 2009 Annual Report on Form 10-K for a discussion of payments made in 2009 under the business alliance agreement.</w:t>
      </w:r>
    </w:p>
    <w:p>
      <w:pPr>
        <w:spacing w:after="0" w:line="109"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In addition, the business alliance agreement granted Lazard Group options to acquire the North American and European fund management activities of Lazard Alternative Investments Holdings LLC, or “LAI,” the subsidiary of LFCM Holdings that owns and operates LFCM Holdings’ alternative investment activities. On December 15, 2009, Lazard Group exercised its option to acquire the European fund management activities of LAI for a purchase price of $2 million. This transaction was approved by the Nominating &amp; Governance Committee pursuant to our policy on related party transactions.</w:t>
      </w:r>
    </w:p>
    <w:p>
      <w:pPr>
        <w:spacing w:after="0" w:line="99"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The remaining option to purchase the North American fund management activities is currently exercisable at any time prior to May 10, 2014 for a purchase price of $2.5 million. This reflects a reduction of $1.5 million due to the payment of a like amount to LFCM Holdings in February 2008 in connection with the initial public offering of Sapphire Industrials Corp., a special purpose acquisition company formed by a subsidiary of Lazard Group and a reduction of $4 million due to the payment of a like amount in February 2009 to LFCM Holdings in connection with the CP II MgmtCo Spin-Off and the amendments to the business alliance agreement described below. In addition to the option price reduction, the $1.5 million payment was made in exchange for an agreement by LFCM Holdings not to assert certain claims that it may believe that it had under the business alliance agreement following the initial public offering of Sapphire. LAI’s fund management activities initially consisted of fund management and general partner entities that were transferred to LFCM Holdings in connection with the separation. The business alliance agreement provides that, prior to the expiration, termination or exercise of the options, Lazard Group has certain governance rights with respect to LAI, and LFCM Holdings is required to support the business of LAI. Lazard Group may agree to new capital commitments and other obligations with respect to newly formed funds in its sole discretion. Lazard Group may be entitled to receive from LFCM Holdings all or a portion of payments from the incentive fees attributable to newly established LAI funds less compensation payable to investment professionals who manage these funds. In addition, Lazard Group is obligated to abide by obligations that existed as of the date of the separation and recapitalization with respect to funds existing as of such date. In February 2009, pursuant to agreements entered into by us, a subsidiary of LAI (“LAI North America”), LFCM Holdings and the investment professionals who manage Corporate Partners II Limited (“CP II”), equity ownership of the management company of CP II (“CP II MgmtCo”) was transferred from LAI North America investment professionals who manage CP II (the “CP II MgmtCo Spin-Off”). In connection with the CP II MgmtCo Spin-Off, Lazard Group made a $4 million cash payment to LFCM Holdings. In consideration for this payment, the business alliance agreement was amended to remove any restriction on Lazard Group engaging in private equity businesses in North America and to reduce the price of our option to acquire the fund management activities of LAI in North America from $6.5 million to $2.5 million. See Note 10</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of Notes to the Consolidated Financial Statements contained in Lazard’s 2009 Annual Report on Form 10-K for a further discussion of the CP II MgmtCo Spin-Off.</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Pursuant to the business alliance agreement, LFCM Holdings agreed not to compete with any existing Lazard Group businesses until the latest to occur of the termination of the license agreement, the expiration, termination or exercise of the options to purchase the North American merchant banking activities and the European merchant banking activities or the expiration or termination of the business alliance.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LAZ-MD Holdings Stockholders’ Agreement</w:t>
      </w:r>
    </w:p>
    <w:p>
      <w:pPr>
        <w:spacing w:after="0" w:line="8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Members of LAZ-MD Holdings, consisting of the current and former working members of Lazard Group, including our managing directors and named executive officers, have entered into a stockholders’ agreement with LAZ-MD Holdings and Lazard Ltd that addresses, among other things, LAZ-MD Holdings’ voting of its share of Class B common stock and registration rights in favor of the shareholders who are party to the agreement. Every working member at the time of the separation and recapitalization was offered the opportunity to become a party to the LAZ-MD Holdings stockholders’ agreement.</w:t>
      </w:r>
    </w:p>
    <w:p>
      <w:pPr>
        <w:spacing w:after="0" w:line="9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LAZ-MD Holdings stockholders’ agreement will continue in effect until all LAZ-MD Holdings exchangeable interests have been exchanged for shares of Lazard Ltd’s common stock, and individual members of LAZ-MD Holdings will cease being party to the LAZ-MD Holdings stockholders’ agreement upon full exchange of his or her LAZ-MD Holdings exchangeable interests and underlying Lazard Group interests for Lazard Ltd’s common stock and such common stock is capable of resale generally under Rule 144 of the Securities Act of 1933, as amended (the “Securities Act”). The LAZ-MD Holdings stockholders’ agreement may be terminated on an earlier date by LAZ-MD Holdings members entitled to vote at least 66 2/3% of the aggregate voting power represented by the LAZ-MD Holdings members who are party to the LAZ-MD Holdings stockholders’ agreement. The LAZ-MD Holdings stockholders’ agreement generally may be amended at any time by a majority of the aggregate voting power represented by LAZ-MD Holdings members who are party to the LAZ-MD Holdings stockholders’ agreement.</w:t>
      </w:r>
    </w:p>
    <w:p>
      <w:pPr>
        <w:spacing w:after="0" w:line="10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November 6, 2006, Lazard Group delivered to LAZ-MD Holdings an acknowledgement letter (the “acknowledgement letter”) modifying the terms of the retention agreements of persons party to the amended and restated LAZ-MD stockholders’ agreement who were at that time current managing directors. The modifications include Lazard Group’s agreement that, in the event that any such person shall become entitled to exchangeability immediately following the third anniversary of the initial equity public offering, or May 10, 2008, of his or her LAZ-MD Holdings exchangeable interests, that person will not forfeit the right to early exchangeability with respect to the first tranche of his or her LAZ-MD Holdings exchangeable interests if he or she breaches the restrictive covenants (</w:t>
      </w:r>
      <w:r>
        <w:rPr>
          <w:rFonts w:ascii="Arial" w:cs="Arial" w:eastAsia="Arial" w:hAnsi="Arial"/>
          <w:sz w:val="16"/>
          <w:szCs w:val="16"/>
          <w:i w:val="1"/>
          <w:iCs w:val="1"/>
          <w:color w:val="auto"/>
        </w:rPr>
        <w:t>i.e.</w:t>
      </w:r>
      <w:r>
        <w:rPr>
          <w:rFonts w:ascii="Arial" w:cs="Arial" w:eastAsia="Arial" w:hAnsi="Arial"/>
          <w:sz w:val="16"/>
          <w:szCs w:val="16"/>
          <w:color w:val="auto"/>
        </w:rPr>
        <w:t>, non-compete and non-solicitation provisions) in the retention agreement of such individual (although shares in the second and third tranches that would otherwise become exchangeable would not be exchangeable until the eighth anniversary of our equity public offering (May 10, 2013) in such an instance). The terms of the acknowledgement letter were approved by our Board of Directors.</w:t>
      </w:r>
    </w:p>
    <w:p>
      <w:pPr>
        <w:spacing w:after="0" w:line="10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Registration Rights. </w:t>
      </w:r>
      <w:r>
        <w:rPr>
          <w:rFonts w:ascii="Arial" w:cs="Arial" w:eastAsia="Arial" w:hAnsi="Arial"/>
          <w:sz w:val="18"/>
          <w:szCs w:val="18"/>
          <w:color w:val="auto"/>
        </w:rPr>
        <w:t>On November 6, 2006, the LAZ-MD Holdings stockholders’ agreement was amended and restated. The amended and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agreement modified in certain respects the terms of the registration rights granted to holders of the LAZ-MD Holdings exchangeable interests who are party to that agreement.</w:t>
      </w:r>
    </w:p>
    <w:p>
      <w:pPr>
        <w:spacing w:after="0" w:line="12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amended and restated LAZ-MD Holdings stockholders’ agreement provides that the holders of shares of Lazard Ltd’s common stock already issued or to be issued upon exchange of the LAZ-MD Holdings exchangeable interests or the Lazard Group common membership interests currently held by LAZ-MD Holdings will be granted registration rights. These shares we refer to as “registrable securities,” and the holders of these registrable securities we refer to as “holders.” The holders are third-party beneficiaries for that purpose under the amended and restated LAZ-MD Holdings stockholders’ agreement, meaning that they will have the right to request LAZ-MD Holdings to compel Lazard Ltd to honor those obligations under the amended and restated LAZ-MD Holdings stockholders’ agreement.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amended and restated LAZ-MD Holdings stockholders’ agreement provides that, after exchange for shares of Lazard Ltd’s common stock, each holder is entitled to unlimited “piggyback” registration rights, meaning that each holder can include his or her registrable securities in registration statements filed by Lazard Ltd, subject to certain limitations. Holders also have “demand” registration rights, meaning that, subject to certain limitations, after exchange for shares of Lazard Ltd’s common stock, they may require us to register the registrable securities held by them, provided that the minimum number of registrable securities necessary to effect a “demand” registration is the lesser of (1) the number of shares having a market value in excess of $50 million at such time (or $20 million after the ninth anniversary of our equity public offering (May 10, 2014)) or (2) 2,000,000 shares of our common stock. Lazard Ltd will pay the costs associated with all such registrations. Moreover, Lazard Ltd also will use its reasonable best efforts to file and make effective a registration statement on the third through the ninth anniversaries of the separation and recapitalization, in order to register registrable securities that were issued on those anniversaries or otherwise subject to continuing volume or transfer restrictions under Rule 144 of the Securities Act upon the exchange of the LAZ-MD Holdings exchangeable interests and the Lazard Group common membership interests, provided that the amount of registrable securities subject to such registration constitutes at least $50 million of shares of Lazard Ltd’s outstanding common stock.</w:t>
      </w:r>
    </w:p>
    <w:p>
      <w:pPr>
        <w:spacing w:after="0" w:line="114"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Shares of Lazard Ltd’s common stock will cease to be registrable securities upon the consummation of any sale of such shares pursuant to an effective registration statement or under Rule 144 of the Securities Act or when they become eligible for sale under Rule 144 of the Securities Act. However, any holder who has shares that would have been registrable securities but for their eligibility for sale under Rule 144 and who holds, in the aggregate, an amount of registrable securities with a market value in excess of $25 million of Lazard Ltd’s outstanding common stock will be entitled to continued demand, annual registration and piggyback registration rights as described above.</w:t>
      </w:r>
    </w:p>
    <w:p>
      <w:pPr>
        <w:spacing w:after="0" w:line="12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Any amendments to the registration rights provisions of the amended and restated stockholders’ agreement shall require the affirmative approval of holders holding two-thirds of the shares of Lazard Ltd common stock covered under the amended and restated stockholders’ agreement in addition to the consent of Lazard Ltd and LAZ-MD Holdings, and any amendment that materially and adversely impacts the rights of any holder under the amended and restated stockholders’ agreement will also require the consent of such holder or it will not apply to such person unless such amendment applies to and affects the rights of all holders equally, regardless of whether or not such person is providing services to Lazard Ltd.</w:t>
      </w:r>
    </w:p>
    <w:p>
      <w:pPr>
        <w:spacing w:after="0" w:line="10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Each holder of registrable securities party to the amended and restated stockholders’ agreement may enforce his or her registration rights directly against Lazard Ltd, although LAZ-MD Holdings may elect to assume, seek and conduct the enforcement of any claims itself on behalf of such holder.</w:t>
      </w:r>
    </w:p>
    <w:p>
      <w:pPr>
        <w:spacing w:after="0" w:line="7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expect that substantially all of Lazard Ltd’s common stock to be issued upon exchange of the LAZ-MD Holdings exchangeable interests will have the foregoing registration rights.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Prior to any vote of the shareholders of Lazard Ltd, the LAZ-MD Holdings stockholders’ agreement requires a separate, preliminary vote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members of LAZ-MD Holdings who are party to the LAZ-MD Holdings stockholders’ agreement (either by a meeting or by proxy or written instruction of the members of LAZ-MD Holdings) on each matter upon which a vote of the shareholders is proposed to be taken. Pursuant to the LAZ-MD Holdings stockholders’ agreement, members of LAZ-MD Holdings holding LAZ-MD exchangeable interests who are party to that agreement are individually entitled to direct LAZ-MD Holdings how to vote their proportionate interest in Lazard Ltd’s Class B common stock on an as-if-exchanged basis. For example, if a current or former working member’s LAZ-MD Holdings exchangeable interests were exchangeable for 1,000 shares of Lazard Ltd’s common stock, that working member would be able to instruct LAZ-MD Holdings how to vote 1,000 of the votes represented by the Class B common stock. However, the LAZ-MD Holdings Board of Directors has the ability to vote the voting interest represented by the Class B common stock in its discretion if the LAZ-MD Holdings Board of Directors determines that it is in the best interests of LAZ-MD Holdings.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votes under the Class B common stock that are associated with any current or former working member who does not direct LAZ-MD Holdings how to vote on a particular matter will be abstained from voting. The terms of the LAZ-MD Holdings stockholders’ agreement with respect to voting continue to apply to any party to the LAZ-MD Holdings stockholders’ agreement who receives Lazard Group common membership interests upon exchange of his or her LAZ-MD Holdings exchangeable interests, until such time as that holder exchanges all of his or her Lazard Group common membership interests for shares of Lazard Ltd’s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with Our Directors, Executive Officers and Employees</w:t>
      </w:r>
    </w:p>
    <w:p>
      <w:pPr>
        <w:spacing w:after="0" w:line="8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Laurent Mignon, a member of our Board of Directors, is the Chief Executive Officer of Natixis. In April 2004, Lazard Group and Natixis (as the successor to IXIS Corporate &amp; Investment Bank) entered into a cooperation arrangement to place and underwrite securities on the French equity primary capital markets under a common brand, “Lazard-Natixis” (formerly “Lazard-Ixis”), and cooperate in their respective origination, syndication and placement activities. This cooperation covers French listed companies exceeding a market capitalization of €500 million. On March 15, 2005, Lazard Group and Natixis expanded this arrangement into an exclusive arrangement within France. The cooperation arrangement also provides for an alliance in real estate advisory work with the objective of establishing a common brand for advisory and financing operations within France. It also added an exclusive mutual referral cooperation arrangement, subject to the fiduciary duties of each firm, with the goal of referring clients from Lazard Group to Natixis for services relating to corporate banking, lending, securitizations and derivatives within France and from Natixis to Lazard Group for mergers and acquisitions advisory services within France. This expanded cooperation arrangement was set to expire during the third quarter of 2008, however, the arrangement continues to be applied in accordance with its general terms pending the outcome of the currently ongoing discussions regarding its formal extension. In 2009, the cooperation arrangement generated $14.4 million of gross revenue for Lazard.</w:t>
      </w:r>
    </w:p>
    <w:p>
      <w:pPr>
        <w:spacing w:after="0" w:line="1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of Independent Registered Public Accounting Firm</w:t>
      </w:r>
    </w:p>
    <w:p>
      <w:pPr>
        <w:spacing w:after="0" w:line="8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For the fiscal years ended December 31, 2009 and 2008, fees for services provided by Deloitte &amp; Touche LLP, the member firms of Deloitte Touche Tohmatsu and their respective affiliates were as follows (in thousands of dollars):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720" w:type="dxa"/>
            <w:vAlign w:val="bottom"/>
            <w:gridSpan w:val="2"/>
          </w:tcPr>
          <w:p>
            <w:pPr>
              <w:spacing w:after="0"/>
              <w:rPr>
                <w:sz w:val="20"/>
                <w:szCs w:val="20"/>
                <w:color w:val="auto"/>
              </w:rPr>
            </w:pPr>
            <w:r>
              <w:rPr>
                <w:rFonts w:ascii="Arial" w:cs="Arial" w:eastAsia="Arial" w:hAnsi="Arial"/>
                <w:sz w:val="14"/>
                <w:szCs w:val="14"/>
                <w:b w:val="1"/>
                <w:bCs w:val="1"/>
                <w:color w:val="auto"/>
              </w:rPr>
              <w:t>Fees</w:t>
            </w:r>
          </w:p>
        </w:tc>
        <w:tc>
          <w:tcPr>
            <w:tcW w:w="6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2009</w:t>
            </w:r>
          </w:p>
        </w:tc>
        <w:tc>
          <w:tcPr>
            <w:tcW w:w="94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7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1"/>
              </w:rPr>
              <w:t xml:space="preserve">Audit Fees </w:t>
            </w:r>
            <w:r>
              <w:rPr>
                <w:rFonts w:ascii="Arial" w:cs="Arial" w:eastAsia="Arial" w:hAnsi="Arial"/>
                <w:sz w:val="18"/>
                <w:szCs w:val="18"/>
                <w:color w:val="auto"/>
                <w:w w:val="91"/>
              </w:rPr>
              <w:t>for the audit of Lazard’s annual financial statements, the audit of the effectiveness of Lazard’s controls over</w:t>
            </w:r>
          </w:p>
        </w:tc>
        <w:tc>
          <w:tcPr>
            <w:tcW w:w="2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financial reporting and reviews of the financial statements included in Lazard’s quarterly reports on Form 10-Q,</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6,250</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6,310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including services in connection with statutory and regulatory filings or engagements</w:t>
            </w:r>
          </w:p>
        </w:tc>
        <w:tc>
          <w:tcPr>
            <w:tcW w:w="22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8720" w:type="dxa"/>
            <w:vAlign w:val="bottom"/>
            <w:gridSpan w:val="2"/>
          </w:tcPr>
          <w:p>
            <w:pPr>
              <w:spacing w:after="0"/>
              <w:rPr>
                <w:sz w:val="20"/>
                <w:szCs w:val="20"/>
                <w:color w:val="auto"/>
              </w:rPr>
            </w:pPr>
            <w:r>
              <w:rPr>
                <w:rFonts w:ascii="Arial" w:cs="Arial" w:eastAsia="Arial" w:hAnsi="Arial"/>
                <w:sz w:val="18"/>
                <w:szCs w:val="18"/>
                <w:b w:val="1"/>
                <w:bCs w:val="1"/>
                <w:color w:val="auto"/>
                <w:w w:val="93"/>
              </w:rPr>
              <w:t>Audit-Related Fees</w:t>
            </w:r>
            <w:r>
              <w:rPr>
                <w:rFonts w:ascii="Arial" w:cs="Arial" w:eastAsia="Arial" w:hAnsi="Arial"/>
                <w:sz w:val="18"/>
                <w:szCs w:val="18"/>
                <w:color w:val="auto"/>
                <w:w w:val="93"/>
              </w:rPr>
              <w:t>, including fees for audits of employee benefit plans, computer and control related audit services,</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w w:val="84"/>
              </w:rPr>
              <w:t>1,120</w:t>
            </w:r>
          </w:p>
        </w:tc>
        <w:tc>
          <w:tcPr>
            <w:tcW w:w="5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agreed-upon procedures, merger and acquisition assistance and other accounting research services</w:t>
            </w:r>
          </w:p>
        </w:tc>
        <w:tc>
          <w:tcPr>
            <w:tcW w:w="2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Tax Fees </w:t>
            </w:r>
            <w:r>
              <w:rPr>
                <w:rFonts w:ascii="Arial" w:cs="Arial" w:eastAsia="Arial" w:hAnsi="Arial"/>
                <w:sz w:val="18"/>
                <w:szCs w:val="18"/>
                <w:color w:val="auto"/>
              </w:rPr>
              <w:t>for tax consulting and compliance services not related to the audit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1,223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1,095</w:t>
            </w:r>
          </w:p>
        </w:tc>
        <w:tc>
          <w:tcPr>
            <w:tcW w:w="0" w:type="dxa"/>
            <w:vAlign w:val="bottom"/>
          </w:tcPr>
          <w:p>
            <w:pPr>
              <w:spacing w:after="0"/>
              <w:rPr>
                <w:sz w:val="1"/>
                <w:szCs w:val="1"/>
                <w:color w:val="auto"/>
              </w:rPr>
            </w:pPr>
          </w:p>
        </w:tc>
      </w:tr>
      <w:tr>
        <w:trPr>
          <w:trHeight w:val="282"/>
        </w:trPr>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All Other Fees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Audit Committee of Lazard Ltd has adopted a policy regarding pre-approval of audit and non-audit services provided by Deloitte &amp; Touche LLP to Lazard and its subsidiaries. The policy provides the guidelines necessary to adhere to Lazard’s commitment to auditor independence and compliance with relevant laws, regulations and guidelines relating to auditor independence. The policy contains a list of prohibited non-audit services, and sets forth four categories of permitted services (Audit, Audit-Related, Tax and Other), listing the types of permitted services in each category. All of the permitted services require pre-approval by the Audit Committee of Lazard Ltd. In lieu of Audit Committee pre-approval on an engagement-by-engagement basis,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each category of permitted services, with reasonable detail as to the types of services contemplated, is pre-approved as part of the annual budget approval by the Audit Committee. Permitted services not contemplated during the budget process must be presented to the Audit Committee for approval prior to the commencement of the relevant engagement. The Audit Committee chair, or, if he is not available, any other member of the Committee, may grant approval for any such engagement if approval is required prior to the next scheduled meeting of the Committee. At least twice a year, the Audit Committee of Lazard Ltd is presented with a report showing amounts billed by the independent auditor compared to the budget approvals for each of the categories of permitted services. The Audit Committee of Lazard Ltd reviews the suitability of the pre-approval policy at least annually.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380"/>
          </w:cols>
          <w:pgMar w:left="240" w:top="460" w:right="2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77"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w:t>
      </w:r>
    </w:p>
    <w:p>
      <w:pPr>
        <w:spacing w:after="0" w:line="76" w:lineRule="exact"/>
        <w:rPr>
          <w:rFonts w:ascii="Arial" w:cs="Arial" w:eastAsia="Arial" w:hAnsi="Arial"/>
          <w:sz w:val="18"/>
          <w:szCs w:val="18"/>
          <w:b w:val="1"/>
          <w:bCs w:val="1"/>
          <w:color w:val="auto"/>
        </w:rPr>
      </w:pPr>
    </w:p>
    <w:p>
      <w:pPr>
        <w:ind w:left="900" w:hanging="446"/>
        <w:spacing w:after="0"/>
        <w:tabs>
          <w:tab w:leader="none" w:pos="900" w:val="left"/>
        </w:tabs>
        <w:numPr>
          <w:ilvl w:val="1"/>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w:t>
      </w:r>
    </w:p>
    <w:p>
      <w:pPr>
        <w:spacing w:after="0" w:line="82" w:lineRule="exact"/>
        <w:rPr>
          <w:rFonts w:ascii="Arial" w:cs="Arial" w:eastAsia="Arial" w:hAnsi="Arial"/>
          <w:sz w:val="18"/>
          <w:szCs w:val="18"/>
          <w:b w:val="1"/>
          <w:bCs w:val="1"/>
          <w:color w:val="auto"/>
        </w:rPr>
      </w:pPr>
    </w:p>
    <w:p>
      <w:pPr>
        <w:ind w:left="900" w:right="3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required to be filed in the Annual Report on Form 10-K are listed on page F-1 hereof and in Part II, Item 8 hereof.</w:t>
      </w:r>
    </w:p>
    <w:p>
      <w:pPr>
        <w:spacing w:after="0" w:line="112" w:lineRule="exact"/>
        <w:rPr>
          <w:rFonts w:ascii="Arial" w:cs="Arial" w:eastAsia="Arial" w:hAnsi="Arial"/>
          <w:sz w:val="18"/>
          <w:szCs w:val="18"/>
          <w:b w:val="1"/>
          <w:bCs w:val="1"/>
          <w:color w:val="auto"/>
        </w:rPr>
      </w:pPr>
    </w:p>
    <w:p>
      <w:pPr>
        <w:ind w:left="900" w:hanging="446"/>
        <w:spacing w:after="0"/>
        <w:tabs>
          <w:tab w:leader="none" w:pos="900" w:val="left"/>
        </w:tabs>
        <w:numPr>
          <w:ilvl w:val="1"/>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w:t>
      </w:r>
    </w:p>
    <w:p>
      <w:pPr>
        <w:spacing w:after="0" w:line="82" w:lineRule="exact"/>
        <w:rPr>
          <w:rFonts w:ascii="Arial" w:cs="Arial" w:eastAsia="Arial" w:hAnsi="Arial"/>
          <w:sz w:val="18"/>
          <w:szCs w:val="18"/>
          <w:b w:val="1"/>
          <w:bCs w:val="1"/>
          <w:color w:val="auto"/>
        </w:rPr>
      </w:pPr>
    </w:p>
    <w:p>
      <w:pPr>
        <w:ind w:left="900" w:right="1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 schedule required in the Annual Report on Form 10-K is listed on page F-1 hereof. The required schedule appears on pages F-2 through F-8 hereof.</w:t>
      </w:r>
    </w:p>
    <w:p>
      <w:pPr>
        <w:spacing w:after="0" w:line="112" w:lineRule="exact"/>
        <w:rPr>
          <w:rFonts w:ascii="Arial" w:cs="Arial" w:eastAsia="Arial" w:hAnsi="Arial"/>
          <w:sz w:val="18"/>
          <w:szCs w:val="18"/>
          <w:b w:val="1"/>
          <w:bCs w:val="1"/>
          <w:color w:val="auto"/>
        </w:rPr>
      </w:pPr>
    </w:p>
    <w:p>
      <w:pPr>
        <w:ind w:left="900" w:hanging="446"/>
        <w:spacing w:after="0"/>
        <w:tabs>
          <w:tab w:leader="none" w:pos="900" w:val="left"/>
        </w:tabs>
        <w:numPr>
          <w:ilvl w:val="1"/>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3.1</w:t>
            </w:r>
          </w:p>
        </w:tc>
        <w:tc>
          <w:tcPr>
            <w:tcW w:w="10900" w:type="dxa"/>
            <w:vAlign w:val="bottom"/>
          </w:tcPr>
          <w:p>
            <w:pPr>
              <w:ind w:left="300"/>
              <w:spacing w:after="0"/>
              <w:rPr>
                <w:sz w:val="20"/>
                <w:szCs w:val="20"/>
                <w:color w:val="auto"/>
              </w:rPr>
            </w:pPr>
            <w:r>
              <w:rPr>
                <w:rFonts w:ascii="Arial" w:cs="Arial" w:eastAsia="Arial" w:hAnsi="Arial"/>
                <w:sz w:val="18"/>
                <w:szCs w:val="18"/>
                <w:color w:val="auto"/>
                <w:w w:val="90"/>
              </w:rPr>
              <w:t>Lazard Group LLC’s Certificate of Formation (incorporated by reference to Exhibit 3.1 to Lazard Group LLC’s Registration Statement (File No. 333-</w:t>
            </w:r>
          </w:p>
        </w:tc>
      </w:tr>
      <w:tr>
        <w:trPr>
          <w:trHeight w:val="222"/>
        </w:trPr>
        <w:tc>
          <w:tcPr>
            <w:tcW w:w="520" w:type="dxa"/>
            <w:vAlign w:val="bottom"/>
          </w:tcPr>
          <w:p>
            <w:pPr>
              <w:spacing w:after="0"/>
              <w:rPr>
                <w:sz w:val="19"/>
                <w:szCs w:val="19"/>
                <w:color w:val="auto"/>
              </w:rPr>
            </w:pPr>
          </w:p>
        </w:tc>
        <w:tc>
          <w:tcPr>
            <w:tcW w:w="10900" w:type="dxa"/>
            <w:vAlign w:val="bottom"/>
          </w:tcPr>
          <w:p>
            <w:pPr>
              <w:ind w:left="300"/>
              <w:spacing w:after="0"/>
              <w:rPr>
                <w:sz w:val="20"/>
                <w:szCs w:val="20"/>
                <w:color w:val="auto"/>
              </w:rPr>
            </w:pPr>
            <w:r>
              <w:rPr>
                <w:rFonts w:ascii="Arial" w:cs="Arial" w:eastAsia="Arial" w:hAnsi="Arial"/>
                <w:sz w:val="18"/>
                <w:szCs w:val="18"/>
                <w:color w:val="auto"/>
              </w:rPr>
              <w:t>126751) on Form S-4 filed on July 21, 2005).</w:t>
            </w:r>
          </w:p>
        </w:tc>
      </w:tr>
      <w:tr>
        <w:trPr>
          <w:trHeight w:val="31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3.2</w:t>
            </w:r>
          </w:p>
        </w:tc>
        <w:tc>
          <w:tcPr>
            <w:tcW w:w="10900" w:type="dxa"/>
            <w:vAlign w:val="bottom"/>
          </w:tcPr>
          <w:p>
            <w:pPr>
              <w:ind w:left="300"/>
              <w:spacing w:after="0"/>
              <w:rPr>
                <w:sz w:val="20"/>
                <w:szCs w:val="20"/>
                <w:color w:val="auto"/>
              </w:rPr>
            </w:pPr>
            <w:r>
              <w:rPr>
                <w:rFonts w:ascii="Arial" w:cs="Arial" w:eastAsia="Arial" w:hAnsi="Arial"/>
                <w:sz w:val="18"/>
                <w:szCs w:val="18"/>
                <w:color w:val="auto"/>
                <w:w w:val="99"/>
              </w:rPr>
              <w:t>Lazard Group LLC’s Certificate of Amendment of Certificate of Formation of Lazard Group LLC, changing name to Lazard Group LLC</w:t>
            </w:r>
          </w:p>
        </w:tc>
      </w:tr>
      <w:tr>
        <w:trPr>
          <w:trHeight w:val="222"/>
        </w:trPr>
        <w:tc>
          <w:tcPr>
            <w:tcW w:w="520" w:type="dxa"/>
            <w:vAlign w:val="bottom"/>
          </w:tcPr>
          <w:p>
            <w:pPr>
              <w:spacing w:after="0"/>
              <w:rPr>
                <w:sz w:val="19"/>
                <w:szCs w:val="19"/>
                <w:color w:val="auto"/>
              </w:rPr>
            </w:pPr>
          </w:p>
        </w:tc>
        <w:tc>
          <w:tcPr>
            <w:tcW w:w="10900" w:type="dxa"/>
            <w:vAlign w:val="bottom"/>
          </w:tcPr>
          <w:p>
            <w:pPr>
              <w:ind w:left="300"/>
              <w:spacing w:after="0"/>
              <w:rPr>
                <w:sz w:val="20"/>
                <w:szCs w:val="20"/>
                <w:color w:val="auto"/>
              </w:rPr>
            </w:pPr>
            <w:r>
              <w:rPr>
                <w:rFonts w:ascii="Arial" w:cs="Arial" w:eastAsia="Arial" w:hAnsi="Arial"/>
                <w:sz w:val="18"/>
                <w:szCs w:val="18"/>
                <w:color w:val="auto"/>
                <w:w w:val="90"/>
              </w:rPr>
              <w:t>(incorporated by reference to Exhibit 3.2 to Lazard Group LLC’s Registration Statement (File No. 333-126751) on Form S-4 filed on July 21, 2005).</w:t>
            </w:r>
          </w:p>
        </w:tc>
      </w:tr>
      <w:tr>
        <w:trPr>
          <w:trHeight w:val="31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3.3</w:t>
            </w:r>
          </w:p>
        </w:tc>
        <w:tc>
          <w:tcPr>
            <w:tcW w:w="10900" w:type="dxa"/>
            <w:vAlign w:val="bottom"/>
          </w:tcPr>
          <w:p>
            <w:pPr>
              <w:ind w:left="300"/>
              <w:spacing w:after="0"/>
              <w:rPr>
                <w:sz w:val="20"/>
                <w:szCs w:val="20"/>
                <w:color w:val="auto"/>
              </w:rPr>
            </w:pPr>
            <w:r>
              <w:rPr>
                <w:rFonts w:ascii="Arial" w:cs="Arial" w:eastAsia="Arial" w:hAnsi="Arial"/>
                <w:sz w:val="18"/>
                <w:szCs w:val="18"/>
                <w:color w:val="auto"/>
                <w:w w:val="91"/>
              </w:rPr>
              <w:t>Operating Agreement of Lazard Group LLC, dated as of May 10, 2005 (incorporated by reference to Exhibit 10.2 to Lazard Ltd’s Quarterly Report</w:t>
            </w:r>
          </w:p>
        </w:tc>
      </w:tr>
      <w:tr>
        <w:trPr>
          <w:trHeight w:val="222"/>
        </w:trPr>
        <w:tc>
          <w:tcPr>
            <w:tcW w:w="520" w:type="dxa"/>
            <w:vAlign w:val="bottom"/>
          </w:tcPr>
          <w:p>
            <w:pPr>
              <w:spacing w:after="0"/>
              <w:rPr>
                <w:sz w:val="19"/>
                <w:szCs w:val="19"/>
                <w:color w:val="auto"/>
              </w:rPr>
            </w:pPr>
          </w:p>
        </w:tc>
        <w:tc>
          <w:tcPr>
            <w:tcW w:w="10900" w:type="dxa"/>
            <w:vAlign w:val="bottom"/>
          </w:tcPr>
          <w:p>
            <w:pPr>
              <w:ind w:left="300"/>
              <w:spacing w:after="0"/>
              <w:rPr>
                <w:sz w:val="20"/>
                <w:szCs w:val="20"/>
                <w:color w:val="auto"/>
              </w:rPr>
            </w:pPr>
            <w:r>
              <w:rPr>
                <w:rFonts w:ascii="Arial" w:cs="Arial" w:eastAsia="Arial" w:hAnsi="Arial"/>
                <w:sz w:val="18"/>
                <w:szCs w:val="18"/>
                <w:color w:val="auto"/>
              </w:rPr>
              <w:t>(File No. 001-32492) on Form 10-Q filed on June 16, 2005).</w:t>
            </w:r>
          </w:p>
        </w:tc>
      </w:tr>
      <w:tr>
        <w:trPr>
          <w:trHeight w:val="31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3.4</w:t>
            </w:r>
          </w:p>
        </w:tc>
        <w:tc>
          <w:tcPr>
            <w:tcW w:w="10900" w:type="dxa"/>
            <w:vAlign w:val="bottom"/>
          </w:tcPr>
          <w:p>
            <w:pPr>
              <w:ind w:left="300"/>
              <w:spacing w:after="0"/>
              <w:rPr>
                <w:sz w:val="20"/>
                <w:szCs w:val="20"/>
                <w:color w:val="auto"/>
              </w:rPr>
            </w:pPr>
            <w:r>
              <w:rPr>
                <w:rFonts w:ascii="Arial" w:cs="Arial" w:eastAsia="Arial" w:hAnsi="Arial"/>
                <w:sz w:val="18"/>
                <w:szCs w:val="18"/>
                <w:color w:val="auto"/>
                <w:w w:val="90"/>
              </w:rPr>
              <w:t>Amendment No. 1 to the Operating Agreement of Lazard Group LLC, dated as of December 19, 2005 (incorporated by reference to Exhibit 3.01 to</w:t>
            </w:r>
          </w:p>
        </w:tc>
      </w:tr>
      <w:tr>
        <w:trPr>
          <w:trHeight w:val="216"/>
        </w:trPr>
        <w:tc>
          <w:tcPr>
            <w:tcW w:w="520" w:type="dxa"/>
            <w:vAlign w:val="bottom"/>
          </w:tcPr>
          <w:p>
            <w:pPr>
              <w:spacing w:after="0"/>
              <w:rPr>
                <w:sz w:val="18"/>
                <w:szCs w:val="18"/>
                <w:color w:val="auto"/>
              </w:rPr>
            </w:pPr>
          </w:p>
        </w:tc>
        <w:tc>
          <w:tcPr>
            <w:tcW w:w="10900" w:type="dxa"/>
            <w:vAlign w:val="bottom"/>
          </w:tcPr>
          <w:p>
            <w:pPr>
              <w:ind w:left="300"/>
              <w:spacing w:after="0"/>
              <w:rPr>
                <w:sz w:val="20"/>
                <w:szCs w:val="20"/>
                <w:color w:val="auto"/>
              </w:rPr>
            </w:pPr>
            <w:r>
              <w:rPr>
                <w:rFonts w:ascii="Arial" w:cs="Arial" w:eastAsia="Arial" w:hAnsi="Arial"/>
                <w:sz w:val="18"/>
                <w:szCs w:val="18"/>
                <w:color w:val="auto"/>
              </w:rPr>
              <w:t>Lazard Group LLC’s Current Report on Form 8-K (File</w:t>
            </w:r>
          </w:p>
        </w:tc>
      </w:tr>
      <w:tr>
        <w:trPr>
          <w:trHeight w:val="222"/>
        </w:trPr>
        <w:tc>
          <w:tcPr>
            <w:tcW w:w="520" w:type="dxa"/>
            <w:vAlign w:val="bottom"/>
          </w:tcPr>
          <w:p>
            <w:pPr>
              <w:spacing w:after="0"/>
              <w:rPr>
                <w:sz w:val="19"/>
                <w:szCs w:val="19"/>
                <w:color w:val="auto"/>
              </w:rPr>
            </w:pPr>
          </w:p>
        </w:tc>
        <w:tc>
          <w:tcPr>
            <w:tcW w:w="10900" w:type="dxa"/>
            <w:vAlign w:val="bottom"/>
          </w:tcPr>
          <w:p>
            <w:pPr>
              <w:ind w:left="300"/>
              <w:spacing w:after="0"/>
              <w:rPr>
                <w:sz w:val="20"/>
                <w:szCs w:val="20"/>
                <w:color w:val="auto"/>
              </w:rPr>
            </w:pPr>
            <w:r>
              <w:rPr>
                <w:rFonts w:ascii="Arial" w:cs="Arial" w:eastAsia="Arial" w:hAnsi="Arial"/>
                <w:sz w:val="18"/>
                <w:szCs w:val="18"/>
                <w:color w:val="auto"/>
              </w:rPr>
              <w:t>No. 333-126751) filed on December 19, 2005).</w:t>
            </w:r>
          </w:p>
        </w:tc>
      </w:tr>
      <w:tr>
        <w:trPr>
          <w:trHeight w:val="33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3.5</w:t>
            </w:r>
          </w:p>
        </w:tc>
        <w:tc>
          <w:tcPr>
            <w:tcW w:w="10900" w:type="dxa"/>
            <w:vAlign w:val="bottom"/>
          </w:tcPr>
          <w:p>
            <w:pPr>
              <w:ind w:left="300"/>
              <w:spacing w:after="0"/>
              <w:rPr>
                <w:sz w:val="20"/>
                <w:szCs w:val="20"/>
                <w:color w:val="auto"/>
              </w:rPr>
            </w:pPr>
            <w:r>
              <w:rPr>
                <w:rFonts w:ascii="Arial" w:cs="Arial" w:eastAsia="Arial" w:hAnsi="Arial"/>
                <w:sz w:val="18"/>
                <w:szCs w:val="18"/>
                <w:color w:val="auto"/>
                <w:w w:val="88"/>
              </w:rPr>
              <w:t>Amendment No. 2 dated as of May 7, 2008, to the Operating Agreement of Lazard Group LLC dated as of May 10, 2005 (incorporated by reference to</w:t>
            </w:r>
          </w:p>
        </w:tc>
      </w:tr>
      <w:tr>
        <w:trPr>
          <w:trHeight w:val="216"/>
        </w:trPr>
        <w:tc>
          <w:tcPr>
            <w:tcW w:w="520" w:type="dxa"/>
            <w:vAlign w:val="bottom"/>
          </w:tcPr>
          <w:p>
            <w:pPr>
              <w:spacing w:after="0"/>
              <w:rPr>
                <w:sz w:val="18"/>
                <w:szCs w:val="18"/>
                <w:color w:val="auto"/>
              </w:rPr>
            </w:pPr>
          </w:p>
        </w:tc>
        <w:tc>
          <w:tcPr>
            <w:tcW w:w="10900" w:type="dxa"/>
            <w:vAlign w:val="bottom"/>
          </w:tcPr>
          <w:p>
            <w:pPr>
              <w:ind w:left="300"/>
              <w:spacing w:after="0"/>
              <w:rPr>
                <w:sz w:val="20"/>
                <w:szCs w:val="20"/>
                <w:color w:val="auto"/>
              </w:rPr>
            </w:pPr>
            <w:r>
              <w:rPr>
                <w:rFonts w:ascii="Arial" w:cs="Arial" w:eastAsia="Arial" w:hAnsi="Arial"/>
                <w:sz w:val="18"/>
                <w:szCs w:val="18"/>
                <w:color w:val="auto"/>
              </w:rPr>
              <w:t>Exhibit 3.1 to the Registrant’s Current Report on</w:t>
            </w:r>
          </w:p>
        </w:tc>
      </w:tr>
      <w:tr>
        <w:trPr>
          <w:trHeight w:val="222"/>
        </w:trPr>
        <w:tc>
          <w:tcPr>
            <w:tcW w:w="520" w:type="dxa"/>
            <w:vAlign w:val="bottom"/>
          </w:tcPr>
          <w:p>
            <w:pPr>
              <w:spacing w:after="0"/>
              <w:rPr>
                <w:sz w:val="19"/>
                <w:szCs w:val="19"/>
                <w:color w:val="auto"/>
              </w:rPr>
            </w:pPr>
          </w:p>
        </w:tc>
        <w:tc>
          <w:tcPr>
            <w:tcW w:w="10900" w:type="dxa"/>
            <w:vAlign w:val="bottom"/>
          </w:tcPr>
          <w:p>
            <w:pPr>
              <w:ind w:left="300"/>
              <w:spacing w:after="0"/>
              <w:rPr>
                <w:sz w:val="20"/>
                <w:szCs w:val="20"/>
                <w:color w:val="auto"/>
              </w:rPr>
            </w:pPr>
            <w:r>
              <w:rPr>
                <w:rFonts w:ascii="Arial" w:cs="Arial" w:eastAsia="Arial" w:hAnsi="Arial"/>
                <w:sz w:val="18"/>
                <w:szCs w:val="18"/>
                <w:color w:val="auto"/>
              </w:rPr>
              <w:t>Form 8-K (File No. 333-126751) filed on May 8, 2008).</w:t>
            </w:r>
          </w:p>
        </w:tc>
      </w:tr>
      <w:tr>
        <w:trPr>
          <w:trHeight w:val="33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4.1</w:t>
            </w:r>
          </w:p>
        </w:tc>
        <w:tc>
          <w:tcPr>
            <w:tcW w:w="10900" w:type="dxa"/>
            <w:vAlign w:val="bottom"/>
          </w:tcPr>
          <w:p>
            <w:pPr>
              <w:ind w:left="300"/>
              <w:spacing w:after="0"/>
              <w:rPr>
                <w:sz w:val="20"/>
                <w:szCs w:val="20"/>
                <w:color w:val="auto"/>
              </w:rPr>
            </w:pPr>
            <w:r>
              <w:rPr>
                <w:rFonts w:ascii="Arial" w:cs="Arial" w:eastAsia="Arial" w:hAnsi="Arial"/>
                <w:sz w:val="18"/>
                <w:szCs w:val="18"/>
                <w:color w:val="auto"/>
                <w:w w:val="88"/>
              </w:rPr>
              <w:t>Indenture, dated as of May 10, 2005, by and between Lazard Group LLC and The Bank of New York, as Trustee (incorporated by reference to Exhibit</w:t>
            </w:r>
          </w:p>
        </w:tc>
      </w:tr>
      <w:tr>
        <w:trPr>
          <w:trHeight w:val="222"/>
        </w:trPr>
        <w:tc>
          <w:tcPr>
            <w:tcW w:w="520" w:type="dxa"/>
            <w:vAlign w:val="bottom"/>
          </w:tcPr>
          <w:p>
            <w:pPr>
              <w:spacing w:after="0"/>
              <w:rPr>
                <w:sz w:val="19"/>
                <w:szCs w:val="19"/>
                <w:color w:val="auto"/>
              </w:rPr>
            </w:pPr>
          </w:p>
        </w:tc>
        <w:tc>
          <w:tcPr>
            <w:tcW w:w="10900" w:type="dxa"/>
            <w:vAlign w:val="bottom"/>
          </w:tcPr>
          <w:p>
            <w:pPr>
              <w:ind w:left="300"/>
              <w:spacing w:after="0"/>
              <w:rPr>
                <w:sz w:val="20"/>
                <w:szCs w:val="20"/>
                <w:color w:val="auto"/>
              </w:rPr>
            </w:pPr>
            <w:r>
              <w:rPr>
                <w:rFonts w:ascii="Arial" w:cs="Arial" w:eastAsia="Arial" w:hAnsi="Arial"/>
                <w:sz w:val="18"/>
                <w:szCs w:val="18"/>
                <w:color w:val="auto"/>
              </w:rPr>
              <w:t>4.1 to Lazard Group LLC’s Registration Statement (File No. 333-126751) on Form S-4 filed on July 21, 2005).</w:t>
            </w:r>
          </w:p>
        </w:tc>
      </w:tr>
      <w:tr>
        <w:trPr>
          <w:trHeight w:val="31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4.2</w:t>
            </w:r>
          </w:p>
        </w:tc>
        <w:tc>
          <w:tcPr>
            <w:tcW w:w="10900" w:type="dxa"/>
            <w:vAlign w:val="bottom"/>
          </w:tcPr>
          <w:p>
            <w:pPr>
              <w:ind w:left="300"/>
              <w:spacing w:after="0"/>
              <w:rPr>
                <w:sz w:val="20"/>
                <w:szCs w:val="20"/>
                <w:color w:val="auto"/>
              </w:rPr>
            </w:pPr>
            <w:r>
              <w:rPr>
                <w:rFonts w:ascii="Arial" w:cs="Arial" w:eastAsia="Arial" w:hAnsi="Arial"/>
                <w:sz w:val="18"/>
                <w:szCs w:val="18"/>
                <w:color w:val="auto"/>
                <w:w w:val="89"/>
              </w:rPr>
              <w:t>First Supplemental Indenture, dated as of May 10, 2005, by and between Lazard Group LLC and The Bank of New York, as Trustee (incorporated by</w:t>
            </w:r>
          </w:p>
        </w:tc>
      </w:tr>
      <w:tr>
        <w:trPr>
          <w:trHeight w:val="222"/>
        </w:trPr>
        <w:tc>
          <w:tcPr>
            <w:tcW w:w="520" w:type="dxa"/>
            <w:vAlign w:val="bottom"/>
          </w:tcPr>
          <w:p>
            <w:pPr>
              <w:spacing w:after="0"/>
              <w:rPr>
                <w:sz w:val="19"/>
                <w:szCs w:val="19"/>
                <w:color w:val="auto"/>
              </w:rPr>
            </w:pPr>
          </w:p>
        </w:tc>
        <w:tc>
          <w:tcPr>
            <w:tcW w:w="10900" w:type="dxa"/>
            <w:vAlign w:val="bottom"/>
          </w:tcPr>
          <w:p>
            <w:pPr>
              <w:ind w:left="300"/>
              <w:spacing w:after="0"/>
              <w:rPr>
                <w:sz w:val="20"/>
                <w:szCs w:val="20"/>
                <w:color w:val="auto"/>
              </w:rPr>
            </w:pPr>
            <w:r>
              <w:rPr>
                <w:rFonts w:ascii="Arial" w:cs="Arial" w:eastAsia="Arial" w:hAnsi="Arial"/>
                <w:sz w:val="18"/>
                <w:szCs w:val="18"/>
                <w:color w:val="auto"/>
              </w:rPr>
              <w:t>reference to Exhibit 4.2 to Lazard Group LLC’s Registration Statement (File No. 333-126751) on Form S-4 filed on July 21, 2005).</w:t>
            </w:r>
          </w:p>
        </w:tc>
      </w:tr>
      <w:tr>
        <w:trPr>
          <w:trHeight w:val="31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4.3</w:t>
            </w:r>
          </w:p>
        </w:tc>
        <w:tc>
          <w:tcPr>
            <w:tcW w:w="10900" w:type="dxa"/>
            <w:vAlign w:val="bottom"/>
          </w:tcPr>
          <w:p>
            <w:pPr>
              <w:ind w:left="300"/>
              <w:spacing w:after="0"/>
              <w:rPr>
                <w:sz w:val="20"/>
                <w:szCs w:val="20"/>
                <w:color w:val="auto"/>
              </w:rPr>
            </w:pPr>
            <w:r>
              <w:rPr>
                <w:rFonts w:ascii="Arial" w:cs="Arial" w:eastAsia="Arial" w:hAnsi="Arial"/>
                <w:sz w:val="18"/>
                <w:szCs w:val="18"/>
                <w:color w:val="auto"/>
                <w:w w:val="89"/>
              </w:rPr>
              <w:t>Second Supplemental Indenture, dated as of May 10, 2005, by and between Lazard Group LLC and The Bank of New York, as Trustee (incorporated</w:t>
            </w:r>
          </w:p>
        </w:tc>
      </w:tr>
      <w:tr>
        <w:trPr>
          <w:trHeight w:val="222"/>
        </w:trPr>
        <w:tc>
          <w:tcPr>
            <w:tcW w:w="520" w:type="dxa"/>
            <w:vAlign w:val="bottom"/>
          </w:tcPr>
          <w:p>
            <w:pPr>
              <w:spacing w:after="0"/>
              <w:rPr>
                <w:sz w:val="19"/>
                <w:szCs w:val="19"/>
                <w:color w:val="auto"/>
              </w:rPr>
            </w:pPr>
          </w:p>
        </w:tc>
        <w:tc>
          <w:tcPr>
            <w:tcW w:w="10900" w:type="dxa"/>
            <w:vAlign w:val="bottom"/>
          </w:tcPr>
          <w:p>
            <w:pPr>
              <w:ind w:left="300"/>
              <w:spacing w:after="0"/>
              <w:rPr>
                <w:sz w:val="20"/>
                <w:szCs w:val="20"/>
                <w:color w:val="auto"/>
              </w:rPr>
            </w:pPr>
            <w:r>
              <w:rPr>
                <w:rFonts w:ascii="Arial" w:cs="Arial" w:eastAsia="Arial" w:hAnsi="Arial"/>
                <w:sz w:val="18"/>
                <w:szCs w:val="18"/>
                <w:color w:val="auto"/>
                <w:w w:val="98"/>
              </w:rPr>
              <w:t>by reference to Exhibit 10.37 to Lazard Group LLC’s Registration Statement (File No. 333-126751) on Form S-4 filed on July 21, 2005).</w:t>
            </w:r>
          </w:p>
        </w:tc>
      </w:tr>
      <w:tr>
        <w:trPr>
          <w:trHeight w:val="31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4.4</w:t>
            </w:r>
          </w:p>
        </w:tc>
        <w:tc>
          <w:tcPr>
            <w:tcW w:w="10900" w:type="dxa"/>
            <w:vAlign w:val="bottom"/>
          </w:tcPr>
          <w:p>
            <w:pPr>
              <w:ind w:left="300"/>
              <w:spacing w:after="0"/>
              <w:rPr>
                <w:sz w:val="20"/>
                <w:szCs w:val="20"/>
                <w:color w:val="auto"/>
              </w:rPr>
            </w:pPr>
            <w:r>
              <w:rPr>
                <w:rFonts w:ascii="Arial" w:cs="Arial" w:eastAsia="Arial" w:hAnsi="Arial"/>
                <w:sz w:val="18"/>
                <w:szCs w:val="18"/>
                <w:color w:val="auto"/>
                <w:w w:val="90"/>
              </w:rPr>
              <w:t>Amended and Restated Third Supplemental Indenture, dated as of May 15, 2008, by and among Lazard Group LLC and The Bank of New York, as</w:t>
            </w:r>
          </w:p>
        </w:tc>
      </w:tr>
      <w:tr>
        <w:trPr>
          <w:trHeight w:val="216"/>
        </w:trPr>
        <w:tc>
          <w:tcPr>
            <w:tcW w:w="520" w:type="dxa"/>
            <w:vAlign w:val="bottom"/>
          </w:tcPr>
          <w:p>
            <w:pPr>
              <w:spacing w:after="0"/>
              <w:rPr>
                <w:sz w:val="18"/>
                <w:szCs w:val="18"/>
                <w:color w:val="auto"/>
              </w:rPr>
            </w:pPr>
          </w:p>
        </w:tc>
        <w:tc>
          <w:tcPr>
            <w:tcW w:w="10900" w:type="dxa"/>
            <w:vAlign w:val="bottom"/>
          </w:tcPr>
          <w:p>
            <w:pPr>
              <w:ind w:left="300"/>
              <w:spacing w:after="0"/>
              <w:rPr>
                <w:sz w:val="20"/>
                <w:szCs w:val="20"/>
                <w:color w:val="auto"/>
              </w:rPr>
            </w:pPr>
            <w:r>
              <w:rPr>
                <w:rFonts w:ascii="Arial" w:cs="Arial" w:eastAsia="Arial" w:hAnsi="Arial"/>
                <w:sz w:val="18"/>
                <w:szCs w:val="18"/>
                <w:color w:val="auto"/>
                <w:w w:val="91"/>
              </w:rPr>
              <w:t>trustee (incorporated by reference to Exhibit 4.01 to Lazard Group LLC’s Current Report on Form 8-K (Commission File No. 333-126751) filed on</w:t>
            </w:r>
          </w:p>
        </w:tc>
      </w:tr>
      <w:tr>
        <w:trPr>
          <w:trHeight w:val="222"/>
        </w:trPr>
        <w:tc>
          <w:tcPr>
            <w:tcW w:w="520" w:type="dxa"/>
            <w:vAlign w:val="bottom"/>
          </w:tcPr>
          <w:p>
            <w:pPr>
              <w:spacing w:after="0"/>
              <w:rPr>
                <w:sz w:val="19"/>
                <w:szCs w:val="19"/>
                <w:color w:val="auto"/>
              </w:rPr>
            </w:pPr>
          </w:p>
        </w:tc>
        <w:tc>
          <w:tcPr>
            <w:tcW w:w="10900" w:type="dxa"/>
            <w:vAlign w:val="bottom"/>
          </w:tcPr>
          <w:p>
            <w:pPr>
              <w:ind w:left="300"/>
              <w:spacing w:after="0"/>
              <w:rPr>
                <w:sz w:val="20"/>
                <w:szCs w:val="20"/>
                <w:color w:val="auto"/>
              </w:rPr>
            </w:pPr>
            <w:r>
              <w:rPr>
                <w:rFonts w:ascii="Arial" w:cs="Arial" w:eastAsia="Arial" w:hAnsi="Arial"/>
                <w:sz w:val="18"/>
                <w:szCs w:val="18"/>
                <w:color w:val="auto"/>
              </w:rPr>
              <w:t>May 16, 2008).</w:t>
            </w:r>
          </w:p>
        </w:tc>
      </w:tr>
      <w:tr>
        <w:trPr>
          <w:trHeight w:val="33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4.5</w:t>
            </w:r>
          </w:p>
        </w:tc>
        <w:tc>
          <w:tcPr>
            <w:tcW w:w="10900" w:type="dxa"/>
            <w:vAlign w:val="bottom"/>
          </w:tcPr>
          <w:p>
            <w:pPr>
              <w:ind w:left="300"/>
              <w:spacing w:after="0"/>
              <w:rPr>
                <w:sz w:val="20"/>
                <w:szCs w:val="20"/>
                <w:color w:val="auto"/>
              </w:rPr>
            </w:pPr>
            <w:r>
              <w:rPr>
                <w:rFonts w:ascii="Arial" w:cs="Arial" w:eastAsia="Arial" w:hAnsi="Arial"/>
                <w:sz w:val="18"/>
                <w:szCs w:val="18"/>
                <w:color w:val="auto"/>
              </w:rPr>
              <w:t>Form of Senior Note (included in Exhibit 4.4).</w:t>
            </w:r>
          </w:p>
        </w:tc>
      </w:tr>
      <w:tr>
        <w:trPr>
          <w:trHeight w:val="31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4.6</w:t>
            </w:r>
          </w:p>
        </w:tc>
        <w:tc>
          <w:tcPr>
            <w:tcW w:w="10900" w:type="dxa"/>
            <w:vAlign w:val="bottom"/>
          </w:tcPr>
          <w:p>
            <w:pPr>
              <w:ind w:left="300"/>
              <w:spacing w:after="0"/>
              <w:rPr>
                <w:sz w:val="20"/>
                <w:szCs w:val="20"/>
                <w:color w:val="auto"/>
              </w:rPr>
            </w:pPr>
            <w:r>
              <w:rPr>
                <w:rFonts w:ascii="Arial" w:cs="Arial" w:eastAsia="Arial" w:hAnsi="Arial"/>
                <w:sz w:val="18"/>
                <w:szCs w:val="18"/>
                <w:color w:val="auto"/>
                <w:w w:val="95"/>
              </w:rPr>
              <w:t>$546 million 7.125% Senior Notes Due 2015, issued by Lazard Group LLC (incorporated by reference to Exhibit 4.5 to Lazard Group LLC’s</w:t>
            </w:r>
          </w:p>
        </w:tc>
      </w:tr>
      <w:tr>
        <w:trPr>
          <w:trHeight w:val="222"/>
        </w:trPr>
        <w:tc>
          <w:tcPr>
            <w:tcW w:w="520" w:type="dxa"/>
            <w:vAlign w:val="bottom"/>
          </w:tcPr>
          <w:p>
            <w:pPr>
              <w:spacing w:after="0"/>
              <w:rPr>
                <w:sz w:val="19"/>
                <w:szCs w:val="19"/>
                <w:color w:val="auto"/>
              </w:rPr>
            </w:pPr>
          </w:p>
        </w:tc>
        <w:tc>
          <w:tcPr>
            <w:tcW w:w="10900" w:type="dxa"/>
            <w:vAlign w:val="bottom"/>
          </w:tcPr>
          <w:p>
            <w:pPr>
              <w:ind w:left="300"/>
              <w:spacing w:after="0"/>
              <w:rPr>
                <w:sz w:val="20"/>
                <w:szCs w:val="20"/>
                <w:color w:val="auto"/>
              </w:rPr>
            </w:pPr>
            <w:r>
              <w:rPr>
                <w:rFonts w:ascii="Arial" w:cs="Arial" w:eastAsia="Arial" w:hAnsi="Arial"/>
                <w:sz w:val="18"/>
                <w:szCs w:val="18"/>
                <w:color w:val="auto"/>
              </w:rPr>
              <w:t>Quarterly Report (File No. 333-126751) on Form 10-Q filed on November 10, 2005).</w:t>
            </w:r>
          </w:p>
        </w:tc>
      </w:tr>
      <w:tr>
        <w:trPr>
          <w:trHeight w:val="365"/>
        </w:trPr>
        <w:tc>
          <w:tcPr>
            <w:tcW w:w="520" w:type="dxa"/>
            <w:vAlign w:val="bottom"/>
          </w:tcPr>
          <w:p>
            <w:pPr>
              <w:spacing w:after="0"/>
              <w:rPr>
                <w:sz w:val="24"/>
                <w:szCs w:val="24"/>
                <w:color w:val="auto"/>
              </w:rPr>
            </w:pPr>
          </w:p>
        </w:tc>
        <w:tc>
          <w:tcPr>
            <w:tcW w:w="10900" w:type="dxa"/>
            <w:vAlign w:val="bottom"/>
          </w:tcPr>
          <w:p>
            <w:pPr>
              <w:ind w:left="5060"/>
              <w:spacing w:after="0"/>
              <w:rPr>
                <w:sz w:val="20"/>
                <w:szCs w:val="20"/>
                <w:color w:val="auto"/>
              </w:rPr>
            </w:pPr>
            <w:r>
              <w:rPr>
                <w:rFonts w:ascii="Arial" w:cs="Arial" w:eastAsia="Arial" w:hAnsi="Arial"/>
                <w:sz w:val="18"/>
                <w:szCs w:val="18"/>
                <w:color w:val="auto"/>
              </w:rPr>
              <w:t>170</w:t>
            </w:r>
          </w:p>
        </w:tc>
      </w:tr>
    </w:tbl>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4.7</w:t>
            </w:r>
          </w:p>
        </w:tc>
        <w:tc>
          <w:tcPr>
            <w:tcW w:w="10620" w:type="dxa"/>
            <w:vAlign w:val="bottom"/>
          </w:tcPr>
          <w:p>
            <w:pPr>
              <w:ind w:left="380"/>
              <w:spacing w:after="0"/>
              <w:rPr>
                <w:sz w:val="20"/>
                <w:szCs w:val="20"/>
                <w:color w:val="auto"/>
              </w:rPr>
            </w:pPr>
            <w:r>
              <w:rPr>
                <w:rFonts w:ascii="Arial" w:cs="Arial" w:eastAsia="Arial" w:hAnsi="Arial"/>
                <w:sz w:val="18"/>
                <w:szCs w:val="18"/>
                <w:color w:val="auto"/>
                <w:w w:val="89"/>
              </w:rPr>
              <w:t>Fourth Supplemental Indenture, dated as of June 21, 2007, between Lazard Group LLC and The Bank of New York, as trustee (incorporated by</w:t>
            </w:r>
          </w:p>
        </w:tc>
      </w:tr>
      <w:tr>
        <w:trPr>
          <w:trHeight w:val="222"/>
        </w:trPr>
        <w:tc>
          <w:tcPr>
            <w:tcW w:w="780" w:type="dxa"/>
            <w:vAlign w:val="bottom"/>
          </w:tcPr>
          <w:p>
            <w:pPr>
              <w:spacing w:after="0"/>
              <w:rPr>
                <w:sz w:val="19"/>
                <w:szCs w:val="19"/>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rPr>
              <w:t>reference to Exhibit 4.1 to the Registrant’s Current Report on Form 8-K (File No. 333-126751) filed on June 22, 2007).</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10620" w:type="dxa"/>
            <w:vAlign w:val="bottom"/>
          </w:tcPr>
          <w:p>
            <w:pPr>
              <w:ind w:left="380"/>
              <w:spacing w:after="0"/>
              <w:rPr>
                <w:sz w:val="20"/>
                <w:szCs w:val="20"/>
                <w:color w:val="auto"/>
              </w:rPr>
            </w:pPr>
            <w:r>
              <w:rPr>
                <w:rFonts w:ascii="Arial" w:cs="Arial" w:eastAsia="Arial" w:hAnsi="Arial"/>
                <w:sz w:val="18"/>
                <w:szCs w:val="18"/>
                <w:color w:val="auto"/>
                <w:w w:val="92"/>
              </w:rPr>
              <w:t>Master Separation Agreement, dated as of May 10, 2005, by and among Lazard Ltd, Lazard Group LLC, LAZ-MD Holdings LLC and LFCM</w:t>
            </w:r>
          </w:p>
        </w:tc>
      </w:tr>
      <w:tr>
        <w:trPr>
          <w:trHeight w:val="216"/>
        </w:trPr>
        <w:tc>
          <w:tcPr>
            <w:tcW w:w="780" w:type="dxa"/>
            <w:vAlign w:val="bottom"/>
          </w:tcPr>
          <w:p>
            <w:pPr>
              <w:spacing w:after="0"/>
              <w:rPr>
                <w:sz w:val="18"/>
                <w:szCs w:val="18"/>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w w:val="91"/>
              </w:rPr>
              <w:t>Holdings LLC (incorporated by reference to Exhibit 2.1 to Lazard Ltd’s Quarterly Report (File No. 001-32492) on Form 10-Q filed on June 16,</w:t>
            </w:r>
          </w:p>
        </w:tc>
      </w:tr>
      <w:tr>
        <w:trPr>
          <w:trHeight w:val="222"/>
        </w:trPr>
        <w:tc>
          <w:tcPr>
            <w:tcW w:w="780" w:type="dxa"/>
            <w:vAlign w:val="bottom"/>
          </w:tcPr>
          <w:p>
            <w:pPr>
              <w:spacing w:after="0"/>
              <w:rPr>
                <w:sz w:val="19"/>
                <w:szCs w:val="19"/>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rPr>
              <w:t>2005).</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10.2</w:t>
            </w:r>
          </w:p>
        </w:tc>
        <w:tc>
          <w:tcPr>
            <w:tcW w:w="10620" w:type="dxa"/>
            <w:vAlign w:val="bottom"/>
          </w:tcPr>
          <w:p>
            <w:pPr>
              <w:ind w:left="380"/>
              <w:spacing w:after="0"/>
              <w:rPr>
                <w:sz w:val="20"/>
                <w:szCs w:val="20"/>
                <w:color w:val="auto"/>
              </w:rPr>
            </w:pPr>
            <w:r>
              <w:rPr>
                <w:rFonts w:ascii="Arial" w:cs="Arial" w:eastAsia="Arial" w:hAnsi="Arial"/>
                <w:sz w:val="18"/>
                <w:szCs w:val="18"/>
                <w:color w:val="auto"/>
                <w:w w:val="88"/>
              </w:rPr>
              <w:t>Amendment No. 1, dated as of November 6, 2006, to the Master Separation Agreement, dated as of May 10, 2005, by and among the Lazard Ltd,</w:t>
            </w:r>
          </w:p>
        </w:tc>
      </w:tr>
      <w:tr>
        <w:trPr>
          <w:trHeight w:val="216"/>
        </w:trPr>
        <w:tc>
          <w:tcPr>
            <w:tcW w:w="780" w:type="dxa"/>
            <w:vAlign w:val="bottom"/>
          </w:tcPr>
          <w:p>
            <w:pPr>
              <w:spacing w:after="0"/>
              <w:rPr>
                <w:sz w:val="18"/>
                <w:szCs w:val="18"/>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w w:val="92"/>
              </w:rPr>
              <w:t>Lazard Group LLC and LAZ-MD Holdings LLC (incorporated by reference to Exhibit 10.2 to the Registrant’s Quarterly Report (File No. 333-</w:t>
            </w:r>
          </w:p>
        </w:tc>
      </w:tr>
      <w:tr>
        <w:trPr>
          <w:trHeight w:val="222"/>
        </w:trPr>
        <w:tc>
          <w:tcPr>
            <w:tcW w:w="780" w:type="dxa"/>
            <w:vAlign w:val="bottom"/>
          </w:tcPr>
          <w:p>
            <w:pPr>
              <w:spacing w:after="0"/>
              <w:rPr>
                <w:sz w:val="19"/>
                <w:szCs w:val="19"/>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rPr>
              <w:t>126751) on Form 10-Q filed on November 7, 2006).</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10.3</w:t>
            </w:r>
          </w:p>
        </w:tc>
        <w:tc>
          <w:tcPr>
            <w:tcW w:w="10620" w:type="dxa"/>
            <w:vAlign w:val="bottom"/>
          </w:tcPr>
          <w:p>
            <w:pPr>
              <w:ind w:left="380"/>
              <w:spacing w:after="0"/>
              <w:rPr>
                <w:sz w:val="20"/>
                <w:szCs w:val="20"/>
                <w:color w:val="auto"/>
              </w:rPr>
            </w:pPr>
            <w:r>
              <w:rPr>
                <w:rFonts w:ascii="Arial" w:cs="Arial" w:eastAsia="Arial" w:hAnsi="Arial"/>
                <w:sz w:val="18"/>
                <w:szCs w:val="18"/>
                <w:color w:val="auto"/>
                <w:w w:val="87"/>
              </w:rPr>
              <w:t>Second Amendment, dated as of May 7, 2008, to the Master Separation Agreement dated as of May 10, 2005, as amended, by and among Lazard</w:t>
            </w:r>
          </w:p>
        </w:tc>
      </w:tr>
      <w:tr>
        <w:trPr>
          <w:trHeight w:val="216"/>
        </w:trPr>
        <w:tc>
          <w:tcPr>
            <w:tcW w:w="780" w:type="dxa"/>
            <w:vAlign w:val="bottom"/>
          </w:tcPr>
          <w:p>
            <w:pPr>
              <w:spacing w:after="0"/>
              <w:rPr>
                <w:sz w:val="18"/>
                <w:szCs w:val="18"/>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w w:val="92"/>
              </w:rPr>
              <w:t>Ltd, Lazard Group LLC and LAZ-MD Holdings LLC (incorporated by reference to Exhibit 2.1 to the Registrant’s Current Report on Form 8-K</w:t>
            </w:r>
          </w:p>
        </w:tc>
      </w:tr>
      <w:tr>
        <w:trPr>
          <w:trHeight w:val="216"/>
        </w:trPr>
        <w:tc>
          <w:tcPr>
            <w:tcW w:w="780" w:type="dxa"/>
            <w:vAlign w:val="bottom"/>
          </w:tcPr>
          <w:p>
            <w:pPr>
              <w:spacing w:after="0"/>
              <w:rPr>
                <w:sz w:val="18"/>
                <w:szCs w:val="18"/>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rPr>
              <w:t>(File</w:t>
            </w:r>
          </w:p>
        </w:tc>
      </w:tr>
      <w:tr>
        <w:trPr>
          <w:trHeight w:val="222"/>
        </w:trPr>
        <w:tc>
          <w:tcPr>
            <w:tcW w:w="780" w:type="dxa"/>
            <w:vAlign w:val="bottom"/>
          </w:tcPr>
          <w:p>
            <w:pPr>
              <w:spacing w:after="0"/>
              <w:rPr>
                <w:sz w:val="19"/>
                <w:szCs w:val="19"/>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rPr>
              <w:t>No. 333-126751) filed on May 8, 2008).</w:t>
            </w:r>
          </w:p>
        </w:tc>
      </w:tr>
      <w:tr>
        <w:trPr>
          <w:trHeight w:val="331"/>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10620" w:type="dxa"/>
            <w:vAlign w:val="bottom"/>
          </w:tcPr>
          <w:p>
            <w:pPr>
              <w:ind w:left="380"/>
              <w:spacing w:after="0"/>
              <w:rPr>
                <w:sz w:val="20"/>
                <w:szCs w:val="20"/>
                <w:color w:val="auto"/>
              </w:rPr>
            </w:pPr>
            <w:r>
              <w:rPr>
                <w:rFonts w:ascii="Arial" w:cs="Arial" w:eastAsia="Arial" w:hAnsi="Arial"/>
                <w:sz w:val="18"/>
                <w:szCs w:val="18"/>
                <w:color w:val="auto"/>
                <w:w w:val="90"/>
              </w:rPr>
              <w:t>Class B-1 and Class C Members Transaction Agreement (incorporated by reference to Exhibit 2.2 to Lazard Ltd’s Registration Statement (File</w:t>
            </w:r>
          </w:p>
        </w:tc>
      </w:tr>
      <w:tr>
        <w:trPr>
          <w:trHeight w:val="222"/>
        </w:trPr>
        <w:tc>
          <w:tcPr>
            <w:tcW w:w="780" w:type="dxa"/>
            <w:vAlign w:val="bottom"/>
          </w:tcPr>
          <w:p>
            <w:pPr>
              <w:spacing w:after="0"/>
              <w:rPr>
                <w:sz w:val="19"/>
                <w:szCs w:val="19"/>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rPr>
              <w:t>No. 333-121407) on Form S-1 filed on December 17, 2004).</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10.5</w:t>
            </w:r>
          </w:p>
        </w:tc>
        <w:tc>
          <w:tcPr>
            <w:tcW w:w="10620" w:type="dxa"/>
            <w:vAlign w:val="bottom"/>
          </w:tcPr>
          <w:p>
            <w:pPr>
              <w:ind w:left="380"/>
              <w:spacing w:after="0"/>
              <w:rPr>
                <w:sz w:val="20"/>
                <w:szCs w:val="20"/>
                <w:color w:val="auto"/>
              </w:rPr>
            </w:pPr>
            <w:r>
              <w:rPr>
                <w:rFonts w:ascii="Arial" w:cs="Arial" w:eastAsia="Arial" w:hAnsi="Arial"/>
                <w:sz w:val="18"/>
                <w:szCs w:val="18"/>
                <w:color w:val="auto"/>
                <w:w w:val="89"/>
              </w:rPr>
              <w:t>Amended and Restated Stockholders’ Agreement, dated as of November 6, 2006, by and among LAZ-MD Holdings LLC, Lazard Ltd and certain</w:t>
            </w:r>
          </w:p>
        </w:tc>
      </w:tr>
      <w:tr>
        <w:trPr>
          <w:trHeight w:val="216"/>
        </w:trPr>
        <w:tc>
          <w:tcPr>
            <w:tcW w:w="780" w:type="dxa"/>
            <w:vAlign w:val="bottom"/>
          </w:tcPr>
          <w:p>
            <w:pPr>
              <w:spacing w:after="0"/>
              <w:rPr>
                <w:sz w:val="18"/>
                <w:szCs w:val="18"/>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w w:val="92"/>
              </w:rPr>
              <w:t>members of LAZ-MD Holdings LLC (incorporated by reference to Exhibit 10.4 to the Registrant’s Quarterly Report (File No. 333-126751) on</w:t>
            </w:r>
          </w:p>
        </w:tc>
      </w:tr>
      <w:tr>
        <w:trPr>
          <w:trHeight w:val="222"/>
        </w:trPr>
        <w:tc>
          <w:tcPr>
            <w:tcW w:w="780" w:type="dxa"/>
            <w:vAlign w:val="bottom"/>
          </w:tcPr>
          <w:p>
            <w:pPr>
              <w:spacing w:after="0"/>
              <w:rPr>
                <w:sz w:val="19"/>
                <w:szCs w:val="19"/>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rPr>
              <w:t>Form 10-Q filed on November 7, 2006).</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10.6</w:t>
            </w:r>
          </w:p>
        </w:tc>
        <w:tc>
          <w:tcPr>
            <w:tcW w:w="10620" w:type="dxa"/>
            <w:vAlign w:val="bottom"/>
          </w:tcPr>
          <w:p>
            <w:pPr>
              <w:ind w:left="380"/>
              <w:spacing w:after="0"/>
              <w:rPr>
                <w:sz w:val="20"/>
                <w:szCs w:val="20"/>
                <w:color w:val="auto"/>
              </w:rPr>
            </w:pPr>
            <w:r>
              <w:rPr>
                <w:rFonts w:ascii="Arial" w:cs="Arial" w:eastAsia="Arial" w:hAnsi="Arial"/>
                <w:sz w:val="18"/>
                <w:szCs w:val="18"/>
                <w:color w:val="auto"/>
                <w:w w:val="88"/>
              </w:rPr>
              <w:t>First Amendment dated as of May 7, 2008, to the Amended and Restated Stockholders’ Agreement dated as of November 6, 2006, between LAZ-</w:t>
            </w:r>
          </w:p>
        </w:tc>
      </w:tr>
      <w:tr>
        <w:trPr>
          <w:trHeight w:val="216"/>
        </w:trPr>
        <w:tc>
          <w:tcPr>
            <w:tcW w:w="780" w:type="dxa"/>
            <w:vAlign w:val="bottom"/>
          </w:tcPr>
          <w:p>
            <w:pPr>
              <w:spacing w:after="0"/>
              <w:rPr>
                <w:sz w:val="18"/>
                <w:szCs w:val="18"/>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w w:val="93"/>
              </w:rPr>
              <w:t>MD Holdings LLC and Lazard Ltd (incorporated by reference to Exhibit 10.6 to the Registrant’s Quarterly Report (File No. 333-126751) on</w:t>
            </w:r>
          </w:p>
        </w:tc>
      </w:tr>
      <w:tr>
        <w:trPr>
          <w:trHeight w:val="222"/>
        </w:trPr>
        <w:tc>
          <w:tcPr>
            <w:tcW w:w="780" w:type="dxa"/>
            <w:vAlign w:val="bottom"/>
          </w:tcPr>
          <w:p>
            <w:pPr>
              <w:spacing w:after="0"/>
              <w:rPr>
                <w:sz w:val="19"/>
                <w:szCs w:val="19"/>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rPr>
              <w:t>Form 10-Q filed on May 9, 2008).</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10.7</w:t>
            </w:r>
          </w:p>
        </w:tc>
        <w:tc>
          <w:tcPr>
            <w:tcW w:w="10620" w:type="dxa"/>
            <w:vAlign w:val="bottom"/>
          </w:tcPr>
          <w:p>
            <w:pPr>
              <w:ind w:left="380"/>
              <w:spacing w:after="0"/>
              <w:rPr>
                <w:sz w:val="20"/>
                <w:szCs w:val="20"/>
                <w:color w:val="auto"/>
              </w:rPr>
            </w:pPr>
            <w:r>
              <w:rPr>
                <w:rFonts w:ascii="Arial" w:cs="Arial" w:eastAsia="Arial" w:hAnsi="Arial"/>
                <w:sz w:val="18"/>
                <w:szCs w:val="18"/>
                <w:color w:val="auto"/>
                <w:w w:val="92"/>
              </w:rPr>
              <w:t>Employee Benefits Agreement, dated as of May 10, 2005, by and among Lazard Ltd, Lazard Group LLC, LAZ-MD Holdings LLC and LFCM</w:t>
            </w:r>
          </w:p>
        </w:tc>
      </w:tr>
      <w:tr>
        <w:trPr>
          <w:trHeight w:val="216"/>
        </w:trPr>
        <w:tc>
          <w:tcPr>
            <w:tcW w:w="780" w:type="dxa"/>
            <w:vAlign w:val="bottom"/>
          </w:tcPr>
          <w:p>
            <w:pPr>
              <w:spacing w:after="0"/>
              <w:rPr>
                <w:sz w:val="18"/>
                <w:szCs w:val="18"/>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w w:val="90"/>
              </w:rPr>
              <w:t>Holdings LLC (incorporated by reference to Exhibit 10.4 to Lazard Ltd’s Quarterly Report (File No. 001-32492) on Form 10-Q filed on June 16,</w:t>
            </w:r>
          </w:p>
        </w:tc>
      </w:tr>
      <w:tr>
        <w:trPr>
          <w:trHeight w:val="222"/>
        </w:trPr>
        <w:tc>
          <w:tcPr>
            <w:tcW w:w="780" w:type="dxa"/>
            <w:vAlign w:val="bottom"/>
          </w:tcPr>
          <w:p>
            <w:pPr>
              <w:spacing w:after="0"/>
              <w:rPr>
                <w:sz w:val="19"/>
                <w:szCs w:val="19"/>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rPr>
              <w:t>2005).</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10.8</w:t>
            </w:r>
          </w:p>
        </w:tc>
        <w:tc>
          <w:tcPr>
            <w:tcW w:w="10620" w:type="dxa"/>
            <w:vAlign w:val="bottom"/>
          </w:tcPr>
          <w:p>
            <w:pPr>
              <w:ind w:left="380"/>
              <w:spacing w:after="0"/>
              <w:rPr>
                <w:sz w:val="20"/>
                <w:szCs w:val="20"/>
                <w:color w:val="auto"/>
              </w:rPr>
            </w:pPr>
            <w:r>
              <w:rPr>
                <w:rFonts w:ascii="Arial" w:cs="Arial" w:eastAsia="Arial" w:hAnsi="Arial"/>
                <w:sz w:val="18"/>
                <w:szCs w:val="18"/>
                <w:color w:val="auto"/>
                <w:w w:val="94"/>
              </w:rPr>
              <w:t>Insurance Matters Agreement, dated as of May 10, 2005, by and between Lazard Group LLC and LFCM Holdings LLC (incorporated by</w:t>
            </w:r>
          </w:p>
        </w:tc>
      </w:tr>
      <w:tr>
        <w:trPr>
          <w:trHeight w:val="222"/>
        </w:trPr>
        <w:tc>
          <w:tcPr>
            <w:tcW w:w="780" w:type="dxa"/>
            <w:vAlign w:val="bottom"/>
          </w:tcPr>
          <w:p>
            <w:pPr>
              <w:spacing w:after="0"/>
              <w:rPr>
                <w:sz w:val="19"/>
                <w:szCs w:val="19"/>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rPr>
              <w:t>reference to Exhibit 10.5 to Lazard Ltd’s Quarterly Report (File No. 001-32492) on Form 10-Q filed on June 16, 2005).</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10.9</w:t>
            </w:r>
          </w:p>
        </w:tc>
        <w:tc>
          <w:tcPr>
            <w:tcW w:w="10620" w:type="dxa"/>
            <w:vAlign w:val="bottom"/>
          </w:tcPr>
          <w:p>
            <w:pPr>
              <w:ind w:left="380"/>
              <w:spacing w:after="0"/>
              <w:rPr>
                <w:sz w:val="20"/>
                <w:szCs w:val="20"/>
                <w:color w:val="auto"/>
              </w:rPr>
            </w:pPr>
            <w:r>
              <w:rPr>
                <w:rFonts w:ascii="Arial" w:cs="Arial" w:eastAsia="Arial" w:hAnsi="Arial"/>
                <w:sz w:val="18"/>
                <w:szCs w:val="18"/>
                <w:color w:val="auto"/>
                <w:w w:val="89"/>
              </w:rPr>
              <w:t>License Agreement, dated as of May 10, 2005, by and among Lazard Strategic Coordination Company, LLC, Lazard Frères &amp; Co. LLC, Lazard</w:t>
            </w:r>
          </w:p>
        </w:tc>
      </w:tr>
      <w:tr>
        <w:trPr>
          <w:trHeight w:val="216"/>
        </w:trPr>
        <w:tc>
          <w:tcPr>
            <w:tcW w:w="780" w:type="dxa"/>
            <w:vAlign w:val="bottom"/>
          </w:tcPr>
          <w:p>
            <w:pPr>
              <w:spacing w:after="0"/>
              <w:rPr>
                <w:sz w:val="18"/>
                <w:szCs w:val="18"/>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w w:val="92"/>
              </w:rPr>
              <w:t>Frères S.A.S., Lazard &amp; Co. Holdings Limited and LFCM Holdings LLC (incorporated by reference to Exhibit 10.6 to Lazard Ltd’s Quarterly</w:t>
            </w:r>
          </w:p>
        </w:tc>
      </w:tr>
      <w:tr>
        <w:trPr>
          <w:trHeight w:val="222"/>
        </w:trPr>
        <w:tc>
          <w:tcPr>
            <w:tcW w:w="780" w:type="dxa"/>
            <w:vAlign w:val="bottom"/>
          </w:tcPr>
          <w:p>
            <w:pPr>
              <w:spacing w:after="0"/>
              <w:rPr>
                <w:sz w:val="19"/>
                <w:szCs w:val="19"/>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10.10</w:t>
            </w:r>
          </w:p>
        </w:tc>
        <w:tc>
          <w:tcPr>
            <w:tcW w:w="10620" w:type="dxa"/>
            <w:vAlign w:val="bottom"/>
          </w:tcPr>
          <w:p>
            <w:pPr>
              <w:ind w:left="380"/>
              <w:spacing w:after="0"/>
              <w:rPr>
                <w:sz w:val="20"/>
                <w:szCs w:val="20"/>
                <w:color w:val="auto"/>
              </w:rPr>
            </w:pPr>
            <w:r>
              <w:rPr>
                <w:rFonts w:ascii="Arial" w:cs="Arial" w:eastAsia="Arial" w:hAnsi="Arial"/>
                <w:sz w:val="18"/>
                <w:szCs w:val="18"/>
                <w:color w:val="auto"/>
                <w:w w:val="90"/>
              </w:rPr>
              <w:t>Administrative Services Agreement, dated as of May 10, 2005, by and among LAZ-MD Holdings LLC, LFCM Holdings LLC and Lazard Group</w:t>
            </w:r>
          </w:p>
        </w:tc>
      </w:tr>
      <w:tr>
        <w:trPr>
          <w:trHeight w:val="222"/>
        </w:trPr>
        <w:tc>
          <w:tcPr>
            <w:tcW w:w="780" w:type="dxa"/>
            <w:vAlign w:val="bottom"/>
          </w:tcPr>
          <w:p>
            <w:pPr>
              <w:spacing w:after="0"/>
              <w:rPr>
                <w:sz w:val="19"/>
                <w:szCs w:val="19"/>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w w:val="92"/>
              </w:rPr>
              <w:t>LLC (incorporated by reference to Exhibit 10.7 to Lazard Ltd’s Quarterly Report (File No. 001-32492) on Form 10-Q filed on June 16, 2005).</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10.11</w:t>
            </w:r>
          </w:p>
        </w:tc>
        <w:tc>
          <w:tcPr>
            <w:tcW w:w="10620" w:type="dxa"/>
            <w:vAlign w:val="bottom"/>
          </w:tcPr>
          <w:p>
            <w:pPr>
              <w:ind w:left="380"/>
              <w:spacing w:after="0"/>
              <w:rPr>
                <w:sz w:val="20"/>
                <w:szCs w:val="20"/>
                <w:color w:val="auto"/>
              </w:rPr>
            </w:pPr>
            <w:r>
              <w:rPr>
                <w:rFonts w:ascii="Arial" w:cs="Arial" w:eastAsia="Arial" w:hAnsi="Arial"/>
                <w:sz w:val="18"/>
                <w:szCs w:val="18"/>
                <w:color w:val="auto"/>
                <w:w w:val="95"/>
              </w:rPr>
              <w:t>Business Alliance Agreement, dated as of May 10, 2005, by and between Lazard Group LLC and LFCM Holdings LLC (incorporated by</w:t>
            </w:r>
          </w:p>
        </w:tc>
      </w:tr>
      <w:tr>
        <w:trPr>
          <w:trHeight w:val="222"/>
        </w:trPr>
        <w:tc>
          <w:tcPr>
            <w:tcW w:w="780" w:type="dxa"/>
            <w:vAlign w:val="bottom"/>
          </w:tcPr>
          <w:p>
            <w:pPr>
              <w:spacing w:after="0"/>
              <w:rPr>
                <w:sz w:val="19"/>
                <w:szCs w:val="19"/>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rPr>
              <w:t>reference to Exhibit 10.8 to Lazard Ltd’s Quarterly Report (File No. 001-32492) on Form 10-Q filed on June 16, 2005).</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10.12</w:t>
            </w:r>
          </w:p>
        </w:tc>
        <w:tc>
          <w:tcPr>
            <w:tcW w:w="10620" w:type="dxa"/>
            <w:vAlign w:val="bottom"/>
          </w:tcPr>
          <w:p>
            <w:pPr>
              <w:ind w:left="380"/>
              <w:spacing w:after="0"/>
              <w:rPr>
                <w:sz w:val="20"/>
                <w:szCs w:val="20"/>
                <w:color w:val="auto"/>
              </w:rPr>
            </w:pPr>
            <w:r>
              <w:rPr>
                <w:rFonts w:ascii="Arial" w:cs="Arial" w:eastAsia="Arial" w:hAnsi="Arial"/>
                <w:sz w:val="18"/>
                <w:szCs w:val="18"/>
                <w:color w:val="auto"/>
                <w:w w:val="88"/>
              </w:rPr>
              <w:t>Amendment and Consent, dated February 9, 2009, to the Business Alliance Agreement, dated as of May 10, 2005, by and between Lazard Group</w:t>
            </w:r>
          </w:p>
        </w:tc>
      </w:tr>
      <w:tr>
        <w:trPr>
          <w:trHeight w:val="216"/>
        </w:trPr>
        <w:tc>
          <w:tcPr>
            <w:tcW w:w="780" w:type="dxa"/>
            <w:vAlign w:val="bottom"/>
          </w:tcPr>
          <w:p>
            <w:pPr>
              <w:spacing w:after="0"/>
              <w:rPr>
                <w:sz w:val="18"/>
                <w:szCs w:val="18"/>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w w:val="91"/>
              </w:rPr>
              <w:t>LLC and LFCM Holdings LLC (incorporated by reference to Exhibit 10.12 to Registrant’s Annual Report (File No. 333-126751) on Form 10-K</w:t>
            </w:r>
          </w:p>
        </w:tc>
      </w:tr>
      <w:tr>
        <w:trPr>
          <w:trHeight w:val="222"/>
        </w:trPr>
        <w:tc>
          <w:tcPr>
            <w:tcW w:w="780" w:type="dxa"/>
            <w:vAlign w:val="bottom"/>
          </w:tcPr>
          <w:p>
            <w:pPr>
              <w:spacing w:after="0"/>
              <w:rPr>
                <w:sz w:val="19"/>
                <w:szCs w:val="19"/>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rPr>
              <w:t>filed on March 2, 2009).</w:t>
            </w:r>
          </w:p>
        </w:tc>
      </w:tr>
      <w:tr>
        <w:trPr>
          <w:trHeight w:val="365"/>
        </w:trPr>
        <w:tc>
          <w:tcPr>
            <w:tcW w:w="780" w:type="dxa"/>
            <w:vAlign w:val="bottom"/>
          </w:tcPr>
          <w:p>
            <w:pPr>
              <w:spacing w:after="0"/>
              <w:rPr>
                <w:sz w:val="24"/>
                <w:szCs w:val="24"/>
                <w:color w:val="auto"/>
              </w:rPr>
            </w:pPr>
          </w:p>
        </w:tc>
        <w:tc>
          <w:tcPr>
            <w:tcW w:w="10620" w:type="dxa"/>
            <w:vAlign w:val="bottom"/>
          </w:tcPr>
          <w:p>
            <w:pPr>
              <w:ind w:left="4800"/>
              <w:spacing w:after="0"/>
              <w:rPr>
                <w:sz w:val="20"/>
                <w:szCs w:val="20"/>
                <w:color w:val="auto"/>
              </w:rPr>
            </w:pPr>
            <w:r>
              <w:rPr>
                <w:rFonts w:ascii="Arial" w:cs="Arial" w:eastAsia="Arial" w:hAnsi="Arial"/>
                <w:sz w:val="18"/>
                <w:szCs w:val="18"/>
                <w:color w:val="auto"/>
              </w:rPr>
              <w:t>171</w:t>
            </w:r>
          </w:p>
        </w:tc>
      </w:tr>
    </w:tbl>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10.13</w:t>
            </w:r>
          </w:p>
        </w:tc>
        <w:tc>
          <w:tcPr>
            <w:tcW w:w="10600" w:type="dxa"/>
            <w:vAlign w:val="bottom"/>
          </w:tcPr>
          <w:p>
            <w:pPr>
              <w:ind w:left="340"/>
              <w:spacing w:after="0"/>
              <w:rPr>
                <w:sz w:val="20"/>
                <w:szCs w:val="20"/>
                <w:color w:val="auto"/>
              </w:rPr>
            </w:pPr>
            <w:r>
              <w:rPr>
                <w:rFonts w:ascii="Arial" w:cs="Arial" w:eastAsia="Arial" w:hAnsi="Arial"/>
                <w:sz w:val="18"/>
                <w:szCs w:val="18"/>
                <w:color w:val="auto"/>
                <w:w w:val="91"/>
              </w:rPr>
              <w:t>Amended and Restated Operating Agreement of Lazard Strategic Coordination Company LLC, dated as of January 1, 2002 (incorporated by</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8"/>
              </w:rPr>
              <w:t>reference to Exhibit 10.16 to Lazard Ltd’s Registration Statement (File No. 333-121407) on Form S-1/A filed on February 11,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10.14</w:t>
            </w:r>
          </w:p>
        </w:tc>
        <w:tc>
          <w:tcPr>
            <w:tcW w:w="10600" w:type="dxa"/>
            <w:vAlign w:val="bottom"/>
          </w:tcPr>
          <w:p>
            <w:pPr>
              <w:ind w:left="340"/>
              <w:spacing w:after="0"/>
              <w:rPr>
                <w:sz w:val="20"/>
                <w:szCs w:val="20"/>
                <w:color w:val="auto"/>
              </w:rPr>
            </w:pPr>
            <w:r>
              <w:rPr>
                <w:rFonts w:ascii="Arial" w:cs="Arial" w:eastAsia="Arial" w:hAnsi="Arial"/>
                <w:sz w:val="18"/>
                <w:szCs w:val="18"/>
                <w:color w:val="auto"/>
                <w:w w:val="89"/>
              </w:rPr>
              <w:t>Lease, dated as of January 27, 1994, by and between Rockefeller Center Properties and Lazard Frères &amp; Co. LLC (incorporated by reference to</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Exhibit 10.19 to Lazard Ltd’s Registration Statement (File No. 333-121407) on Form S-1/A filed on February 11,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10.15</w:t>
            </w:r>
          </w:p>
        </w:tc>
        <w:tc>
          <w:tcPr>
            <w:tcW w:w="10600" w:type="dxa"/>
            <w:vAlign w:val="bottom"/>
          </w:tcPr>
          <w:p>
            <w:pPr>
              <w:ind w:left="340"/>
              <w:spacing w:after="0"/>
              <w:rPr>
                <w:sz w:val="20"/>
                <w:szCs w:val="20"/>
                <w:color w:val="auto"/>
              </w:rPr>
            </w:pPr>
            <w:r>
              <w:rPr>
                <w:rFonts w:ascii="Arial" w:cs="Arial" w:eastAsia="Arial" w:hAnsi="Arial"/>
                <w:sz w:val="18"/>
                <w:szCs w:val="18"/>
                <w:color w:val="auto"/>
                <w:w w:val="91"/>
              </w:rPr>
              <w:t>Lease with an Option to Purchase, dated as of July 11, 1990, by and between Sicomibail and Finabail and SCI du 121 Boulevard Hausmann</w:t>
            </w:r>
          </w:p>
        </w:tc>
      </w:tr>
      <w:tr>
        <w:trPr>
          <w:trHeight w:val="216"/>
        </w:trPr>
        <w:tc>
          <w:tcPr>
            <w:tcW w:w="82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1"/>
              </w:rPr>
              <w:t>(English translation) (incorporated by reference to Exhibit 10.20 to Lazard Ltd’s Registration Statement (File No. 333-121407) on Form S-1/A</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filed on February 11,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10.16</w:t>
            </w:r>
          </w:p>
        </w:tc>
        <w:tc>
          <w:tcPr>
            <w:tcW w:w="10600" w:type="dxa"/>
            <w:vAlign w:val="bottom"/>
          </w:tcPr>
          <w:p>
            <w:pPr>
              <w:ind w:left="340"/>
              <w:spacing w:after="0"/>
              <w:rPr>
                <w:sz w:val="20"/>
                <w:szCs w:val="20"/>
                <w:color w:val="auto"/>
              </w:rPr>
            </w:pPr>
            <w:r>
              <w:rPr>
                <w:rFonts w:ascii="Arial" w:cs="Arial" w:eastAsia="Arial" w:hAnsi="Arial"/>
                <w:sz w:val="18"/>
                <w:szCs w:val="18"/>
                <w:color w:val="auto"/>
                <w:w w:val="91"/>
              </w:rPr>
              <w:t>Occupational Lease, dated as of August 9, 2002, by and among Burford (Stratton) Nominee 1 Limited, Burford (Stratton) Nominee 2 Limited,</w:t>
            </w:r>
          </w:p>
        </w:tc>
      </w:tr>
      <w:tr>
        <w:trPr>
          <w:trHeight w:val="216"/>
        </w:trPr>
        <w:tc>
          <w:tcPr>
            <w:tcW w:w="82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4"/>
              </w:rPr>
              <w:t>Burford (Stratton) Limited, Lazard &amp; Co., Limited and Lazard LLC (incorporated by reference to Exhibit 10.21 to Lazard Ltd’s Registration</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Statement (File No. 333-121407) on Form S-1/A filed on February 11,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10.17*</w:t>
            </w:r>
          </w:p>
        </w:tc>
        <w:tc>
          <w:tcPr>
            <w:tcW w:w="10600" w:type="dxa"/>
            <w:vAlign w:val="bottom"/>
          </w:tcPr>
          <w:p>
            <w:pPr>
              <w:ind w:left="340"/>
              <w:spacing w:after="0"/>
              <w:rPr>
                <w:sz w:val="20"/>
                <w:szCs w:val="20"/>
                <w:color w:val="auto"/>
              </w:rPr>
            </w:pPr>
            <w:r>
              <w:rPr>
                <w:rFonts w:ascii="Arial" w:cs="Arial" w:eastAsia="Arial" w:hAnsi="Arial"/>
                <w:sz w:val="18"/>
                <w:szCs w:val="18"/>
                <w:color w:val="auto"/>
                <w:w w:val="94"/>
              </w:rPr>
              <w:t>Lazard Ltd’s 2005 Equity Incentive Plan (incorporated by reference to Exhibit 10.21 to Lazard Ltd’s Registration Statement (File No. 333-</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121407) on Form S-1/A filed on May 2,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10.18*</w:t>
            </w:r>
          </w:p>
        </w:tc>
        <w:tc>
          <w:tcPr>
            <w:tcW w:w="10600" w:type="dxa"/>
            <w:vAlign w:val="bottom"/>
          </w:tcPr>
          <w:p>
            <w:pPr>
              <w:ind w:left="340"/>
              <w:spacing w:after="0"/>
              <w:rPr>
                <w:sz w:val="20"/>
                <w:szCs w:val="20"/>
                <w:color w:val="auto"/>
              </w:rPr>
            </w:pPr>
            <w:r>
              <w:rPr>
                <w:rFonts w:ascii="Arial" w:cs="Arial" w:eastAsia="Arial" w:hAnsi="Arial"/>
                <w:sz w:val="18"/>
                <w:szCs w:val="18"/>
                <w:color w:val="auto"/>
                <w:w w:val="96"/>
              </w:rPr>
              <w:t>Lazard Ltd’s 2008 Incentive Compensation Plan (incorporated by reference to Annex B to Lazard Ltd’s Definitive Proxy Statement on</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Schedule 14A (File No. 001-32492) filed on March 24, 2008).</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10.19*</w:t>
            </w:r>
          </w:p>
        </w:tc>
        <w:tc>
          <w:tcPr>
            <w:tcW w:w="10600" w:type="dxa"/>
            <w:vAlign w:val="bottom"/>
          </w:tcPr>
          <w:p>
            <w:pPr>
              <w:ind w:left="340"/>
              <w:spacing w:after="0"/>
              <w:rPr>
                <w:sz w:val="20"/>
                <w:szCs w:val="20"/>
                <w:color w:val="auto"/>
              </w:rPr>
            </w:pPr>
            <w:r>
              <w:rPr>
                <w:rFonts w:ascii="Arial" w:cs="Arial" w:eastAsia="Arial" w:hAnsi="Arial"/>
                <w:sz w:val="18"/>
                <w:szCs w:val="18"/>
                <w:color w:val="auto"/>
                <w:w w:val="89"/>
              </w:rPr>
              <w:t>Lazard Ltd’s 2005 Bonus Plan (incorporated by reference to Exhibit 10.23 to Lazard Ltd’s Registration Statement (File No. 333-121407) on Form</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S-1/A filed on March 21,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10.20*</w:t>
            </w:r>
          </w:p>
        </w:tc>
        <w:tc>
          <w:tcPr>
            <w:tcW w:w="10600" w:type="dxa"/>
            <w:vAlign w:val="bottom"/>
          </w:tcPr>
          <w:p>
            <w:pPr>
              <w:ind w:left="340"/>
              <w:spacing w:after="0"/>
              <w:rPr>
                <w:sz w:val="20"/>
                <w:szCs w:val="20"/>
                <w:color w:val="auto"/>
              </w:rPr>
            </w:pPr>
            <w:r>
              <w:rPr>
                <w:rFonts w:ascii="Arial" w:cs="Arial" w:eastAsia="Arial" w:hAnsi="Arial"/>
                <w:sz w:val="18"/>
                <w:szCs w:val="18"/>
                <w:color w:val="auto"/>
                <w:w w:val="87"/>
              </w:rPr>
              <w:t>Amended and Restated Agreement Relating to Retention and Noncompetition and Other Covenants, dated as of January 29, 2008, by and among</w:t>
            </w:r>
          </w:p>
        </w:tc>
      </w:tr>
      <w:tr>
        <w:trPr>
          <w:trHeight w:val="216"/>
        </w:trPr>
        <w:tc>
          <w:tcPr>
            <w:tcW w:w="82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2"/>
              </w:rPr>
              <w:t>Lazard Ltd, Lazard Group LLC and Bruce Wasserstein (incorporated by reference to Exhibit 10.1 to Lazard Group LLC’s Current Report on</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Form 8-K (File No. 333-126751) filed on February 1, 2008).</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10.21*</w:t>
            </w:r>
          </w:p>
        </w:tc>
        <w:tc>
          <w:tcPr>
            <w:tcW w:w="10600" w:type="dxa"/>
            <w:vAlign w:val="bottom"/>
          </w:tcPr>
          <w:p>
            <w:pPr>
              <w:ind w:left="340"/>
              <w:spacing w:after="0"/>
              <w:rPr>
                <w:sz w:val="20"/>
                <w:szCs w:val="20"/>
                <w:color w:val="auto"/>
              </w:rPr>
            </w:pPr>
            <w:r>
              <w:rPr>
                <w:rFonts w:ascii="Arial" w:cs="Arial" w:eastAsia="Arial" w:hAnsi="Arial"/>
                <w:sz w:val="18"/>
                <w:szCs w:val="18"/>
                <w:color w:val="auto"/>
                <w:w w:val="89"/>
              </w:rPr>
              <w:t>Agreement Relating to Reorganization of Lazard, dated as of May 10, 2005, by and among Lazard LLC and Bruce Wasserstein (incorporated by</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reference to Exhibit 10.24 to Lazard Ltd’s Quarterly Report (File No. 001-32492) on Form 10-Q filed on June 16,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10.22*</w:t>
            </w:r>
          </w:p>
        </w:tc>
        <w:tc>
          <w:tcPr>
            <w:tcW w:w="10600" w:type="dxa"/>
            <w:vAlign w:val="bottom"/>
          </w:tcPr>
          <w:p>
            <w:pPr>
              <w:ind w:left="340"/>
              <w:spacing w:after="0"/>
              <w:rPr>
                <w:sz w:val="20"/>
                <w:szCs w:val="20"/>
                <w:color w:val="auto"/>
              </w:rPr>
            </w:pPr>
            <w:r>
              <w:rPr>
                <w:rFonts w:ascii="Arial" w:cs="Arial" w:eastAsia="Arial" w:hAnsi="Arial"/>
                <w:sz w:val="18"/>
                <w:szCs w:val="18"/>
                <w:color w:val="auto"/>
                <w:w w:val="91"/>
              </w:rPr>
              <w:t>Amended and Restated Agreement Relating to Retention and Noncompetition and Other Covenants, dated as of May 7, 2008, by and among</w:t>
            </w:r>
          </w:p>
        </w:tc>
      </w:tr>
      <w:tr>
        <w:trPr>
          <w:trHeight w:val="216"/>
        </w:trPr>
        <w:tc>
          <w:tcPr>
            <w:tcW w:w="82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0"/>
              </w:rPr>
              <w:t>Lazard Ltd, Lazard Group LLC and Steven J. Golub (incorporated by reference to Exhibit 10.1 to the Registrant’s Current Report (File No. 333-</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126751) on Form 8-K filed on May 8, 2008).</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10.23*</w:t>
            </w:r>
          </w:p>
        </w:tc>
        <w:tc>
          <w:tcPr>
            <w:tcW w:w="10600" w:type="dxa"/>
            <w:vAlign w:val="bottom"/>
          </w:tcPr>
          <w:p>
            <w:pPr>
              <w:ind w:left="340"/>
              <w:spacing w:after="0"/>
              <w:rPr>
                <w:sz w:val="20"/>
                <w:szCs w:val="20"/>
                <w:color w:val="auto"/>
              </w:rPr>
            </w:pPr>
            <w:r>
              <w:rPr>
                <w:rFonts w:ascii="Arial" w:cs="Arial" w:eastAsia="Arial" w:hAnsi="Arial"/>
                <w:sz w:val="18"/>
                <w:szCs w:val="18"/>
                <w:color w:val="auto"/>
                <w:w w:val="88"/>
              </w:rPr>
              <w:t>Amendment No. 1, dated as of February 26, 2009, to the Amended and Restated Agreement Relating to Retention and Noncompetition and Other</w:t>
            </w:r>
          </w:p>
        </w:tc>
      </w:tr>
      <w:tr>
        <w:trPr>
          <w:trHeight w:val="216"/>
        </w:trPr>
        <w:tc>
          <w:tcPr>
            <w:tcW w:w="82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1"/>
              </w:rPr>
              <w:t>Covenants, dated as of May 7, 2008, by and among Lazard Ltd, Lazard Group LLC and Steven J. Golub (incorporated by reference to Exhibit</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10.23 to Registrant’s Annual Report (File No. 333-126751) on Form 10-K filed on March 2, 2009).</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10.24*</w:t>
            </w:r>
          </w:p>
        </w:tc>
        <w:tc>
          <w:tcPr>
            <w:tcW w:w="10600" w:type="dxa"/>
            <w:vAlign w:val="bottom"/>
          </w:tcPr>
          <w:p>
            <w:pPr>
              <w:ind w:left="340"/>
              <w:spacing w:after="0"/>
              <w:rPr>
                <w:sz w:val="20"/>
                <w:szCs w:val="20"/>
                <w:color w:val="auto"/>
              </w:rPr>
            </w:pPr>
            <w:r>
              <w:rPr>
                <w:rFonts w:ascii="Arial" w:cs="Arial" w:eastAsia="Arial" w:hAnsi="Arial"/>
                <w:sz w:val="18"/>
                <w:szCs w:val="18"/>
                <w:color w:val="auto"/>
                <w:w w:val="94"/>
              </w:rPr>
              <w:t>Form of Agreement Relating to Retention and Noncompetition and Other Covenants, dated as of May 4, 2005, applicable to, and related</w:t>
            </w:r>
          </w:p>
        </w:tc>
      </w:tr>
      <w:tr>
        <w:trPr>
          <w:trHeight w:val="216"/>
        </w:trPr>
        <w:tc>
          <w:tcPr>
            <w:tcW w:w="82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6"/>
              </w:rPr>
              <w:t>Schedule I for, each of Michael J. Castellano, Scott D. Hoffman and Charles G. Ward III (incorporated by reference to Exhibit 10.26 to</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Lazard Ltd’s Quarterly Report (File No. 001-32492) on Form 10-Q filed on June 16,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10.25*</w:t>
            </w:r>
          </w:p>
        </w:tc>
        <w:tc>
          <w:tcPr>
            <w:tcW w:w="10600" w:type="dxa"/>
            <w:vAlign w:val="bottom"/>
          </w:tcPr>
          <w:p>
            <w:pPr>
              <w:ind w:left="340"/>
              <w:spacing w:after="0"/>
              <w:rPr>
                <w:sz w:val="20"/>
                <w:szCs w:val="20"/>
                <w:color w:val="auto"/>
              </w:rPr>
            </w:pPr>
            <w:r>
              <w:rPr>
                <w:rFonts w:ascii="Arial" w:cs="Arial" w:eastAsia="Arial" w:hAnsi="Arial"/>
                <w:sz w:val="18"/>
                <w:szCs w:val="18"/>
                <w:color w:val="auto"/>
                <w:w w:val="90"/>
              </w:rPr>
              <w:t>Form of First Amendment, dated as of May 7, 2008, to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2"/>
              </w:rPr>
              <w:t>May 4, 2005, for each of Michael J. Castellano, Scott D. Hoffman and Charles G. Ward, III (incorporated by reference to Exhibit 10.2 to the</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Registrant’s Current Report on Form 8-K (File No. 333-126751) filed on May 8, 2008).</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10.26*</w:t>
            </w:r>
          </w:p>
        </w:tc>
        <w:tc>
          <w:tcPr>
            <w:tcW w:w="10600" w:type="dxa"/>
            <w:vAlign w:val="bottom"/>
          </w:tcPr>
          <w:p>
            <w:pPr>
              <w:ind w:left="340"/>
              <w:spacing w:after="0"/>
              <w:rPr>
                <w:sz w:val="20"/>
                <w:szCs w:val="20"/>
                <w:color w:val="auto"/>
              </w:rPr>
            </w:pPr>
            <w:r>
              <w:rPr>
                <w:rFonts w:ascii="Arial" w:cs="Arial" w:eastAsia="Arial" w:hAnsi="Arial"/>
                <w:sz w:val="18"/>
                <w:szCs w:val="18"/>
                <w:color w:val="auto"/>
                <w:w w:val="89"/>
              </w:rPr>
              <w:t>Second Amendment, dated as of February 26, 2009, to Agreement Relating to Retention and Noncompetition and Other Covenants dated as of</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89"/>
              </w:rPr>
              <w:t>May 4, 2005 (as amended from time to time), for Michael J. Castellano (incorporated by reference to Exhibit 10.26 to Registrant’s Annual Report</w:t>
            </w:r>
          </w:p>
        </w:tc>
      </w:tr>
    </w:tbl>
    <w:p>
      <w:pPr>
        <w:ind w:left="1160"/>
        <w:spacing w:after="0"/>
        <w:rPr>
          <w:sz w:val="20"/>
          <w:szCs w:val="20"/>
          <w:color w:val="auto"/>
        </w:rPr>
      </w:pPr>
      <w:r>
        <w:rPr>
          <w:rFonts w:ascii="Arial" w:cs="Arial" w:eastAsia="Arial" w:hAnsi="Arial"/>
          <w:sz w:val="18"/>
          <w:szCs w:val="18"/>
          <w:color w:val="auto"/>
        </w:rPr>
        <w:t>(File</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 333-126751) on Form 10-K filed on March 2, 2009).</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10.27*</w:t>
            </w:r>
          </w:p>
        </w:tc>
        <w:tc>
          <w:tcPr>
            <w:tcW w:w="10580" w:type="dxa"/>
            <w:vAlign w:val="bottom"/>
          </w:tcPr>
          <w:p>
            <w:pPr>
              <w:ind w:left="340"/>
              <w:spacing w:after="0"/>
              <w:rPr>
                <w:sz w:val="20"/>
                <w:szCs w:val="20"/>
                <w:color w:val="auto"/>
              </w:rPr>
            </w:pPr>
            <w:r>
              <w:rPr>
                <w:rFonts w:ascii="Arial" w:cs="Arial" w:eastAsia="Arial" w:hAnsi="Arial"/>
                <w:sz w:val="18"/>
                <w:szCs w:val="18"/>
                <w:color w:val="auto"/>
                <w:w w:val="89"/>
              </w:rPr>
              <w:t>Form of Agreements Relating to Retention and Noncompetition and Other Covenants (incorporated by reference to Exhibit 10.27 to Lazard Ltd’s</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Registration Statement (File No. 333-121407) on</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Form S-1/A filed on April 11, 2005).</w:t>
            </w:r>
          </w:p>
        </w:tc>
      </w:tr>
      <w:tr>
        <w:trPr>
          <w:trHeight w:val="331"/>
        </w:trPr>
        <w:tc>
          <w:tcPr>
            <w:tcW w:w="820" w:type="dxa"/>
            <w:vAlign w:val="bottom"/>
          </w:tcPr>
          <w:p>
            <w:pPr>
              <w:spacing w:after="0"/>
              <w:rPr>
                <w:sz w:val="20"/>
                <w:szCs w:val="20"/>
                <w:color w:val="auto"/>
              </w:rPr>
            </w:pPr>
            <w:r>
              <w:rPr>
                <w:rFonts w:ascii="Arial" w:cs="Arial" w:eastAsia="Arial" w:hAnsi="Arial"/>
                <w:sz w:val="18"/>
                <w:szCs w:val="18"/>
                <w:color w:val="auto"/>
              </w:rPr>
              <w:t>10.28*</w:t>
            </w:r>
          </w:p>
        </w:tc>
        <w:tc>
          <w:tcPr>
            <w:tcW w:w="10580" w:type="dxa"/>
            <w:vAlign w:val="bottom"/>
          </w:tcPr>
          <w:p>
            <w:pPr>
              <w:ind w:left="340"/>
              <w:spacing w:after="0"/>
              <w:rPr>
                <w:sz w:val="20"/>
                <w:szCs w:val="20"/>
                <w:color w:val="auto"/>
              </w:rPr>
            </w:pPr>
            <w:r>
              <w:rPr>
                <w:rFonts w:ascii="Arial" w:cs="Arial" w:eastAsia="Arial" w:hAnsi="Arial"/>
                <w:sz w:val="18"/>
                <w:szCs w:val="18"/>
                <w:color w:val="auto"/>
                <w:w w:val="88"/>
              </w:rPr>
              <w:t>Agreement Relating to Retention and Noncompetition and Other Covenants, dated as of October 4, 2004 by and between Lazard Group LLC and</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3"/>
              </w:rPr>
              <w:t>Alexander F. Stern (incorporated by reference to Exhibit 10.28 to Registrant’s Annual Report (File No. 333-126751) on Form 10-K filed on</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March 2, 2009).</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10.29*</w:t>
            </w:r>
          </w:p>
        </w:tc>
        <w:tc>
          <w:tcPr>
            <w:tcW w:w="10580" w:type="dxa"/>
            <w:vAlign w:val="bottom"/>
          </w:tcPr>
          <w:p>
            <w:pPr>
              <w:ind w:left="340"/>
              <w:spacing w:after="0"/>
              <w:rPr>
                <w:sz w:val="20"/>
                <w:szCs w:val="20"/>
                <w:color w:val="auto"/>
              </w:rPr>
            </w:pPr>
            <w:r>
              <w:rPr>
                <w:rFonts w:ascii="Arial" w:cs="Arial" w:eastAsia="Arial" w:hAnsi="Arial"/>
                <w:sz w:val="18"/>
                <w:szCs w:val="18"/>
                <w:color w:val="auto"/>
                <w:w w:val="88"/>
              </w:rPr>
              <w:t>Agreement Relating to Retention and Noncompetition and Other Covenants, dated as of March 18, 2005, by and between Lazard Group LLC and</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Kenneth M. Jacobs.</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10.30*</w:t>
            </w:r>
          </w:p>
        </w:tc>
        <w:tc>
          <w:tcPr>
            <w:tcW w:w="10580" w:type="dxa"/>
            <w:vAlign w:val="bottom"/>
          </w:tcPr>
          <w:p>
            <w:pPr>
              <w:ind w:left="340"/>
              <w:spacing w:after="0"/>
              <w:rPr>
                <w:sz w:val="20"/>
                <w:szCs w:val="20"/>
                <w:color w:val="auto"/>
              </w:rPr>
            </w:pPr>
            <w:r>
              <w:rPr>
                <w:rFonts w:ascii="Arial" w:cs="Arial" w:eastAsia="Arial" w:hAnsi="Arial"/>
                <w:sz w:val="18"/>
                <w:szCs w:val="18"/>
                <w:color w:val="auto"/>
                <w:w w:val="94"/>
              </w:rPr>
              <w:t>Amended and Restated Letter Agreement, effective as of January 1, 2004, between Vernon E. Jordan, Jr. and Lazard Frères &amp; Co. LLC</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4"/>
              </w:rPr>
              <w:t>(incorporated by reference to Exhibit 10.28 to Lazard Ltd’s Quarterly Report (File No. 001-32492) on Form 10-Q filed on June 16,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10.31*</w:t>
            </w:r>
          </w:p>
        </w:tc>
        <w:tc>
          <w:tcPr>
            <w:tcW w:w="10580" w:type="dxa"/>
            <w:vAlign w:val="bottom"/>
          </w:tcPr>
          <w:p>
            <w:pPr>
              <w:ind w:left="340"/>
              <w:spacing w:after="0"/>
              <w:rPr>
                <w:sz w:val="20"/>
                <w:szCs w:val="20"/>
                <w:color w:val="auto"/>
              </w:rPr>
            </w:pPr>
            <w:r>
              <w:rPr>
                <w:rFonts w:ascii="Arial" w:cs="Arial" w:eastAsia="Arial" w:hAnsi="Arial"/>
                <w:sz w:val="18"/>
                <w:szCs w:val="18"/>
                <w:color w:val="auto"/>
                <w:w w:val="96"/>
              </w:rPr>
              <w:t>Acknowledgement Letter, dated as of November 6, 2006, from Lazard Group LLC to certain managing directors of Lazard Group LLC</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88"/>
              </w:rPr>
              <w:t>modifying the terms of the retention agreements of persons party to the Amended and Restated Stockholders’ Agreement, dated as of November</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89"/>
              </w:rPr>
              <w:t>6, 2006 (incorporated by reference to Exhibit 10.23 to the Registrant’s Quarterly Report (File No. 333-126751) on Form 10-Q filed on November</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7,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10.32</w:t>
            </w:r>
          </w:p>
        </w:tc>
        <w:tc>
          <w:tcPr>
            <w:tcW w:w="10580" w:type="dxa"/>
            <w:vAlign w:val="bottom"/>
          </w:tcPr>
          <w:p>
            <w:pPr>
              <w:ind w:left="340"/>
              <w:spacing w:after="0"/>
              <w:rPr>
                <w:sz w:val="20"/>
                <w:szCs w:val="20"/>
                <w:color w:val="auto"/>
              </w:rPr>
            </w:pPr>
            <w:r>
              <w:rPr>
                <w:rFonts w:ascii="Arial" w:cs="Arial" w:eastAsia="Arial" w:hAnsi="Arial"/>
                <w:sz w:val="18"/>
                <w:szCs w:val="18"/>
                <w:color w:val="auto"/>
                <w:w w:val="93"/>
              </w:rPr>
              <w:t>Letter Agreement, dated as of March 15, 2005, from IXIS Corporate and Investment Bank to Lazard LLC and Lazard Ltd (incorporated by</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9"/>
              </w:rPr>
              <w:t>reference to Exhibit 10.27 to Lazard Ltd’s Registration Statement (File No. 333-121407) on Form S-1/A filed on March 21,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10.33</w:t>
            </w:r>
          </w:p>
        </w:tc>
        <w:tc>
          <w:tcPr>
            <w:tcW w:w="10580" w:type="dxa"/>
            <w:vAlign w:val="bottom"/>
          </w:tcPr>
          <w:p>
            <w:pPr>
              <w:ind w:left="340"/>
              <w:spacing w:after="0"/>
              <w:rPr>
                <w:sz w:val="20"/>
                <w:szCs w:val="20"/>
                <w:color w:val="auto"/>
              </w:rPr>
            </w:pPr>
            <w:r>
              <w:rPr>
                <w:rFonts w:ascii="Arial" w:cs="Arial" w:eastAsia="Arial" w:hAnsi="Arial"/>
                <w:sz w:val="18"/>
                <w:szCs w:val="18"/>
                <w:color w:val="auto"/>
                <w:w w:val="91"/>
              </w:rPr>
              <w:t>Registration Rights Agreement, dated as of May 10, 2005, by and among Lazard Group Finance LLC, the Registrant, Lazard Group LLC and</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89"/>
              </w:rPr>
              <w:t>IXIS Corporate and Investment Bank (incorporated by reference to Exhibit 10.30 to Lazard Ltd’s Quarterly Report (File No. 001-32492) on Form</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10-Q filed on June 16,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10.34</w:t>
            </w:r>
          </w:p>
        </w:tc>
        <w:tc>
          <w:tcPr>
            <w:tcW w:w="10580" w:type="dxa"/>
            <w:vAlign w:val="bottom"/>
          </w:tcPr>
          <w:p>
            <w:pPr>
              <w:ind w:left="340"/>
              <w:spacing w:after="0"/>
              <w:rPr>
                <w:sz w:val="20"/>
                <w:szCs w:val="20"/>
                <w:color w:val="auto"/>
              </w:rPr>
            </w:pPr>
            <w:r>
              <w:rPr>
                <w:rFonts w:ascii="Arial" w:cs="Arial" w:eastAsia="Arial" w:hAnsi="Arial"/>
                <w:sz w:val="18"/>
                <w:szCs w:val="18"/>
                <w:color w:val="auto"/>
                <w:w w:val="91"/>
              </w:rPr>
              <w:t>Letter Agreement, dated as of May 10, 2005, with Bruce Wasserstein family trusts (incorporated by reference to Exhibit 10.31 to Lazard Ltd’s</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Quarterly Report (File No. 001-32492) on Form 10-Q filed on June 16,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10.35</w:t>
            </w:r>
          </w:p>
        </w:tc>
        <w:tc>
          <w:tcPr>
            <w:tcW w:w="10580" w:type="dxa"/>
            <w:vAlign w:val="bottom"/>
          </w:tcPr>
          <w:p>
            <w:pPr>
              <w:ind w:left="340"/>
              <w:spacing w:after="0"/>
              <w:rPr>
                <w:sz w:val="20"/>
                <w:szCs w:val="20"/>
                <w:color w:val="auto"/>
              </w:rPr>
            </w:pPr>
            <w:r>
              <w:rPr>
                <w:rFonts w:ascii="Arial" w:cs="Arial" w:eastAsia="Arial" w:hAnsi="Arial"/>
                <w:sz w:val="18"/>
                <w:szCs w:val="18"/>
                <w:color w:val="auto"/>
                <w:w w:val="89"/>
              </w:rPr>
              <w:t>Senior Revolving Credit Agreement, dated as of May 10, 2005, among Lazard Group LLC, the Banks from time to time parties thereto, Citibank,</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3"/>
              </w:rPr>
              <w:t>N.A., The Bank of New York, New York Branch, JP Morgan Chase Bank, N.A. and JP Morgan Chase Bank, N.A., as Administrative Agent</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4"/>
              </w:rPr>
              <w:t>(incorporated by reference to Exhibit 10.32 to Lazard Ltd’s Quarterly Report (File No. 001-32492) on Form 10-Q filed on June 16,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10.36</w:t>
            </w:r>
          </w:p>
        </w:tc>
        <w:tc>
          <w:tcPr>
            <w:tcW w:w="10580" w:type="dxa"/>
            <w:vAlign w:val="bottom"/>
          </w:tcPr>
          <w:p>
            <w:pPr>
              <w:ind w:left="340"/>
              <w:spacing w:after="0"/>
              <w:rPr>
                <w:sz w:val="20"/>
                <w:szCs w:val="20"/>
                <w:color w:val="auto"/>
              </w:rPr>
            </w:pPr>
            <w:r>
              <w:rPr>
                <w:rFonts w:ascii="Arial" w:cs="Arial" w:eastAsia="Arial" w:hAnsi="Arial"/>
                <w:sz w:val="18"/>
                <w:szCs w:val="18"/>
                <w:color w:val="auto"/>
                <w:w w:val="89"/>
              </w:rPr>
              <w:t>First Amendment, dated as of March 28, 2006, to the Senior Revolving Credit Agreement, dated as of May 10, 2005, among Lazard Group LLC,</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2"/>
              </w:rPr>
              <w:t>the Banks from time to time parties thereto, Citibank, N.A., The Bank of New York, New York Branch, JP Morgan Chase Bank, N.A. and JP</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89"/>
              </w:rPr>
              <w:t>Morgan Chase Bank, N.A., as Administrative Agent (incorporated by reference to Exhibit 10.38 to the Registrant’s Quarterly Report on Form 10-</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Q (File No. 333-126751) filed on May 11,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10.37</w:t>
            </w:r>
          </w:p>
        </w:tc>
        <w:tc>
          <w:tcPr>
            <w:tcW w:w="10580" w:type="dxa"/>
            <w:vAlign w:val="bottom"/>
          </w:tcPr>
          <w:p>
            <w:pPr>
              <w:ind w:left="340"/>
              <w:spacing w:after="0"/>
              <w:rPr>
                <w:sz w:val="20"/>
                <w:szCs w:val="20"/>
                <w:color w:val="auto"/>
              </w:rPr>
            </w:pPr>
            <w:r>
              <w:rPr>
                <w:rFonts w:ascii="Arial" w:cs="Arial" w:eastAsia="Arial" w:hAnsi="Arial"/>
                <w:sz w:val="18"/>
                <w:szCs w:val="18"/>
                <w:color w:val="auto"/>
                <w:w w:val="88"/>
              </w:rPr>
              <w:t>Second Amendment, dated as of May 17, 2006, to the Senior Revolving Credit Agreement, dated as of May 10, 2005, among Lazard Group LLC,</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2"/>
              </w:rPr>
              <w:t>the Banks from time to time parties thereto, Citibank, N.A., The Bank of New York, New York Branch, JP Morgan Chase Bank, N.A. and JP</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1"/>
              </w:rPr>
              <w:t>Morgan Chase Bank, N.A., as Administrative Agent (incorporated by reference to Exhibit 10.1 to the Registrant’s Current Report on Form 8-K</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(File No. 333-126751) filed on May 17,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10.38</w:t>
            </w:r>
          </w:p>
        </w:tc>
        <w:tc>
          <w:tcPr>
            <w:tcW w:w="10580" w:type="dxa"/>
            <w:vAlign w:val="bottom"/>
          </w:tcPr>
          <w:p>
            <w:pPr>
              <w:ind w:left="340"/>
              <w:spacing w:after="0"/>
              <w:rPr>
                <w:sz w:val="20"/>
                <w:szCs w:val="20"/>
                <w:color w:val="auto"/>
              </w:rPr>
            </w:pPr>
            <w:r>
              <w:rPr>
                <w:rFonts w:ascii="Arial" w:cs="Arial" w:eastAsia="Arial" w:hAnsi="Arial"/>
                <w:sz w:val="18"/>
                <w:szCs w:val="18"/>
                <w:color w:val="auto"/>
                <w:w w:val="89"/>
              </w:rPr>
              <w:t>Third Amendment, dated as of June 18, 2007, to the Senior Revolving Credit Agreement, dated as of May 10, 2005, among Lazard Group LLC,</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2"/>
              </w:rPr>
              <w:t>the Banks from time to time parties thereto, Citibank, N.A., The Bank of New York, New York Branch, JP Morgan Chase Bank, N.A. and JP</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1"/>
              </w:rPr>
              <w:t>Morgan Chase Bank, N.A., as Administrative Agent (incorporated by reference to Exhibit 10.1 to the Registrant’s Current Report on Form 8-K</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(File No. 333-126751) filed on June 22, 2007).</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10.39*</w:t>
            </w:r>
          </w:p>
        </w:tc>
        <w:tc>
          <w:tcPr>
            <w:tcW w:w="10580" w:type="dxa"/>
            <w:vAlign w:val="bottom"/>
          </w:tcPr>
          <w:p>
            <w:pPr>
              <w:ind w:left="340"/>
              <w:spacing w:after="0"/>
              <w:rPr>
                <w:sz w:val="20"/>
                <w:szCs w:val="20"/>
                <w:color w:val="auto"/>
              </w:rPr>
            </w:pPr>
            <w:r>
              <w:rPr>
                <w:rFonts w:ascii="Arial" w:cs="Arial" w:eastAsia="Arial" w:hAnsi="Arial"/>
                <w:sz w:val="18"/>
                <w:szCs w:val="18"/>
                <w:color w:val="auto"/>
                <w:w w:val="92"/>
              </w:rPr>
              <w:t>Description of Non-Executive Director Compensation (incorporated by reference to Exhibit 10.33 to Lazard Ltd’s Quarterly Report (File No.</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65"/>
        </w:trPr>
        <w:tc>
          <w:tcPr>
            <w:tcW w:w="820" w:type="dxa"/>
            <w:vAlign w:val="bottom"/>
          </w:tcPr>
          <w:p>
            <w:pPr>
              <w:spacing w:after="0"/>
              <w:rPr>
                <w:sz w:val="24"/>
                <w:szCs w:val="24"/>
                <w:color w:val="auto"/>
              </w:rPr>
            </w:pPr>
          </w:p>
        </w:tc>
        <w:tc>
          <w:tcPr>
            <w:tcW w:w="10580" w:type="dxa"/>
            <w:vAlign w:val="bottom"/>
          </w:tcPr>
          <w:p>
            <w:pPr>
              <w:ind w:left="4760"/>
              <w:spacing w:after="0"/>
              <w:rPr>
                <w:sz w:val="20"/>
                <w:szCs w:val="20"/>
                <w:color w:val="auto"/>
              </w:rPr>
            </w:pPr>
            <w:r>
              <w:rPr>
                <w:rFonts w:ascii="Arial" w:cs="Arial" w:eastAsia="Arial" w:hAnsi="Arial"/>
                <w:sz w:val="18"/>
                <w:szCs w:val="18"/>
                <w:color w:val="auto"/>
              </w:rPr>
              <w:t>173</w:t>
            </w:r>
          </w:p>
        </w:tc>
      </w:tr>
    </w:tbl>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10.40*</w:t>
            </w:r>
          </w:p>
        </w:tc>
        <w:tc>
          <w:tcPr>
            <w:tcW w:w="10600" w:type="dxa"/>
            <w:vAlign w:val="bottom"/>
          </w:tcPr>
          <w:p>
            <w:pPr>
              <w:ind w:left="340"/>
              <w:spacing w:after="0"/>
              <w:rPr>
                <w:sz w:val="20"/>
                <w:szCs w:val="20"/>
                <w:color w:val="auto"/>
              </w:rPr>
            </w:pPr>
            <w:r>
              <w:rPr>
                <w:rFonts w:ascii="Arial" w:cs="Arial" w:eastAsia="Arial" w:hAnsi="Arial"/>
                <w:sz w:val="18"/>
                <w:szCs w:val="18"/>
                <w:color w:val="auto"/>
                <w:w w:val="90"/>
              </w:rPr>
              <w:t>Form of Award Letter for Annual Grant of Deferred Stock Units to Non-Executive Directors (incorporated by reference to Exhibit 99.1 to Lazard</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Ltd’s Current Report on Form 8-K (File No. 001-32492) filed on September 8,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10.41*</w:t>
            </w:r>
          </w:p>
        </w:tc>
        <w:tc>
          <w:tcPr>
            <w:tcW w:w="10600" w:type="dxa"/>
            <w:vAlign w:val="bottom"/>
          </w:tcPr>
          <w:p>
            <w:pPr>
              <w:ind w:left="340"/>
              <w:spacing w:after="0"/>
              <w:rPr>
                <w:sz w:val="20"/>
                <w:szCs w:val="20"/>
                <w:color w:val="auto"/>
              </w:rPr>
            </w:pPr>
            <w:r>
              <w:rPr>
                <w:rFonts w:ascii="Arial" w:cs="Arial" w:eastAsia="Arial" w:hAnsi="Arial"/>
                <w:sz w:val="18"/>
                <w:szCs w:val="18"/>
                <w:color w:val="auto"/>
                <w:w w:val="90"/>
              </w:rPr>
              <w:t>Form of Agreement evidencing a grant of Restricted Stock Units to Executive Officers under the Lazard Equity Incentive Plan (incorporated by</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reference to Exhibit 10.1 to Lazard Ltd’s Current Report on Form 8-K (File No. 001-32492) filed on January 26,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10.42*</w:t>
            </w:r>
          </w:p>
        </w:tc>
        <w:tc>
          <w:tcPr>
            <w:tcW w:w="10600" w:type="dxa"/>
            <w:vAlign w:val="bottom"/>
          </w:tcPr>
          <w:p>
            <w:pPr>
              <w:ind w:left="340"/>
              <w:spacing w:after="0"/>
              <w:rPr>
                <w:sz w:val="20"/>
                <w:szCs w:val="20"/>
                <w:color w:val="auto"/>
              </w:rPr>
            </w:pPr>
            <w:r>
              <w:rPr>
                <w:rFonts w:ascii="Arial" w:cs="Arial" w:eastAsia="Arial" w:hAnsi="Arial"/>
                <w:sz w:val="18"/>
                <w:szCs w:val="18"/>
                <w:color w:val="auto"/>
                <w:w w:val="98"/>
              </w:rPr>
              <w:t>Form of Agreement evidencing a grant of Restricted Stock Units to Executive Officers under the 2008 Incentive Compensation Plan</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5"/>
              </w:rPr>
              <w:t>(incorporated by reference to Exhibit 10.41 to Registrant’s Annual Report (File No. 333-126751) on Form 10-K filed on March 2, 2009).</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10.43*</w:t>
            </w:r>
          </w:p>
        </w:tc>
        <w:tc>
          <w:tcPr>
            <w:tcW w:w="10600" w:type="dxa"/>
            <w:vAlign w:val="bottom"/>
          </w:tcPr>
          <w:p>
            <w:pPr>
              <w:ind w:left="340"/>
              <w:spacing w:after="0"/>
              <w:rPr>
                <w:sz w:val="20"/>
                <w:szCs w:val="20"/>
                <w:color w:val="auto"/>
              </w:rPr>
            </w:pPr>
            <w:r>
              <w:rPr>
                <w:rFonts w:ascii="Arial" w:cs="Arial" w:eastAsia="Arial" w:hAnsi="Arial"/>
                <w:sz w:val="18"/>
                <w:szCs w:val="18"/>
                <w:color w:val="auto"/>
                <w:w w:val="97"/>
              </w:rPr>
              <w:t>Form of Agreement evidencing a grant of Deferred Cash Awards to Executive Officers under the 2008 Incentive Compensation Plan</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5"/>
              </w:rPr>
              <w:t>(incorporated by reference to Exhibit 10.42 to Registrant’s Annual Report (File No. 333-126751) on Form 10-K filed on March 2, 2009).</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10.44</w:t>
            </w:r>
          </w:p>
        </w:tc>
        <w:tc>
          <w:tcPr>
            <w:tcW w:w="10600" w:type="dxa"/>
            <w:vAlign w:val="bottom"/>
          </w:tcPr>
          <w:p>
            <w:pPr>
              <w:ind w:left="340"/>
              <w:spacing w:after="0"/>
              <w:rPr>
                <w:sz w:val="20"/>
                <w:szCs w:val="20"/>
                <w:color w:val="auto"/>
              </w:rPr>
            </w:pPr>
            <w:r>
              <w:rPr>
                <w:rFonts w:ascii="Arial" w:cs="Arial" w:eastAsia="Arial" w:hAnsi="Arial"/>
                <w:sz w:val="18"/>
                <w:szCs w:val="18"/>
                <w:color w:val="auto"/>
                <w:w w:val="97"/>
              </w:rPr>
              <w:t>Termination Agreement, dated as of March 31, 2006, by and among Banca Intesa S.p.A., Lazard Group LLC, and Lazard &amp; Co. S.r.l.</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5"/>
              </w:rPr>
              <w:t>(incorporated by reference to Exhibit 10.1 to the Registrant’s Current Report on Form 8-K (File No. 333-126751) filed on April 4,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10.45</w:t>
            </w:r>
          </w:p>
        </w:tc>
        <w:tc>
          <w:tcPr>
            <w:tcW w:w="10600" w:type="dxa"/>
            <w:vAlign w:val="bottom"/>
          </w:tcPr>
          <w:p>
            <w:pPr>
              <w:ind w:left="340"/>
              <w:spacing w:after="0"/>
              <w:rPr>
                <w:sz w:val="20"/>
                <w:szCs w:val="20"/>
                <w:color w:val="auto"/>
              </w:rPr>
            </w:pPr>
            <w:r>
              <w:rPr>
                <w:rFonts w:ascii="Arial" w:cs="Arial" w:eastAsia="Arial" w:hAnsi="Arial"/>
                <w:sz w:val="18"/>
                <w:szCs w:val="18"/>
                <w:color w:val="auto"/>
                <w:w w:val="88"/>
              </w:rPr>
              <w:t>Amended and Restated $150 Million Subordinated Convertible Promissory Note due 2018, issued by Lazard Funding LLC to Banca Intesa S.p.A.</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5"/>
              </w:rPr>
              <w:t>(incorporated by reference to Exhibit 10.3 to the Registrant’s Current Report on Form 8-K (File No. 333-126751) filed on May 17,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10.46</w:t>
            </w:r>
          </w:p>
        </w:tc>
        <w:tc>
          <w:tcPr>
            <w:tcW w:w="10600" w:type="dxa"/>
            <w:vAlign w:val="bottom"/>
          </w:tcPr>
          <w:p>
            <w:pPr>
              <w:ind w:left="340"/>
              <w:spacing w:after="0"/>
              <w:rPr>
                <w:sz w:val="20"/>
                <w:szCs w:val="20"/>
                <w:color w:val="auto"/>
              </w:rPr>
            </w:pPr>
            <w:r>
              <w:rPr>
                <w:rFonts w:ascii="Arial" w:cs="Arial" w:eastAsia="Arial" w:hAnsi="Arial"/>
                <w:sz w:val="18"/>
                <w:szCs w:val="18"/>
                <w:color w:val="auto"/>
                <w:w w:val="90"/>
              </w:rPr>
              <w:t>Amended and Restated Guaranty of Lazard Group LLC to Banca Intesa S.p.A., dated as of May 15, 2006 (incorporated by reference to Exhibit</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10.4 to the Registrant’s Current Report on Form 8-K (File No. 333-126751) filed on May 17,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10.47*</w:t>
            </w:r>
          </w:p>
        </w:tc>
        <w:tc>
          <w:tcPr>
            <w:tcW w:w="10600" w:type="dxa"/>
            <w:vAlign w:val="bottom"/>
          </w:tcPr>
          <w:p>
            <w:pPr>
              <w:ind w:left="340"/>
              <w:spacing w:after="0"/>
              <w:rPr>
                <w:sz w:val="20"/>
                <w:szCs w:val="20"/>
                <w:color w:val="auto"/>
              </w:rPr>
            </w:pPr>
            <w:r>
              <w:rPr>
                <w:rFonts w:ascii="Arial" w:cs="Arial" w:eastAsia="Arial" w:hAnsi="Arial"/>
                <w:sz w:val="18"/>
                <w:szCs w:val="18"/>
                <w:color w:val="auto"/>
                <w:w w:val="91"/>
              </w:rPr>
              <w:t>Directors’ Fee Deferral Unit Plan (incorporated by reference to Exhibit 10.37 to the Registrant’s Quarterly Report on Form 10-Q (File No. 333-</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126751) filed on May 11,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10.48*</w:t>
            </w:r>
          </w:p>
        </w:tc>
        <w:tc>
          <w:tcPr>
            <w:tcW w:w="10600" w:type="dxa"/>
            <w:vAlign w:val="bottom"/>
          </w:tcPr>
          <w:p>
            <w:pPr>
              <w:ind w:left="340"/>
              <w:spacing w:after="0"/>
              <w:rPr>
                <w:sz w:val="20"/>
                <w:szCs w:val="20"/>
                <w:color w:val="auto"/>
              </w:rPr>
            </w:pPr>
            <w:r>
              <w:rPr>
                <w:rFonts w:ascii="Arial" w:cs="Arial" w:eastAsia="Arial" w:hAnsi="Arial"/>
                <w:sz w:val="18"/>
                <w:szCs w:val="18"/>
                <w:color w:val="auto"/>
                <w:w w:val="91"/>
              </w:rPr>
              <w:t>First Amended Form of Agreement evidencing a grant of Restricted Stock Units to Executive Officers under the Lazard 2005 Equity Incentive</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89"/>
              </w:rPr>
              <w:t>Plan (incorporated by reference to Exhibit 10.40 to the Registrant’s Annual Report on Form 10-K (File No. 333-126751) filed on March 1, 2007).</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10.49</w:t>
            </w:r>
          </w:p>
        </w:tc>
        <w:tc>
          <w:tcPr>
            <w:tcW w:w="10600" w:type="dxa"/>
            <w:vAlign w:val="bottom"/>
          </w:tcPr>
          <w:p>
            <w:pPr>
              <w:ind w:left="340"/>
              <w:spacing w:after="0"/>
              <w:rPr>
                <w:sz w:val="20"/>
                <w:szCs w:val="20"/>
                <w:color w:val="auto"/>
              </w:rPr>
            </w:pPr>
            <w:r>
              <w:rPr>
                <w:rFonts w:ascii="Arial" w:cs="Arial" w:eastAsia="Arial" w:hAnsi="Arial"/>
                <w:sz w:val="18"/>
                <w:szCs w:val="18"/>
                <w:color w:val="auto"/>
                <w:w w:val="89"/>
              </w:rPr>
              <w:t>Agreement and Plan of Merger, dated as of August 14, 2008, by and among Lazard Ltd, LAZ Sub I, Lazard Asset Management LLC, and Lazard</w:t>
            </w:r>
          </w:p>
        </w:tc>
      </w:tr>
      <w:tr>
        <w:trPr>
          <w:trHeight w:val="216"/>
        </w:trPr>
        <w:tc>
          <w:tcPr>
            <w:tcW w:w="82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w w:val="91"/>
              </w:rPr>
              <w:t>Asset Management Limited (incorporated by reference to Exhibit 2.1 to Lazard Ltd’s Current Report on Form 8-K (file No. 001-32492) filed on</w:t>
            </w:r>
          </w:p>
        </w:tc>
      </w:tr>
      <w:tr>
        <w:trPr>
          <w:trHeight w:val="222"/>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Arial" w:cs="Arial" w:eastAsia="Arial" w:hAnsi="Arial"/>
                <w:sz w:val="18"/>
                <w:szCs w:val="18"/>
                <w:color w:val="auto"/>
              </w:rPr>
              <w:t>August 15, 2008).</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12.1</w:t>
            </w:r>
          </w:p>
        </w:tc>
        <w:tc>
          <w:tcPr>
            <w:tcW w:w="10600" w:type="dxa"/>
            <w:vAlign w:val="bottom"/>
          </w:tcPr>
          <w:p>
            <w:pPr>
              <w:ind w:left="34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21.1</w:t>
            </w:r>
          </w:p>
        </w:tc>
        <w:tc>
          <w:tcPr>
            <w:tcW w:w="10600" w:type="dxa"/>
            <w:vAlign w:val="bottom"/>
          </w:tcPr>
          <w:p>
            <w:pPr>
              <w:ind w:left="340"/>
              <w:spacing w:after="0"/>
              <w:rPr>
                <w:sz w:val="20"/>
                <w:szCs w:val="20"/>
                <w:color w:val="auto"/>
              </w:rPr>
            </w:pPr>
            <w:r>
              <w:rPr>
                <w:rFonts w:ascii="Arial" w:cs="Arial" w:eastAsia="Arial" w:hAnsi="Arial"/>
                <w:sz w:val="18"/>
                <w:szCs w:val="18"/>
                <w:color w:val="auto"/>
              </w:rPr>
              <w:t>Subsidiaries of Registrant.</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23.1</w:t>
            </w:r>
          </w:p>
        </w:tc>
        <w:tc>
          <w:tcPr>
            <w:tcW w:w="10600" w:type="dxa"/>
            <w:vAlign w:val="bottom"/>
          </w:tcPr>
          <w:p>
            <w:pPr>
              <w:ind w:left="3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0600" w:type="dxa"/>
            <w:vAlign w:val="bottom"/>
          </w:tcPr>
          <w:p>
            <w:pPr>
              <w:ind w:left="34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600" w:type="dxa"/>
            <w:vAlign w:val="bottom"/>
          </w:tcPr>
          <w:p>
            <w:pPr>
              <w:ind w:left="340"/>
              <w:spacing w:after="0"/>
              <w:rPr>
                <w:sz w:val="20"/>
                <w:szCs w:val="20"/>
                <w:color w:val="auto"/>
              </w:rPr>
            </w:pPr>
            <w:r>
              <w:rPr>
                <w:rFonts w:ascii="Arial" w:cs="Arial" w:eastAsia="Arial" w:hAnsi="Arial"/>
                <w:sz w:val="18"/>
                <w:szCs w:val="18"/>
                <w:color w:val="auto"/>
              </w:rPr>
              <w:t>Rule 13a-14(a) Certification of Michael J. Castellano.</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0600" w:type="dxa"/>
            <w:vAlign w:val="bottom"/>
          </w:tcPr>
          <w:p>
            <w:pPr>
              <w:ind w:left="340"/>
              <w:spacing w:after="0"/>
              <w:rPr>
                <w:sz w:val="20"/>
                <w:szCs w:val="20"/>
                <w:color w:val="auto"/>
              </w:rPr>
            </w:pPr>
            <w:r>
              <w:rPr>
                <w:rFonts w:ascii="Arial" w:cs="Arial" w:eastAsia="Arial" w:hAnsi="Arial"/>
                <w:sz w:val="18"/>
                <w:szCs w:val="18"/>
                <w:color w:val="auto"/>
              </w:rPr>
              <w:t>Section 1350 Certification for Kenneth M. Jacobs.</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10600" w:type="dxa"/>
            <w:vAlign w:val="bottom"/>
          </w:tcPr>
          <w:p>
            <w:pPr>
              <w:ind w:left="340"/>
              <w:spacing w:after="0"/>
              <w:rPr>
                <w:sz w:val="20"/>
                <w:szCs w:val="20"/>
                <w:color w:val="auto"/>
              </w:rPr>
            </w:pPr>
            <w:r>
              <w:rPr>
                <w:rFonts w:ascii="Arial" w:cs="Arial" w:eastAsia="Arial" w:hAnsi="Arial"/>
                <w:sz w:val="18"/>
                <w:szCs w:val="18"/>
                <w:color w:val="auto"/>
              </w:rPr>
              <w:t>Section 1350 Certification for Michael J. Castellano.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 AND FINANCIAL STATEMENT SCHEDULE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ITEMS 15 (a)(1) AND 15 (a)(2)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4800" w:type="dxa"/>
            <w:vAlign w:val="bottom"/>
            <w:gridSpan w:val="7"/>
            <w:vMerge w:val="restart"/>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Management’s Report on Internal Control Over Financial Reporting</w:t>
              </w:r>
            </w:hyperlink>
          </w:p>
        </w:tc>
        <w:tc>
          <w:tcPr>
            <w:tcW w:w="6020" w:type="dxa"/>
            <w:vAlign w:val="bottom"/>
            <w:gridSpan w:val="9"/>
            <w:vMerge w:val="restart"/>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74"/>
        </w:trPr>
        <w:tc>
          <w:tcPr>
            <w:tcW w:w="4800" w:type="dxa"/>
            <w:vAlign w:val="bottom"/>
            <w:tcBorders>
              <w:bottom w:val="single" w:sz="8" w:color="0000EE"/>
            </w:tcBorders>
            <w:gridSpan w:val="7"/>
            <w:vMerge w:val="continue"/>
          </w:tcPr>
          <w:p>
            <w:pPr>
              <w:spacing w:after="0"/>
              <w:rPr>
                <w:sz w:val="14"/>
                <w:szCs w:val="14"/>
                <w:color w:val="auto"/>
              </w:rPr>
            </w:pPr>
          </w:p>
        </w:tc>
        <w:tc>
          <w:tcPr>
            <w:tcW w:w="6020" w:type="dxa"/>
            <w:vAlign w:val="bottom"/>
            <w:gridSpan w:val="9"/>
            <w:vMerge w:val="continue"/>
          </w:tcPr>
          <w:p>
            <w:pPr>
              <w:spacing w:after="0"/>
              <w:rPr>
                <w:sz w:val="14"/>
                <w:szCs w:val="14"/>
                <w:color w:val="auto"/>
              </w:rPr>
            </w:pPr>
          </w:p>
        </w:tc>
        <w:tc>
          <w:tcPr>
            <w:tcW w:w="6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2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Reports of Independent Registered Public Accounting Firm</w:t>
              </w:r>
            </w:hyperlink>
          </w:p>
        </w:tc>
        <w:tc>
          <w:tcPr>
            <w:tcW w:w="6620" w:type="dxa"/>
            <w:vAlign w:val="bottom"/>
            <w:gridSpan w:val="10"/>
          </w:tcPr>
          <w:p>
            <w:pPr>
              <w:spacing w:after="0"/>
              <w:rPr>
                <w:sz w:val="22"/>
                <w:szCs w:val="2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74-75</w:t>
            </w:r>
          </w:p>
        </w:tc>
        <w:tc>
          <w:tcPr>
            <w:tcW w:w="0" w:type="dxa"/>
            <w:vAlign w:val="bottom"/>
          </w:tcPr>
          <w:p>
            <w:pPr>
              <w:spacing w:after="0"/>
              <w:rPr>
                <w:sz w:val="1"/>
                <w:szCs w:val="1"/>
                <w:color w:val="auto"/>
              </w:rPr>
            </w:pPr>
          </w:p>
        </w:tc>
      </w:tr>
      <w:tr>
        <w:trPr>
          <w:trHeight w:val="451"/>
        </w:trPr>
        <w:tc>
          <w:tcPr>
            <w:tcW w:w="10820" w:type="dxa"/>
            <w:vAlign w:val="bottom"/>
            <w:gridSpan w:val="16"/>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8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78">
              <w:r>
                <w:rPr>
                  <w:rFonts w:ascii="Arial" w:cs="Arial" w:eastAsia="Arial" w:hAnsi="Arial"/>
                  <w:sz w:val="18"/>
                  <w:szCs w:val="18"/>
                  <w:color w:val="0000EE"/>
                  <w:w w:val="87"/>
                </w:rPr>
                <w:t>Consolidated Statements of Financial Condition as of December 31, 2009 and 2008</w:t>
              </w:r>
            </w:hyperlink>
          </w:p>
        </w:tc>
        <w:tc>
          <w:tcPr>
            <w:tcW w:w="4940" w:type="dxa"/>
            <w:vAlign w:val="bottom"/>
            <w:gridSpan w:val="8"/>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64"/>
        </w:trPr>
        <w:tc>
          <w:tcPr>
            <w:tcW w:w="670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80">
              <w:r>
                <w:rPr>
                  <w:rFonts w:ascii="Arial" w:cs="Arial" w:eastAsia="Arial" w:hAnsi="Arial"/>
                  <w:sz w:val="18"/>
                  <w:szCs w:val="18"/>
                  <w:color w:val="0000EE"/>
                  <w:w w:val="87"/>
                </w:rPr>
                <w:t>Consolidated Statements of Operations for the years ended December 31, 2009, 2008 and 2007</w:t>
              </w:r>
            </w:hyperlink>
          </w:p>
        </w:tc>
        <w:tc>
          <w:tcPr>
            <w:tcW w:w="4120" w:type="dxa"/>
            <w:vAlign w:val="bottom"/>
            <w:gridSpan w:val="6"/>
          </w:tcPr>
          <w:p>
            <w:pPr>
              <w:spacing w:after="0"/>
              <w:rPr>
                <w:sz w:val="22"/>
                <w:szCs w:val="2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64"/>
        </w:trPr>
        <w:tc>
          <w:tcPr>
            <w:tcW w:w="10820" w:type="dxa"/>
            <w:vAlign w:val="bottom"/>
            <w:gridSpan w:val="16"/>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Consolidated Statements of Cash Flows for the years ended December 31, 2009, 2008 and 2007</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20" w:type="dxa"/>
            <w:vAlign w:val="bottom"/>
            <w:gridSpan w:val="16"/>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Consolidated Statements of Changes in Members’ Equity (Deficiency) for the years ended December 31, 2009, 2008 and 2007</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64"/>
        </w:trPr>
        <w:tc>
          <w:tcPr>
            <w:tcW w:w="8960" w:type="dxa"/>
            <w:vAlign w:val="bottom"/>
            <w:tcBorders>
              <w:top w:val="single" w:sz="8" w:color="0000EE"/>
            </w:tcBorders>
            <w:gridSpan w:val="14"/>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Notes to Consolidated Financial Statements</w:t>
              </w:r>
            </w:hyperlink>
          </w:p>
        </w:tc>
        <w:tc>
          <w:tcPr>
            <w:tcW w:w="1860" w:type="dxa"/>
            <w:vAlign w:val="bottom"/>
            <w:gridSpan w:val="2"/>
          </w:tcPr>
          <w:p>
            <w:pPr>
              <w:spacing w:after="0"/>
              <w:rPr>
                <w:sz w:val="22"/>
                <w:szCs w:val="2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412"/>
        </w:trPr>
        <w:tc>
          <w:tcPr>
            <w:tcW w:w="3080" w:type="dxa"/>
            <w:vAlign w:val="bottom"/>
            <w:tcBorders>
              <w:top w:val="single" w:sz="8" w:color="0000EE"/>
            </w:tcBorders>
            <w:gridSpan w:val="4"/>
          </w:tcPr>
          <w:p>
            <w:pPr>
              <w:spacing w:after="0"/>
              <w:rPr>
                <w:rFonts w:ascii="Arial" w:cs="Arial" w:eastAsia="Arial" w:hAnsi="Arial"/>
                <w:sz w:val="18"/>
                <w:szCs w:val="18"/>
                <w:b w:val="1"/>
                <w:bCs w:val="1"/>
                <w:color w:val="0000EE"/>
              </w:rPr>
            </w:pPr>
            <w:hyperlink w:anchor="page135">
              <w:r>
                <w:rPr>
                  <w:rFonts w:ascii="Arial" w:cs="Arial" w:eastAsia="Arial" w:hAnsi="Arial"/>
                  <w:sz w:val="18"/>
                  <w:szCs w:val="18"/>
                  <w:b w:val="1"/>
                  <w:bCs w:val="1"/>
                  <w:color w:val="0000EE"/>
                </w:rPr>
                <w:t>Supplemental Financial Information</w:t>
              </w:r>
            </w:hyperlink>
          </w:p>
        </w:tc>
        <w:tc>
          <w:tcPr>
            <w:tcW w:w="7740" w:type="dxa"/>
            <w:vAlign w:val="bottom"/>
            <w:gridSpan w:val="12"/>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Borders>
              <w:top w:val="single" w:sz="8" w:color="0000EE"/>
            </w:tcBorders>
            <w:gridSpan w:val="3"/>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Quarterly Results</w:t>
              </w:r>
            </w:hyperlink>
          </w:p>
        </w:tc>
        <w:tc>
          <w:tcPr>
            <w:tcW w:w="8080" w:type="dxa"/>
            <w:vAlign w:val="bottom"/>
            <w:gridSpan w:val="13"/>
          </w:tcPr>
          <w:p>
            <w:pPr>
              <w:spacing w:after="0"/>
              <w:rPr>
                <w:sz w:val="22"/>
                <w:szCs w:val="2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0820" w:type="dxa"/>
            <w:vAlign w:val="bottom"/>
            <w:gridSpan w:val="16"/>
          </w:tcPr>
          <w:p>
            <w:pPr>
              <w:spacing w:after="0"/>
              <w:rPr>
                <w:sz w:val="20"/>
                <w:szCs w:val="20"/>
                <w:color w:val="auto"/>
              </w:rPr>
            </w:pPr>
            <w:r>
              <w:rPr>
                <w:rFonts w:ascii="Arial" w:cs="Arial" w:eastAsia="Arial" w:hAnsi="Arial"/>
                <w:sz w:val="18"/>
                <w:szCs w:val="18"/>
                <w:b w:val="1"/>
                <w:bCs w:val="1"/>
                <w:color w:val="auto"/>
              </w:rPr>
              <w:t>Financial Statement Schedule</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820" w:type="dxa"/>
            <w:vAlign w:val="bottom"/>
            <w:gridSpan w:val="16"/>
          </w:tcPr>
          <w:p>
            <w:pPr>
              <w:spacing w:after="0"/>
              <w:rPr>
                <w:sz w:val="20"/>
                <w:szCs w:val="20"/>
                <w:color w:val="auto"/>
              </w:rPr>
            </w:pPr>
            <w:r>
              <w:rPr>
                <w:rFonts w:ascii="Arial" w:cs="Arial" w:eastAsia="Arial" w:hAnsi="Arial"/>
                <w:sz w:val="18"/>
                <w:szCs w:val="18"/>
                <w:color w:val="auto"/>
              </w:rPr>
              <w:t>Schedule I—Condensed Financial Information of Registrant (Parent Company Only)</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10380" w:type="dxa"/>
            <w:vAlign w:val="bottom"/>
            <w:gridSpan w:val="15"/>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Condensed Statements of Financial Condition as of December 31, 2009 and 2008</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40" w:type="dxa"/>
            <w:vAlign w:val="bottom"/>
          </w:tcPr>
          <w:p>
            <w:pPr>
              <w:spacing w:after="0"/>
              <w:rPr>
                <w:sz w:val="22"/>
                <w:szCs w:val="22"/>
                <w:color w:val="auto"/>
              </w:rPr>
            </w:pPr>
          </w:p>
        </w:tc>
        <w:tc>
          <w:tcPr>
            <w:tcW w:w="654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179">
              <w:r>
                <w:rPr>
                  <w:rFonts w:ascii="Arial" w:cs="Arial" w:eastAsia="Arial" w:hAnsi="Arial"/>
                  <w:sz w:val="18"/>
                  <w:szCs w:val="18"/>
                  <w:color w:val="0000EE"/>
                  <w:w w:val="86"/>
                </w:rPr>
                <w:t>Condensed Statements of Operations for the years ended December 31, 2009, 2008 and 2007</w:t>
              </w:r>
            </w:hyperlink>
          </w:p>
        </w:tc>
        <w:tc>
          <w:tcPr>
            <w:tcW w:w="3840" w:type="dxa"/>
            <w:vAlign w:val="bottom"/>
            <w:gridSpan w:val="4"/>
          </w:tcPr>
          <w:p>
            <w:pPr>
              <w:spacing w:after="0"/>
              <w:rPr>
                <w:sz w:val="22"/>
                <w:szCs w:val="2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660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180">
              <w:r>
                <w:rPr>
                  <w:rFonts w:ascii="Arial" w:cs="Arial" w:eastAsia="Arial" w:hAnsi="Arial"/>
                  <w:sz w:val="18"/>
                  <w:szCs w:val="18"/>
                  <w:color w:val="0000EE"/>
                  <w:w w:val="86"/>
                </w:rPr>
                <w:t>Condensed Statements of Cash Flows for the years ended December 31, 2009, 2008 and 2007</w:t>
              </w:r>
            </w:hyperlink>
          </w:p>
        </w:tc>
        <w:tc>
          <w:tcPr>
            <w:tcW w:w="3780" w:type="dxa"/>
            <w:vAlign w:val="bottom"/>
            <w:gridSpan w:val="3"/>
          </w:tcPr>
          <w:p>
            <w:pPr>
              <w:spacing w:after="0"/>
              <w:rPr>
                <w:sz w:val="22"/>
                <w:szCs w:val="2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10380" w:type="dxa"/>
            <w:vAlign w:val="bottom"/>
            <w:gridSpan w:val="15"/>
          </w:tcPr>
          <w:p>
            <w:pPr>
              <w:spacing w:after="0"/>
              <w:rPr>
                <w:rFonts w:ascii="Arial" w:cs="Arial" w:eastAsia="Arial" w:hAnsi="Arial"/>
                <w:sz w:val="18"/>
                <w:szCs w:val="18"/>
                <w:color w:val="0000EE"/>
              </w:rPr>
            </w:pPr>
            <w:hyperlink w:anchor="page181">
              <w:r>
                <w:rPr>
                  <w:rFonts w:ascii="Arial" w:cs="Arial" w:eastAsia="Arial" w:hAnsi="Arial"/>
                  <w:sz w:val="18"/>
                  <w:szCs w:val="18"/>
                  <w:color w:val="0000EE"/>
                </w:rPr>
                <w:t>Condensed Statements of Changes in Members’ Equity (Deficiency) for the years ended December 31, 2009, 2008 and 2007</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8800" w:type="dxa"/>
            <w:vAlign w:val="bottom"/>
            <w:tcBorders>
              <w:top w:val="single" w:sz="8" w:color="0000EE"/>
            </w:tcBorders>
            <w:gridSpan w:val="14"/>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Notes to Condensed Financial Statements</w:t>
              </w:r>
            </w:hyperlink>
          </w:p>
        </w:tc>
        <w:tc>
          <w:tcPr>
            <w:tcW w:w="1580" w:type="dxa"/>
            <w:vAlign w:val="bottom"/>
          </w:tcPr>
          <w:p>
            <w:pPr>
              <w:spacing w:after="0"/>
              <w:rPr>
                <w:sz w:val="22"/>
                <w:szCs w:val="2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consolidated financial statements or notes thereto.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 AND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w w:val="85"/>
              </w:rPr>
              <w:t>December 31,</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186,009</w:t>
            </w:r>
          </w:p>
        </w:tc>
        <w:tc>
          <w:tcPr>
            <w:tcW w:w="340" w:type="dxa"/>
            <w:vAlign w:val="bottom"/>
          </w:tcPr>
          <w:p>
            <w:pPr>
              <w:spacing w:after="0"/>
              <w:rPr>
                <w:sz w:val="18"/>
                <w:szCs w:val="18"/>
                <w:color w:val="auto"/>
              </w:rPr>
            </w:pP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202,422</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 in subsidiaries, equity method</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1,050,151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4"/>
              </w:rPr>
              <w:t>1,102,066</w:t>
            </w:r>
          </w:p>
        </w:tc>
        <w:tc>
          <w:tcPr>
            <w:tcW w:w="0" w:type="dxa"/>
            <w:vAlign w:val="bottom"/>
          </w:tcPr>
          <w:p>
            <w:pPr>
              <w:spacing w:after="0"/>
              <w:rPr>
                <w:sz w:val="1"/>
                <w:szCs w:val="1"/>
                <w:color w:val="auto"/>
              </w:rPr>
            </w:pPr>
          </w:p>
        </w:tc>
      </w:tr>
      <w:tr>
        <w:trPr>
          <w:trHeight w:val="216"/>
        </w:trPr>
        <w:tc>
          <w:tcPr>
            <w:tcW w:w="9120" w:type="dxa"/>
            <w:vAlign w:val="bottom"/>
          </w:tcPr>
          <w:p>
            <w:pPr>
              <w:ind w:left="440"/>
              <w:spacing w:after="0"/>
              <w:rPr>
                <w:sz w:val="20"/>
                <w:szCs w:val="20"/>
                <w:color w:val="auto"/>
              </w:rPr>
            </w:pPr>
            <w:r>
              <w:rPr>
                <w:rFonts w:ascii="Arial" w:cs="Arial" w:eastAsia="Arial" w:hAnsi="Arial"/>
                <w:sz w:val="18"/>
                <w:szCs w:val="18"/>
                <w:color w:val="auto"/>
              </w:rPr>
              <w:t>Due from subsidiaries of Lazard Ltd</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334,435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260,312</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Receivables—net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4,366</w:t>
            </w:r>
          </w:p>
        </w:tc>
        <w:tc>
          <w:tcPr>
            <w:tcW w:w="0" w:type="dxa"/>
            <w:vAlign w:val="bottom"/>
          </w:tcPr>
          <w:p>
            <w:pPr>
              <w:spacing w:after="0"/>
              <w:rPr>
                <w:sz w:val="1"/>
                <w:szCs w:val="1"/>
                <w:color w:val="auto"/>
              </w:rPr>
            </w:pPr>
          </w:p>
        </w:tc>
      </w:tr>
      <w:tr>
        <w:trPr>
          <w:trHeight w:val="208"/>
        </w:trPr>
        <w:tc>
          <w:tcPr>
            <w:tcW w:w="9120" w:type="dxa"/>
            <w:vAlign w:val="bottom"/>
          </w:tcPr>
          <w:p>
            <w:pPr>
              <w:ind w:left="440"/>
              <w:spacing w:after="0"/>
              <w:rPr>
                <w:sz w:val="20"/>
                <w:szCs w:val="20"/>
                <w:color w:val="auto"/>
              </w:rPr>
            </w:pPr>
            <w:r>
              <w:rPr>
                <w:rFonts w:ascii="Arial" w:cs="Arial" w:eastAsia="Arial" w:hAnsi="Arial"/>
                <w:sz w:val="18"/>
                <w:szCs w:val="18"/>
                <w:color w:val="auto"/>
              </w:rPr>
              <w:t>Investments (includes $126,413 of securities at amortized cost</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20" w:type="dxa"/>
            <w:vAlign w:val="bottom"/>
          </w:tcPr>
          <w:p>
            <w:pPr>
              <w:ind w:left="660"/>
              <w:spacing w:after="0"/>
              <w:rPr>
                <w:sz w:val="20"/>
                <w:szCs w:val="20"/>
                <w:color w:val="auto"/>
              </w:rPr>
            </w:pPr>
            <w:r>
              <w:rPr>
                <w:rFonts w:ascii="Arial" w:cs="Arial" w:eastAsia="Arial" w:hAnsi="Arial"/>
                <w:sz w:val="18"/>
                <w:szCs w:val="18"/>
                <w:color w:val="auto"/>
              </w:rPr>
              <w:t>at December 31, 2009)</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175,544</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18,480</w:t>
            </w:r>
          </w:p>
        </w:tc>
        <w:tc>
          <w:tcPr>
            <w:tcW w:w="0" w:type="dxa"/>
            <w:vAlign w:val="bottom"/>
          </w:tcPr>
          <w:p>
            <w:pPr>
              <w:spacing w:after="0"/>
              <w:rPr>
                <w:sz w:val="1"/>
                <w:szCs w:val="1"/>
                <w:color w:val="auto"/>
              </w:rPr>
            </w:pPr>
          </w:p>
        </w:tc>
      </w:tr>
      <w:tr>
        <w:trPr>
          <w:trHeight w:val="217"/>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 assets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4,867</w:t>
            </w:r>
          </w:p>
        </w:tc>
        <w:tc>
          <w:tcPr>
            <w:tcW w:w="0" w:type="dxa"/>
            <w:vAlign w:val="bottom"/>
          </w:tcPr>
          <w:p>
            <w:pPr>
              <w:spacing w:after="0"/>
              <w:rPr>
                <w:sz w:val="1"/>
                <w:szCs w:val="1"/>
                <w:color w:val="auto"/>
              </w:rPr>
            </w:pPr>
          </w:p>
        </w:tc>
      </w:tr>
      <w:tr>
        <w:trPr>
          <w:trHeight w:val="216"/>
        </w:trPr>
        <w:tc>
          <w:tcPr>
            <w:tcW w:w="912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14,703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27,040</w:t>
            </w:r>
          </w:p>
        </w:tc>
        <w:tc>
          <w:tcPr>
            <w:tcW w:w="0" w:type="dxa"/>
            <w:vAlign w:val="bottom"/>
          </w:tcPr>
          <w:p>
            <w:pPr>
              <w:spacing w:after="0"/>
              <w:rPr>
                <w:sz w:val="1"/>
                <w:szCs w:val="1"/>
                <w:color w:val="auto"/>
              </w:rPr>
            </w:pPr>
          </w:p>
        </w:tc>
      </w:tr>
      <w:tr>
        <w:trPr>
          <w:trHeight w:val="27"/>
        </w:trPr>
        <w:tc>
          <w:tcPr>
            <w:tcW w:w="9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1,767,220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4"/>
              </w:rPr>
              <w:t>1,619,553</w:t>
            </w:r>
          </w:p>
        </w:tc>
        <w:tc>
          <w:tcPr>
            <w:tcW w:w="0" w:type="dxa"/>
            <w:vAlign w:val="bottom"/>
          </w:tcPr>
          <w:p>
            <w:pPr>
              <w:spacing w:after="0"/>
              <w:rPr>
                <w:sz w:val="1"/>
                <w:szCs w:val="1"/>
                <w:color w:val="auto"/>
              </w:rPr>
            </w:pPr>
          </w:p>
        </w:tc>
      </w:tr>
      <w:tr>
        <w:trPr>
          <w:trHeight w:val="20"/>
        </w:trPr>
        <w:tc>
          <w:tcPr>
            <w:tcW w:w="91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9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44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134,541</w:t>
            </w:r>
          </w:p>
        </w:tc>
        <w:tc>
          <w:tcPr>
            <w:tcW w:w="34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11,457</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Due to subsidiaries of Lazard Ltd</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305,213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340,079</w:t>
            </w:r>
          </w:p>
        </w:tc>
        <w:tc>
          <w:tcPr>
            <w:tcW w:w="0" w:type="dxa"/>
            <w:vAlign w:val="bottom"/>
          </w:tcPr>
          <w:p>
            <w:pPr>
              <w:spacing w:after="0"/>
              <w:rPr>
                <w:sz w:val="1"/>
                <w:szCs w:val="1"/>
                <w:color w:val="auto"/>
              </w:rPr>
            </w:pPr>
          </w:p>
        </w:tc>
      </w:tr>
      <w:tr>
        <w:trPr>
          <w:trHeight w:val="216"/>
        </w:trPr>
        <w:tc>
          <w:tcPr>
            <w:tcW w:w="9120" w:type="dxa"/>
            <w:vAlign w:val="bottom"/>
          </w:tcPr>
          <w:p>
            <w:pPr>
              <w:ind w:left="440"/>
              <w:spacing w:after="0"/>
              <w:rPr>
                <w:sz w:val="20"/>
                <w:szCs w:val="20"/>
                <w:color w:val="auto"/>
              </w:rPr>
            </w:pPr>
            <w:r>
              <w:rPr>
                <w:rFonts w:ascii="Arial" w:cs="Arial" w:eastAsia="Arial" w:hAnsi="Arial"/>
                <w:sz w:val="18"/>
                <w:szCs w:val="18"/>
                <w:color w:val="auto"/>
              </w:rPr>
              <w:t>Senior debt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1,086,850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w w:val="84"/>
              </w:rPr>
              <w:t>1,087,750</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85,245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74,638</w:t>
            </w:r>
          </w:p>
        </w:tc>
        <w:tc>
          <w:tcPr>
            <w:tcW w:w="0" w:type="dxa"/>
            <w:vAlign w:val="bottom"/>
          </w:tcPr>
          <w:p>
            <w:pPr>
              <w:spacing w:after="0"/>
              <w:rPr>
                <w:sz w:val="1"/>
                <w:szCs w:val="1"/>
                <w:color w:val="auto"/>
              </w:rPr>
            </w:pPr>
          </w:p>
        </w:tc>
      </w:tr>
      <w:tr>
        <w:trPr>
          <w:trHeight w:val="20"/>
        </w:trPr>
        <w:tc>
          <w:tcPr>
            <w:tcW w:w="9120" w:type="dxa"/>
            <w:vAlign w:val="bottom"/>
            <w:vMerge w:val="restart"/>
          </w:tcPr>
          <w:p>
            <w:pPr>
              <w:ind w:left="88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1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1,611,849</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w w:val="84"/>
              </w:rPr>
              <w:t>1,513,924</w:t>
            </w:r>
          </w:p>
        </w:tc>
        <w:tc>
          <w:tcPr>
            <w:tcW w:w="0" w:type="dxa"/>
            <w:vAlign w:val="bottom"/>
          </w:tcPr>
          <w:p>
            <w:pPr>
              <w:spacing w:after="0"/>
              <w:rPr>
                <w:sz w:val="1"/>
                <w:szCs w:val="1"/>
                <w:color w:val="auto"/>
              </w:rPr>
            </w:pPr>
          </w:p>
        </w:tc>
      </w:tr>
      <w:tr>
        <w:trPr>
          <w:trHeight w:val="218"/>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Members’ Equity:</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Members’ equity</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214,163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227,036</w:t>
            </w:r>
          </w:p>
        </w:tc>
        <w:tc>
          <w:tcPr>
            <w:tcW w:w="0" w:type="dxa"/>
            <w:vAlign w:val="bottom"/>
          </w:tcPr>
          <w:p>
            <w:pPr>
              <w:spacing w:after="0"/>
              <w:rPr>
                <w:sz w:val="1"/>
                <w:szCs w:val="1"/>
                <w:color w:val="auto"/>
              </w:rPr>
            </w:pPr>
          </w:p>
        </w:tc>
      </w:tr>
      <w:tr>
        <w:trPr>
          <w:trHeight w:val="216"/>
        </w:trPr>
        <w:tc>
          <w:tcPr>
            <w:tcW w:w="9120" w:type="dxa"/>
            <w:vAlign w:val="bottom"/>
          </w:tcPr>
          <w:p>
            <w:pPr>
              <w:ind w:left="440"/>
              <w:spacing w:after="0"/>
              <w:rPr>
                <w:sz w:val="20"/>
                <w:szCs w:val="20"/>
                <w:color w:val="auto"/>
              </w:rPr>
            </w:pPr>
            <w:r>
              <w:rPr>
                <w:rFonts w:ascii="Arial" w:cs="Arial" w:eastAsia="Arial" w:hAnsi="Arial"/>
                <w:sz w:val="18"/>
                <w:szCs w:val="18"/>
                <w:color w:val="auto"/>
              </w:rPr>
              <w:t>Accumulated other comprehensive loss, net of tax</w:t>
            </w: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(58,792)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(121,407)</w:t>
            </w:r>
          </w:p>
        </w:tc>
        <w:tc>
          <w:tcPr>
            <w:tcW w:w="0" w:type="dxa"/>
            <w:vAlign w:val="bottom"/>
          </w:tcPr>
          <w:p>
            <w:pPr>
              <w:spacing w:after="0"/>
              <w:rPr>
                <w:sz w:val="1"/>
                <w:szCs w:val="1"/>
                <w:color w:val="auto"/>
              </w:rPr>
            </w:pPr>
          </w:p>
        </w:tc>
      </w:tr>
      <w:tr>
        <w:trPr>
          <w:trHeight w:val="27"/>
        </w:trPr>
        <w:tc>
          <w:tcPr>
            <w:tcW w:w="9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members’ equity</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155,371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105,629</w:t>
            </w:r>
          </w:p>
        </w:tc>
        <w:tc>
          <w:tcPr>
            <w:tcW w:w="0" w:type="dxa"/>
            <w:vAlign w:val="bottom"/>
          </w:tcPr>
          <w:p>
            <w:pPr>
              <w:spacing w:after="0"/>
              <w:rPr>
                <w:sz w:val="1"/>
                <w:szCs w:val="1"/>
                <w:color w:val="auto"/>
              </w:rPr>
            </w:pPr>
          </w:p>
        </w:tc>
      </w:tr>
      <w:tr>
        <w:trPr>
          <w:trHeight w:val="20"/>
        </w:trPr>
        <w:tc>
          <w:tcPr>
            <w:tcW w:w="9120" w:type="dxa"/>
            <w:vAlign w:val="bottom"/>
            <w:vMerge w:val="restart"/>
          </w:tcPr>
          <w:p>
            <w:pPr>
              <w:ind w:left="880"/>
              <w:spacing w:after="0"/>
              <w:rPr>
                <w:sz w:val="20"/>
                <w:szCs w:val="20"/>
                <w:color w:val="auto"/>
              </w:rPr>
            </w:pPr>
            <w:r>
              <w:rPr>
                <w:rFonts w:ascii="Arial" w:cs="Arial" w:eastAsia="Arial" w:hAnsi="Arial"/>
                <w:sz w:val="18"/>
                <w:szCs w:val="18"/>
                <w:color w:val="auto"/>
              </w:rPr>
              <w:t>Total liabilities and members’ equity</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2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1,767,220</w:t>
            </w:r>
          </w:p>
        </w:tc>
        <w:tc>
          <w:tcPr>
            <w:tcW w:w="340" w:type="dxa"/>
            <w:vAlign w:val="bottom"/>
          </w:tcPr>
          <w:p>
            <w:pPr>
              <w:spacing w:after="0"/>
              <w:rPr>
                <w:sz w:val="19"/>
                <w:szCs w:val="19"/>
                <w:color w:val="auto"/>
              </w:rPr>
            </w:pP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w w:val="84"/>
              </w:rPr>
              <w:t>1,619,553</w:t>
            </w: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Equity in earnings of subsidiaries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200,938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198,500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617,401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14,778</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18,086</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16,388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233,802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233,757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660,290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91,216</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98,609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revenue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142,586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135,148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565,264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85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Compensation and benefits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339,795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90,248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188,612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Professional services</w:t>
            </w: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10,290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1,749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6,640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358,474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105,585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215,350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 (LOSS)</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5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(215,888)</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29,563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349,914</w:t>
            </w:r>
          </w:p>
        </w:tc>
        <w:tc>
          <w:tcPr>
            <w:tcW w:w="0" w:type="dxa"/>
            <w:vAlign w:val="bottom"/>
          </w:tcPr>
          <w:p>
            <w:pPr>
              <w:spacing w:after="0"/>
              <w:rPr>
                <w:sz w:val="1"/>
                <w:szCs w:val="1"/>
                <w:color w:val="auto"/>
              </w:rPr>
            </w:pPr>
          </w:p>
        </w:tc>
      </w:tr>
      <w:tr>
        <w:trPr>
          <w:trHeight w:val="218"/>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incomes taxes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(216,547)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25,671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342,134</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22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8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7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7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$(216,547)</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$ 25,671</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$342,134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Adjustments to reconcile net income amounts to net cash provided by (used in) operating activities: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860"/>
              <w:spacing w:after="0"/>
              <w:rPr>
                <w:sz w:val="20"/>
                <w:szCs w:val="20"/>
                <w:color w:val="auto"/>
              </w:rPr>
            </w:pPr>
            <w:r>
              <w:rPr>
                <w:rFonts w:ascii="Arial" w:cs="Arial" w:eastAsia="Arial" w:hAnsi="Arial"/>
                <w:sz w:val="18"/>
                <w:szCs w:val="18"/>
                <w:color w:val="auto"/>
              </w:rPr>
              <w:t>Noncash transactions in net income (loss):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Equity in earnings of subsidiaries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(200,938)</w:t>
            </w:r>
          </w:p>
        </w:tc>
        <w:tc>
          <w:tcPr>
            <w:tcW w:w="11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(198,500)</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(617,401)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280"/>
              <w:spacing w:after="0"/>
              <w:rPr>
                <w:sz w:val="20"/>
                <w:szCs w:val="20"/>
                <w:color w:val="auto"/>
              </w:rPr>
            </w:pPr>
            <w:r>
              <w:rPr>
                <w:rFonts w:ascii="Arial" w:cs="Arial" w:eastAsia="Arial" w:hAnsi="Arial"/>
                <w:sz w:val="18"/>
                <w:szCs w:val="18"/>
                <w:color w:val="auto"/>
              </w:rPr>
              <w:t>Gain on extinguishment of debt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(258)</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(20,253)</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368,122</w:t>
            </w:r>
          </w:p>
        </w:tc>
        <w:tc>
          <w:tcPr>
            <w:tcW w:w="11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245,452</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280"/>
              <w:spacing w:after="0"/>
              <w:rPr>
                <w:sz w:val="20"/>
                <w:szCs w:val="20"/>
                <w:color w:val="auto"/>
              </w:rPr>
            </w:pPr>
            <w:r>
              <w:rPr>
                <w:rFonts w:ascii="Arial" w:cs="Arial" w:eastAsia="Arial" w:hAnsi="Arial"/>
                <w:sz w:val="18"/>
                <w:szCs w:val="18"/>
                <w:color w:val="auto"/>
              </w:rPr>
              <w:t>Amortization of intangible assets related to acquisitions</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1,749</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4,596</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21,523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Dividends received from subsidiaries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394,097</w:t>
            </w:r>
          </w:p>
        </w:tc>
        <w:tc>
          <w:tcPr>
            <w:tcW w:w="11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412,819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436,120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860"/>
              <w:spacing w:after="0"/>
              <w:rPr>
                <w:sz w:val="20"/>
                <w:szCs w:val="20"/>
                <w:color w:val="auto"/>
              </w:rPr>
            </w:pPr>
            <w:r>
              <w:rPr>
                <w:rFonts w:ascii="Arial" w:cs="Arial" w:eastAsia="Arial" w:hAnsi="Arial"/>
                <w:sz w:val="18"/>
                <w:szCs w:val="18"/>
                <w:color w:val="auto"/>
              </w:rPr>
              <w:t>Changes in due to/from subsidiaries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(103,563)</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181,518</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(268,111)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other operating assets and liabilities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143,552</w:t>
            </w:r>
          </w:p>
        </w:tc>
        <w:tc>
          <w:tcPr>
            <w:tcW w:w="11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(243,452)</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386,214</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407,851</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(53,362)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3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Acquisition of businesses in 2009 and 2007 and equity method</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investments in 2008</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(44,000)</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(10,760)</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(154,062)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Purchases of held-to-maturity securities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(126,347)</w:t>
            </w:r>
          </w:p>
        </w:tc>
        <w:tc>
          <w:tcPr>
            <w:tcW w:w="110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Capital contributed to subsidiaries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(36,237)</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(54,395)</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(206,584)</w:t>
            </w:r>
          </w:p>
        </w:tc>
        <w:tc>
          <w:tcPr>
            <w:tcW w:w="11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(65,155)</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(163,962)</w:t>
            </w:r>
          </w:p>
        </w:tc>
        <w:tc>
          <w:tcPr>
            <w:tcW w:w="0" w:type="dxa"/>
            <w:vAlign w:val="bottom"/>
          </w:tcPr>
          <w:p>
            <w:pPr>
              <w:spacing w:after="0"/>
              <w:rPr>
                <w:sz w:val="1"/>
                <w:szCs w:val="1"/>
                <w:color w:val="auto"/>
              </w:rPr>
            </w:pPr>
          </w:p>
        </w:tc>
      </w:tr>
      <w:tr>
        <w:trPr>
          <w:trHeight w:val="330"/>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common membership interests relating to the settlement of ESUs</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437,500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Proceeds from issuance of senior debt, net of expenses</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593,485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for other senior debt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(635)</w:t>
            </w:r>
          </w:p>
        </w:tc>
        <w:tc>
          <w:tcPr>
            <w:tcW w:w="11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(478,925)</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Payments for subordinated debt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to members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(118,214)</w:t>
            </w:r>
          </w:p>
        </w:tc>
        <w:tc>
          <w:tcPr>
            <w:tcW w:w="11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(127,108)</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(148,272)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Repurchase of common membership interests from LAZ-MD Holdings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(13,285)</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(2,559)</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(21,840)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Lazard Ltd Class A common stock</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(50,479)</w:t>
            </w:r>
          </w:p>
        </w:tc>
        <w:tc>
          <w:tcPr>
            <w:tcW w:w="11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(277,064)</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Settlement of vested RSUs and DSUs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(13,220)</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(4,291)</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financing transactions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(210)</w:t>
            </w:r>
          </w:p>
        </w:tc>
        <w:tc>
          <w:tcPr>
            <w:tcW w:w="11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vMerge w:val="continue"/>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(196,043)</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(452,286)</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209,440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(16,413)</w:t>
            </w:r>
          </w:p>
        </w:tc>
        <w:tc>
          <w:tcPr>
            <w:tcW w:w="11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(109,590)</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Cash and cash equivalents, January 1</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202,422</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312,012</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319,896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December 31</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$186,009</w:t>
            </w:r>
          </w:p>
        </w:tc>
        <w:tc>
          <w:tcPr>
            <w:tcW w:w="11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202,422</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312,012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64"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CONDENSED STATEMENTS OF CHANGES IN MEMBERS’ EQUITY (DEFICIENCY) FOR THE YEARS ENDED DECEMBER 31, 2009, 2008 AND 2007 (dollars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0" w:type="dxa"/>
            <w:vAlign w:val="bottom"/>
            <w:gridSpan w:val="3"/>
          </w:tcPr>
          <w:p>
            <w:pPr>
              <w:jc w:val="center"/>
              <w:ind w:right="398"/>
              <w:spacing w:after="0" w:line="149" w:lineRule="exact"/>
              <w:rPr>
                <w:sz w:val="20"/>
                <w:szCs w:val="20"/>
                <w:color w:val="auto"/>
              </w:rPr>
            </w:pPr>
            <w:r>
              <w:rPr>
                <w:rFonts w:ascii="Arial" w:cs="Arial" w:eastAsia="Arial" w:hAnsi="Arial"/>
                <w:sz w:val="14"/>
                <w:szCs w:val="14"/>
                <w:b w:val="1"/>
                <w:bCs w:val="1"/>
                <w:color w:val="auto"/>
                <w:w w:val="91"/>
              </w:rPr>
              <w:t>Members’</w:t>
            </w:r>
          </w:p>
        </w:tc>
        <w:tc>
          <w:tcPr>
            <w:tcW w:w="14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Total Lazard Group</w:t>
            </w: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478"/>
              <w:spacing w:after="0" w:line="149" w:lineRule="exact"/>
              <w:rPr>
                <w:sz w:val="20"/>
                <w:szCs w:val="20"/>
                <w:color w:val="auto"/>
              </w:rPr>
            </w:pPr>
            <w:r>
              <w:rPr>
                <w:rFonts w:ascii="Arial" w:cs="Arial" w:eastAsia="Arial" w:hAnsi="Arial"/>
                <w:sz w:val="14"/>
                <w:szCs w:val="14"/>
                <w:b w:val="1"/>
                <w:bCs w:val="1"/>
                <w:color w:val="auto"/>
                <w:w w:val="93"/>
              </w:rPr>
              <w:t>Equity</w:t>
            </w:r>
          </w:p>
        </w:tc>
        <w:tc>
          <w:tcPr>
            <w:tcW w:w="14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2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6"/>
              </w:rPr>
              <w:t>Members’ Equity</w:t>
            </w:r>
          </w:p>
        </w:tc>
      </w:t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(Deficiency)</w:t>
            </w: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8"/>
              </w:rPr>
              <w:t>Net of Tax</w:t>
            </w:r>
          </w:p>
        </w:tc>
        <w:tc>
          <w:tcPr>
            <w:tcW w:w="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3"/>
              </w:rPr>
              <w:t>(Deficiency)</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1, 2007</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b w:val="1"/>
                <w:bCs w:val="1"/>
                <w:color w:val="auto"/>
                <w:w w:val="88"/>
              </w:rPr>
              <w:t>(292,472)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33,263</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(259,209)</w:t>
            </w: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98"/>
              <w:spacing w:after="0"/>
              <w:rPr>
                <w:sz w:val="20"/>
                <w:szCs w:val="20"/>
                <w:color w:val="auto"/>
              </w:rPr>
            </w:pPr>
            <w:r>
              <w:rPr>
                <w:rFonts w:ascii="Arial" w:cs="Arial" w:eastAsia="Arial" w:hAnsi="Arial"/>
                <w:sz w:val="18"/>
                <w:szCs w:val="18"/>
                <w:color w:val="auto"/>
                <w:w w:val="95"/>
              </w:rPr>
              <w:t>342,134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342,134</w:t>
            </w: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Other comprehensive income (loss) - net of tax:</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Currency translation adjustments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25,839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25,839</w:t>
            </w:r>
          </w:p>
        </w:tc>
      </w:tr>
      <w:tr>
        <w:trPr>
          <w:trHeight w:val="216"/>
        </w:trPr>
        <w:tc>
          <w:tcPr>
            <w:tcW w:w="20" w:type="dxa"/>
            <w:vAlign w:val="bottom"/>
          </w:tcPr>
          <w:p>
            <w:pPr>
              <w:spacing w:after="0"/>
              <w:rPr>
                <w:sz w:val="18"/>
                <w:szCs w:val="18"/>
                <w:color w:val="auto"/>
              </w:rPr>
            </w:pPr>
          </w:p>
        </w:tc>
        <w:tc>
          <w:tcPr>
            <w:tcW w:w="5500" w:type="dxa"/>
            <w:vAlign w:val="bottom"/>
          </w:tcPr>
          <w:p>
            <w:pPr>
              <w:ind w:left="860"/>
              <w:spacing w:after="0"/>
              <w:rPr>
                <w:sz w:val="20"/>
                <w:szCs w:val="20"/>
                <w:color w:val="auto"/>
              </w:rPr>
            </w:pPr>
            <w:r>
              <w:rPr>
                <w:rFonts w:ascii="Arial" w:cs="Arial" w:eastAsia="Arial" w:hAnsi="Arial"/>
                <w:sz w:val="18"/>
                <w:szCs w:val="18"/>
                <w:color w:val="auto"/>
              </w:rPr>
              <w:t>Amortization of interest rate hedge</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1,100</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1,100</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Available-for-sale securities: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280"/>
              <w:spacing w:after="0"/>
              <w:rPr>
                <w:sz w:val="20"/>
                <w:szCs w:val="20"/>
                <w:color w:val="auto"/>
              </w:rPr>
            </w:pPr>
            <w:r>
              <w:rPr>
                <w:rFonts w:ascii="Arial" w:cs="Arial" w:eastAsia="Arial" w:hAnsi="Arial"/>
                <w:sz w:val="18"/>
                <w:szCs w:val="18"/>
                <w:color w:val="auto"/>
              </w:rPr>
              <w:t>Net unrealized loss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(670)</w:t>
            </w:r>
          </w:p>
        </w:tc>
        <w:tc>
          <w:tcPr>
            <w:tcW w:w="1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(670)</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Employee benefit plans: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280"/>
              <w:spacing w:after="0"/>
              <w:rPr>
                <w:sz w:val="20"/>
                <w:szCs w:val="20"/>
                <w:color w:val="auto"/>
              </w:rPr>
            </w:pPr>
            <w:r>
              <w:rPr>
                <w:rFonts w:ascii="Arial" w:cs="Arial" w:eastAsia="Arial" w:hAnsi="Arial"/>
                <w:sz w:val="18"/>
                <w:szCs w:val="18"/>
                <w:color w:val="auto"/>
              </w:rPr>
              <w:t>Net actuarial loss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(3,440)</w:t>
            </w:r>
          </w:p>
        </w:tc>
        <w:tc>
          <w:tcPr>
            <w:tcW w:w="1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(3,440)</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Adjustments for items reclassified to earnings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w:t>
            </w:r>
          </w:p>
        </w:tc>
      </w:tr>
      <w:tr>
        <w:trPr>
          <w:trHeight w:val="230"/>
        </w:trPr>
        <w:tc>
          <w:tcPr>
            <w:tcW w:w="20" w:type="dxa"/>
            <w:vAlign w:val="bottom"/>
          </w:tcPr>
          <w:p>
            <w:pPr>
              <w:spacing w:after="0"/>
              <w:rPr>
                <w:sz w:val="20"/>
                <w:szCs w:val="20"/>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Comprehensive income</w:t>
            </w: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364,544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stock units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98"/>
              <w:spacing w:after="0"/>
              <w:rPr>
                <w:sz w:val="20"/>
                <w:szCs w:val="20"/>
                <w:color w:val="auto"/>
              </w:rPr>
            </w:pPr>
            <w:r>
              <w:rPr>
                <w:rFonts w:ascii="Arial" w:cs="Arial" w:eastAsia="Arial" w:hAnsi="Arial"/>
                <w:sz w:val="18"/>
                <w:szCs w:val="18"/>
                <w:color w:val="auto"/>
                <w:w w:val="95"/>
              </w:rPr>
              <w:t>104,765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104,765</w:t>
            </w: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Distributions to members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38"/>
              <w:spacing w:after="0"/>
              <w:rPr>
                <w:sz w:val="20"/>
                <w:szCs w:val="20"/>
                <w:color w:val="auto"/>
              </w:rPr>
            </w:pPr>
            <w:r>
              <w:rPr>
                <w:rFonts w:ascii="Arial" w:cs="Arial" w:eastAsia="Arial" w:hAnsi="Arial"/>
                <w:sz w:val="18"/>
                <w:szCs w:val="18"/>
                <w:color w:val="auto"/>
                <w:w w:val="88"/>
              </w:rPr>
              <w:t>(148,272)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(148,272)</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color w:val="auto"/>
              </w:rPr>
              <w:t>(68,052)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(68,052)</w:t>
            </w: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w w:val="90"/>
              </w:rPr>
              <w:t>Delivery of Lazard Ltd Class A common stock for settlement of vested RSUs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38"/>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8"/>
              </w:rPr>
              <w:t>Repurchase of common membership interests from LAZ-MD Holdings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color w:val="auto"/>
              </w:rPr>
              <w:t>(21,840)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(21,840)</w:t>
            </w: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w w:val="99"/>
              </w:rPr>
              <w:t>Adjustments related to business acquisitions and related amortization</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98"/>
              <w:spacing w:after="0"/>
              <w:rPr>
                <w:sz w:val="20"/>
                <w:szCs w:val="20"/>
                <w:color w:val="auto"/>
              </w:rPr>
            </w:pPr>
            <w:r>
              <w:rPr>
                <w:rFonts w:ascii="Arial" w:cs="Arial" w:eastAsia="Arial" w:hAnsi="Arial"/>
                <w:sz w:val="18"/>
                <w:szCs w:val="18"/>
                <w:color w:val="auto"/>
              </w:rPr>
              <w:t>1,636</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1,636</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98"/>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Balance – December 31, 2007</w:t>
            </w:r>
            <w:r>
              <w:rPr>
                <w:rFonts w:ascii="Arial" w:cs="Arial" w:eastAsia="Arial" w:hAnsi="Arial"/>
                <w:sz w:val="11"/>
                <w:szCs w:val="11"/>
                <w:b w:val="1"/>
                <w:bCs w:val="1"/>
                <w:color w:val="auto"/>
              </w:rPr>
              <w:t>(*)</w:t>
            </w:r>
          </w:p>
        </w:tc>
        <w:tc>
          <w:tcPr>
            <w:tcW w:w="20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(81,980</w:t>
            </w:r>
          </w:p>
        </w:tc>
        <w:tc>
          <w:tcPr>
            <w:tcW w:w="480" w:type="dxa"/>
            <w:vAlign w:val="bottom"/>
          </w:tcPr>
          <w:p>
            <w:pPr>
              <w:jc w:val="right"/>
              <w:ind w:right="338"/>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55,673</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(26,307)</w:t>
            </w:r>
          </w:p>
        </w:tc>
        <w:tc>
          <w:tcPr>
            <w:tcW w:w="100" w:type="dxa"/>
            <w:vAlign w:val="bottom"/>
          </w:tcPr>
          <w:p>
            <w:pPr>
              <w:spacing w:after="0"/>
              <w:rPr>
                <w:sz w:val="19"/>
                <w:szCs w:val="19"/>
                <w:color w:val="auto"/>
              </w:rPr>
            </w:pPr>
          </w:p>
        </w:tc>
      </w:tr>
      <w:tr>
        <w:trPr>
          <w:trHeight w:val="370"/>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100" w:type="dxa"/>
            <w:vAlign w:val="bottom"/>
            <w:gridSpan w:val="2"/>
          </w:tcPr>
          <w:p>
            <w:pPr>
              <w:jc w:val="right"/>
              <w:ind w:right="1709"/>
              <w:spacing w:after="0"/>
              <w:rPr>
                <w:sz w:val="20"/>
                <w:szCs w:val="20"/>
                <w:color w:val="auto"/>
              </w:rPr>
            </w:pPr>
            <w:r>
              <w:rPr>
                <w:rFonts w:ascii="Arial" w:cs="Arial" w:eastAsia="Arial" w:hAnsi="Arial"/>
                <w:sz w:val="18"/>
                <w:szCs w:val="18"/>
                <w:color w:val="auto"/>
              </w:rPr>
              <w:t>F-5</w:t>
            </w: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CHANGES IN MEMBERS’ EQUITY (DEFICIENCY)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2009, 2008 AND 2007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97"/>
              </w:rPr>
              <w:t>Members’</w:t>
            </w:r>
          </w:p>
        </w:tc>
        <w:tc>
          <w:tcPr>
            <w:tcW w:w="14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Total Lazard Group</w:t>
            </w: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Equity</w:t>
            </w:r>
          </w:p>
        </w:tc>
        <w:tc>
          <w:tcPr>
            <w:tcW w:w="14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2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6"/>
              </w:rPr>
              <w:t>Members’ Equity</w:t>
            </w:r>
          </w:p>
        </w:tc>
      </w:t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(Deficiency)</w:t>
            </w: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8"/>
              </w:rPr>
              <w:t>Net of Tax</w:t>
            </w:r>
          </w:p>
        </w:tc>
        <w:tc>
          <w:tcPr>
            <w:tcW w:w="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3"/>
              </w:rPr>
              <w:t>(Deficiency)</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1, 2008</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(81,980)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55,673</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(26,307)</w:t>
            </w:r>
          </w:p>
        </w:tc>
      </w:tr>
      <w:tr>
        <w:trPr>
          <w:trHeight w:val="222"/>
        </w:trPr>
        <w:tc>
          <w:tcPr>
            <w:tcW w:w="718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25,671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25,671</w:t>
            </w: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Other comprehensive income (loss) - net of tax:</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Currency translation adjustments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(151,761)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(151,761)</w:t>
            </w:r>
          </w:p>
        </w:tc>
      </w:tr>
      <w:tr>
        <w:trPr>
          <w:trHeight w:val="216"/>
        </w:trPr>
        <w:tc>
          <w:tcPr>
            <w:tcW w:w="20" w:type="dxa"/>
            <w:vAlign w:val="bottom"/>
          </w:tcPr>
          <w:p>
            <w:pPr>
              <w:spacing w:after="0"/>
              <w:rPr>
                <w:sz w:val="18"/>
                <w:szCs w:val="18"/>
                <w:color w:val="auto"/>
              </w:rPr>
            </w:pPr>
          </w:p>
        </w:tc>
        <w:tc>
          <w:tcPr>
            <w:tcW w:w="7160" w:type="dxa"/>
            <w:vAlign w:val="bottom"/>
          </w:tcPr>
          <w:p>
            <w:pPr>
              <w:ind w:left="860"/>
              <w:spacing w:after="0"/>
              <w:rPr>
                <w:sz w:val="20"/>
                <w:szCs w:val="20"/>
                <w:color w:val="auto"/>
              </w:rPr>
            </w:pPr>
            <w:r>
              <w:rPr>
                <w:rFonts w:ascii="Arial" w:cs="Arial" w:eastAsia="Arial" w:hAnsi="Arial"/>
                <w:sz w:val="18"/>
                <w:szCs w:val="18"/>
                <w:color w:val="auto"/>
              </w:rPr>
              <w:t>Amortization of interest rate hedge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1,246</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1,246</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Available-for-sale securities: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280"/>
              <w:spacing w:after="0"/>
              <w:rPr>
                <w:sz w:val="20"/>
                <w:szCs w:val="20"/>
                <w:color w:val="auto"/>
              </w:rPr>
            </w:pPr>
            <w:r>
              <w:rPr>
                <w:rFonts w:ascii="Arial" w:cs="Arial" w:eastAsia="Arial" w:hAnsi="Arial"/>
                <w:sz w:val="18"/>
                <w:szCs w:val="18"/>
                <w:color w:val="auto"/>
              </w:rPr>
              <w:t>Net unrealized loss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(40,847)</w:t>
            </w:r>
          </w:p>
        </w:tc>
        <w:tc>
          <w:tcPr>
            <w:tcW w:w="1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(40,847)</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Adjustment for items reclassified to earnings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7160" w:type="dxa"/>
            <w:vAlign w:val="bottom"/>
          </w:tcPr>
          <w:p>
            <w:pPr>
              <w:ind w:left="860"/>
              <w:spacing w:after="0"/>
              <w:rPr>
                <w:sz w:val="20"/>
                <w:szCs w:val="20"/>
                <w:color w:val="auto"/>
              </w:rPr>
            </w:pPr>
            <w:r>
              <w:rPr>
                <w:rFonts w:ascii="Arial" w:cs="Arial" w:eastAsia="Arial" w:hAnsi="Arial"/>
                <w:sz w:val="18"/>
                <w:szCs w:val="18"/>
                <w:color w:val="auto"/>
              </w:rPr>
              <w:t>Employee benefit plans: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actuarial gain</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14,154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14,154</w:t>
            </w:r>
          </w:p>
        </w:tc>
      </w:tr>
      <w:tr>
        <w:trPr>
          <w:trHeight w:val="223"/>
        </w:trPr>
        <w:tc>
          <w:tcPr>
            <w:tcW w:w="20" w:type="dxa"/>
            <w:vAlign w:val="bottom"/>
          </w:tcPr>
          <w:p>
            <w:pPr>
              <w:spacing w:after="0"/>
              <w:rPr>
                <w:sz w:val="19"/>
                <w:szCs w:val="19"/>
                <w:color w:val="auto"/>
              </w:rPr>
            </w:pPr>
          </w:p>
        </w:tc>
        <w:tc>
          <w:tcPr>
            <w:tcW w:w="7160" w:type="dxa"/>
            <w:vAlign w:val="bottom"/>
          </w:tcPr>
          <w:p>
            <w:pPr>
              <w:ind w:left="1280"/>
              <w:spacing w:after="0"/>
              <w:rPr>
                <w:sz w:val="20"/>
                <w:szCs w:val="20"/>
                <w:color w:val="auto"/>
              </w:rPr>
            </w:pPr>
            <w:r>
              <w:rPr>
                <w:rFonts w:ascii="Arial" w:cs="Arial" w:eastAsia="Arial" w:hAnsi="Arial"/>
                <w:sz w:val="18"/>
                <w:szCs w:val="18"/>
                <w:color w:val="auto"/>
              </w:rPr>
              <w:t>Adjustment for items reclassified to earnings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123</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(151,409)</w:t>
            </w:r>
          </w:p>
        </w:tc>
      </w:tr>
      <w:tr>
        <w:trPr>
          <w:trHeight w:val="235"/>
        </w:trPr>
        <w:tc>
          <w:tcPr>
            <w:tcW w:w="7180" w:type="dxa"/>
            <w:vAlign w:val="bottom"/>
            <w:gridSpan w:val="2"/>
          </w:tcPr>
          <w:p>
            <w:pPr>
              <w:spacing w:after="0"/>
              <w:rPr>
                <w:sz w:val="20"/>
                <w:szCs w:val="20"/>
                <w:color w:val="auto"/>
              </w:rPr>
            </w:pPr>
            <w:r>
              <w:rPr>
                <w:rFonts w:ascii="Arial" w:cs="Arial" w:eastAsia="Arial" w:hAnsi="Arial"/>
                <w:sz w:val="18"/>
                <w:szCs w:val="18"/>
                <w:color w:val="auto"/>
              </w:rPr>
              <w:t>Amortization of stock units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234,602</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234,602</w:t>
            </w:r>
          </w:p>
        </w:tc>
        <w:tc>
          <w:tcPr>
            <w:tcW w:w="100" w:type="dxa"/>
            <w:vAlign w:val="bottom"/>
          </w:tcPr>
          <w:p>
            <w:pPr>
              <w:spacing w:after="0"/>
              <w:rPr>
                <w:sz w:val="20"/>
                <w:szCs w:val="20"/>
                <w:color w:val="auto"/>
              </w:rPr>
            </w:pPr>
          </w:p>
        </w:tc>
      </w:tr>
      <w:tr>
        <w:trPr>
          <w:trHeight w:val="232"/>
        </w:trPr>
        <w:tc>
          <w:tcPr>
            <w:tcW w:w="20" w:type="dxa"/>
            <w:vAlign w:val="bottom"/>
          </w:tcPr>
          <w:p>
            <w:pPr>
              <w:spacing w:after="0"/>
              <w:rPr>
                <w:sz w:val="20"/>
                <w:szCs w:val="20"/>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members</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(127,108)</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(127,108)</w:t>
            </w:r>
          </w:p>
        </w:tc>
      </w:tr>
      <w:tr>
        <w:trPr>
          <w:trHeight w:val="228"/>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Purchase of Lazard Ltd Class A common stock</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(277,064)</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(277,064)</w:t>
            </w:r>
          </w:p>
        </w:tc>
      </w:tr>
      <w:tr>
        <w:trPr>
          <w:trHeight w:val="232"/>
        </w:trPr>
        <w:tc>
          <w:tcPr>
            <w:tcW w:w="20" w:type="dxa"/>
            <w:vAlign w:val="bottom"/>
          </w:tcPr>
          <w:p>
            <w:pPr>
              <w:spacing w:after="0"/>
              <w:rPr>
                <w:sz w:val="20"/>
                <w:szCs w:val="20"/>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Delivery of Lazard Ltd Class A common stock for settlement of vested RSUs and DSUs</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(4,291)</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(4,291)</w:t>
            </w:r>
          </w:p>
        </w:tc>
      </w:tr>
      <w:tr>
        <w:trPr>
          <w:trHeight w:val="208"/>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w w:val="91"/>
              </w:rPr>
              <w:t>Issuance of 14,582,750 common membership interests in the settlement of the purchase contracts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forming part of the ESUs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437,500</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437,500</w:t>
            </w:r>
          </w:p>
        </w:tc>
      </w:tr>
      <w:tr>
        <w:trPr>
          <w:trHeight w:val="232"/>
        </w:trPr>
        <w:tc>
          <w:tcPr>
            <w:tcW w:w="20" w:type="dxa"/>
            <w:vAlign w:val="bottom"/>
          </w:tcPr>
          <w:p>
            <w:pPr>
              <w:spacing w:after="0"/>
              <w:rPr>
                <w:sz w:val="20"/>
                <w:szCs w:val="20"/>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membership interests from LAZ-MD Holdings</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(2,559)</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(2,559)</w:t>
            </w:r>
          </w:p>
        </w:tc>
      </w:tr>
      <w:tr>
        <w:trPr>
          <w:trHeight w:val="228"/>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Common membership interests issued in connection with business acquisitions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18,416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18,416</w:t>
            </w:r>
          </w:p>
        </w:tc>
      </w:tr>
      <w:tr>
        <w:trPr>
          <w:trHeight w:val="232"/>
        </w:trPr>
        <w:tc>
          <w:tcPr>
            <w:tcW w:w="20" w:type="dxa"/>
            <w:vAlign w:val="bottom"/>
          </w:tcPr>
          <w:p>
            <w:pPr>
              <w:spacing w:after="0"/>
              <w:rPr>
                <w:sz w:val="20"/>
                <w:szCs w:val="20"/>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Adjustments related to business acquisitions and related amortization</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3,690</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3,690</w:t>
            </w:r>
          </w:p>
        </w:tc>
      </w:tr>
      <w:tr>
        <w:trPr>
          <w:trHeight w:val="223"/>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2008</w:t>
            </w:r>
            <w:r>
              <w:rPr>
                <w:rFonts w:ascii="Arial" w:cs="Arial" w:eastAsia="Arial" w:hAnsi="Arial"/>
                <w:sz w:val="11"/>
                <w:szCs w:val="11"/>
                <w:b w:val="1"/>
                <w:bCs w:val="1"/>
                <w:color w:val="auto"/>
              </w:rPr>
              <w:t>(*)</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95"/>
              </w:rPr>
              <w:t>227,036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(121,407)</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105,629</w:t>
            </w:r>
          </w:p>
        </w:tc>
      </w:tr>
      <w:tr>
        <w:trPr>
          <w:trHeight w:val="370"/>
        </w:trPr>
        <w:tc>
          <w:tcPr>
            <w:tcW w:w="20" w:type="dxa"/>
            <w:vAlign w:val="bottom"/>
          </w:tcPr>
          <w:p>
            <w:pPr>
              <w:spacing w:after="0"/>
              <w:rPr>
                <w:sz w:val="24"/>
                <w:szCs w:val="24"/>
                <w:color w:val="auto"/>
              </w:rPr>
            </w:pPr>
          </w:p>
        </w:tc>
        <w:tc>
          <w:tcPr>
            <w:tcW w:w="7160" w:type="dxa"/>
            <w:vAlign w:val="bottom"/>
          </w:tcPr>
          <w:p>
            <w:pPr>
              <w:ind w:left="5580"/>
              <w:spacing w:after="0"/>
              <w:rPr>
                <w:sz w:val="20"/>
                <w:szCs w:val="20"/>
                <w:color w:val="auto"/>
              </w:rPr>
            </w:pPr>
            <w:r>
              <w:rPr>
                <w:rFonts w:ascii="Arial" w:cs="Arial" w:eastAsia="Arial" w:hAnsi="Arial"/>
                <w:sz w:val="18"/>
                <w:szCs w:val="18"/>
                <w:color w:val="auto"/>
              </w:rPr>
              <w:t>F-6</w:t>
            </w:r>
          </w:p>
        </w:tc>
        <w:tc>
          <w:tcPr>
            <w:tcW w:w="3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CHANGES IN MEMBERS’ EQUITY (DEFICIENCY)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2009, 2008 AND 2007—(Continued)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Accumulated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96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1"/>
              </w:rPr>
              <w:t>Members’</w:t>
            </w: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Lazard Group</w:t>
            </w:r>
          </w:p>
        </w:tc>
      </w:t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Equity</w:t>
            </w:r>
          </w:p>
        </w:tc>
        <w:tc>
          <w:tcPr>
            <w:tcW w:w="300" w:type="dxa"/>
            <w:vAlign w:val="bottom"/>
            <w:gridSpan w:val="2"/>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of Tax</w:t>
            </w:r>
          </w:p>
        </w:tc>
        <w:tc>
          <w:tcPr>
            <w:tcW w:w="3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Members’ Equity</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1, 2009</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5"/>
              </w:rPr>
              <w:t>$227,036</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 (121,407)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$105,629</w:t>
            </w:r>
          </w:p>
        </w:tc>
      </w:tr>
      <w:tr>
        <w:trPr>
          <w:trHeight w:val="222"/>
        </w:trPr>
        <w:tc>
          <w:tcPr>
            <w:tcW w:w="812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0"/>
              </w:rPr>
              <w:t>(216,547)</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(216,547)</w:t>
            </w: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Other comprehensive income (loss) - net of tax:</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Currency translation adjustments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62,992</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62,992</w:t>
            </w: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Amortization of interest rate hedge</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1,077</w:t>
            </w: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1,077</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Available-for-sale securities: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060"/>
              <w:spacing w:after="0"/>
              <w:rPr>
                <w:sz w:val="20"/>
                <w:szCs w:val="20"/>
                <w:color w:val="auto"/>
              </w:rPr>
            </w:pPr>
            <w:r>
              <w:rPr>
                <w:rFonts w:ascii="Arial" w:cs="Arial" w:eastAsia="Arial" w:hAnsi="Arial"/>
                <w:sz w:val="18"/>
                <w:szCs w:val="18"/>
                <w:color w:val="auto"/>
              </w:rPr>
              <w:t>Net unrealized gain</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27,612</w:t>
            </w: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27,612</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Adjustment for items reclassified to earnings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w:t>
            </w: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Employee benefit plans: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Prior service costs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(15,152)</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(15,152)</w:t>
            </w:r>
          </w:p>
        </w:tc>
      </w:tr>
      <w:tr>
        <w:trPr>
          <w:trHeight w:val="216"/>
        </w:trPr>
        <w:tc>
          <w:tcPr>
            <w:tcW w:w="20" w:type="dxa"/>
            <w:vAlign w:val="bottom"/>
          </w:tcPr>
          <w:p>
            <w:pPr>
              <w:spacing w:after="0"/>
              <w:rPr>
                <w:sz w:val="18"/>
                <w:szCs w:val="18"/>
                <w:color w:val="auto"/>
              </w:rPr>
            </w:pPr>
          </w:p>
        </w:tc>
        <w:tc>
          <w:tcPr>
            <w:tcW w:w="8100" w:type="dxa"/>
            <w:vAlign w:val="bottom"/>
          </w:tcPr>
          <w:p>
            <w:pPr>
              <w:ind w:left="1060"/>
              <w:spacing w:after="0"/>
              <w:rPr>
                <w:sz w:val="20"/>
                <w:szCs w:val="20"/>
                <w:color w:val="auto"/>
              </w:rPr>
            </w:pPr>
            <w:r>
              <w:rPr>
                <w:rFonts w:ascii="Arial" w:cs="Arial" w:eastAsia="Arial" w:hAnsi="Arial"/>
                <w:sz w:val="18"/>
                <w:szCs w:val="18"/>
                <w:color w:val="auto"/>
              </w:rPr>
              <w:t>Net actuarial loss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(18,215)</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(18,215)</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Adjustment for items reclassified to earnings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3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Comprehensive loss</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(153,932)</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stock units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358,062</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358,062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Distributions to members</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w w:val="90"/>
              </w:rPr>
              <w:t>(118,214)</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(118,214)</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(50,479)</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(50,479)</w:t>
            </w: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Delivery of Lazard Ltd Class A common stock for settlement of vested RSUs and DSUs</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(13,220)</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(13,220)</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membership interests from LAZ-MD Holdings</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(13,285)</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(13,285)</w:t>
            </w: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Common membership interests issued in connection with business acquisitions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32,384</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32,384</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Adjustments related to noncontrolling interests</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(2,143)</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(2,143)</w:t>
            </w: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Adjustments related to business acquisitions and related amortization</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10,778</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10,778</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(209)</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w:t>
            </w:r>
          </w:p>
        </w:tc>
      </w:tr>
      <w:tr>
        <w:trPr>
          <w:trHeight w:val="223"/>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Balance – December 31, 2009(*)</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214,163</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$(58,792)</w:t>
            </w:r>
          </w:p>
        </w:tc>
        <w:tc>
          <w:tcPr>
            <w:tcW w:w="3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$155,371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0" w:lineRule="exact"/>
        <w:rPr>
          <w:sz w:val="20"/>
          <w:szCs w:val="20"/>
          <w:color w:val="auto"/>
        </w:rPr>
      </w:pPr>
    </w:p>
    <w:p>
      <w:pPr>
        <w:ind w:left="460" w:right="360" w:hanging="452"/>
        <w:spacing w:after="0" w:line="228" w:lineRule="auto"/>
        <w:tabs>
          <w:tab w:leader="none" w:pos="460" w:val="left"/>
        </w:tabs>
        <w:numPr>
          <w:ilvl w:val="0"/>
          <w:numId w:val="92"/>
        </w:numPr>
        <w:rPr>
          <w:rFonts w:ascii="Arial" w:cs="Arial" w:eastAsia="Arial" w:hAnsi="Arial"/>
          <w:sz w:val="22"/>
          <w:szCs w:val="22"/>
          <w:color w:val="auto"/>
          <w:vertAlign w:val="superscript"/>
        </w:rPr>
      </w:pPr>
      <w:r>
        <w:rPr>
          <w:rFonts w:ascii="Arial" w:cs="Arial" w:eastAsia="Arial" w:hAnsi="Arial"/>
          <w:sz w:val="18"/>
          <w:szCs w:val="18"/>
          <w:color w:val="auto"/>
        </w:rPr>
        <w:t>Includes 107,068,617, 122,233,664 and 123,686,338 common membership interests at December 31, 2007, 2008 and 2009, respectively. Also includes profit participation and two managing member interests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89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6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1.</w:t>
      </w:r>
      <w:r>
        <w:rPr>
          <w:sz w:val="20"/>
          <w:szCs w:val="20"/>
          <w:color w:val="auto"/>
        </w:rPr>
        <w:tab/>
      </w:r>
      <w:r>
        <w:rPr>
          <w:rFonts w:ascii="Arial" w:cs="Arial" w:eastAsia="Arial" w:hAnsi="Arial"/>
          <w:sz w:val="16"/>
          <w:szCs w:val="16"/>
          <w:b w:val="1"/>
          <w:bCs w:val="1"/>
          <w:i w:val="1"/>
          <w:iCs w:val="1"/>
          <w:color w:val="auto"/>
        </w:rPr>
        <w:t>BASIS OF PRESENTATION</w:t>
      </w:r>
    </w:p>
    <w:p>
      <w:pPr>
        <w:spacing w:after="0" w:line="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accompanying Lazard Group LLC condensed financial statements (the “Parent Company Financial Statements”), including the notes thereto, should be read in conjunction with the consolidated financial statements of Lazard Group LLC and its subsidiaries (“the Company”) and the notes thereto.</w:t>
      </w:r>
    </w:p>
    <w:p>
      <w:pPr>
        <w:spacing w:after="0" w:line="7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Parent Company Financial Statements as of December 31, 2009 and 2008, and for each of the three years in the period ended December 31, 2009, are prepared in conformity with accounting principles generally accepted in the United States of America (“U.S. GAAP”), which require management to make estimates and assumptions that affect the reported amounts of assets and liabilities, revenue and expenses, and the disclosures in the condensed financial statements. Management believes that the estimates utilized in the preparation of the condensed financial statements are reasonable. Actual results could differ materially from these estimates.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Parent Company Financial Statements include investments in subsidiaries, accounted for under the equity method.</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26, 2010</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p>
      <w:pPr>
        <w:jc w:val="center"/>
        <w:ind w:left="4360"/>
        <w:spacing w:after="0"/>
        <w:tabs>
          <w:tab w:leader="none" w:pos="1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Kenneth M. Jacobs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Chairman and Chief Executive Officer</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4"/>
                <w:szCs w:val="14"/>
                <w:b w:val="1"/>
                <w:bCs w:val="1"/>
                <w:color w:val="auto"/>
                <w:w w:val="95"/>
              </w:rPr>
              <w:t>Signature</w:t>
            </w: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Capacity</w:t>
            </w:r>
          </w:p>
        </w:tc>
        <w:tc>
          <w:tcPr>
            <w:tcW w:w="1160" w:type="dxa"/>
            <w:vAlign w:val="bottom"/>
          </w:tcPr>
          <w:p>
            <w:pPr>
              <w:spacing w:after="0"/>
              <w:rPr>
                <w:sz w:val="15"/>
                <w:szCs w:val="15"/>
                <w:color w:val="auto"/>
              </w:rPr>
            </w:pPr>
          </w:p>
        </w:tc>
        <w:tc>
          <w:tcPr>
            <w:tcW w:w="8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7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780" w:type="dxa"/>
            <w:vAlign w:val="bottom"/>
          </w:tcPr>
          <w:p>
            <w:pPr>
              <w:ind w:left="520"/>
              <w:spacing w:after="0"/>
              <w:rPr>
                <w:sz w:val="20"/>
                <w:szCs w:val="20"/>
                <w:color w:val="auto"/>
              </w:rPr>
            </w:pPr>
            <w:r>
              <w:rPr>
                <w:rFonts w:ascii="Arial" w:cs="Arial" w:eastAsia="Arial" w:hAnsi="Arial"/>
                <w:sz w:val="18"/>
                <w:szCs w:val="18"/>
                <w:color w:val="auto"/>
              </w:rPr>
              <w:t>/s/</w:t>
            </w:r>
          </w:p>
        </w:tc>
        <w:tc>
          <w:tcPr>
            <w:tcW w:w="1880" w:type="dxa"/>
            <w:vAlign w:val="bottom"/>
            <w:gridSpan w:val="2"/>
          </w:tcPr>
          <w:p>
            <w:pPr>
              <w:ind w:left="80"/>
              <w:spacing w:after="0"/>
              <w:rPr>
                <w:sz w:val="20"/>
                <w:szCs w:val="20"/>
                <w:color w:val="auto"/>
              </w:rPr>
            </w:pPr>
            <w:r>
              <w:rPr>
                <w:rFonts w:ascii="Arial" w:cs="Arial" w:eastAsia="Arial" w:hAnsi="Arial"/>
                <w:sz w:val="18"/>
                <w:szCs w:val="18"/>
                <w:color w:val="auto"/>
              </w:rPr>
              <w:t>Kenneth M. Jacobs</w:t>
            </w: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Chairman, Chief Executive Officer and 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16"/>
        </w:trPr>
        <w:tc>
          <w:tcPr>
            <w:tcW w:w="7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1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780" w:type="dxa"/>
            <w:vAlign w:val="bottom"/>
          </w:tcPr>
          <w:p>
            <w:pPr>
              <w:spacing w:after="0"/>
              <w:rPr>
                <w:sz w:val="7"/>
                <w:szCs w:val="7"/>
                <w:color w:val="auto"/>
              </w:rPr>
            </w:pPr>
          </w:p>
        </w:tc>
        <w:tc>
          <w:tcPr>
            <w:tcW w:w="1880" w:type="dxa"/>
            <w:vAlign w:val="bottom"/>
            <w:gridSpan w:val="2"/>
            <w:vMerge w:val="restart"/>
          </w:tcPr>
          <w:p>
            <w:pPr>
              <w:ind w:left="160"/>
              <w:spacing w:after="0"/>
              <w:rPr>
                <w:sz w:val="20"/>
                <w:szCs w:val="20"/>
                <w:color w:val="auto"/>
              </w:rPr>
            </w:pPr>
            <w:r>
              <w:rPr>
                <w:rFonts w:ascii="Arial" w:cs="Arial" w:eastAsia="Arial" w:hAnsi="Arial"/>
                <w:sz w:val="18"/>
                <w:szCs w:val="18"/>
                <w:color w:val="auto"/>
              </w:rPr>
              <w:t>Kenneth M. Jacobs</w:t>
            </w:r>
          </w:p>
        </w:tc>
        <w:tc>
          <w:tcPr>
            <w:tcW w:w="1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80" w:type="dxa"/>
            <w:vAlign w:val="bottom"/>
            <w:gridSpan w:val="2"/>
            <w:vMerge w:val="continue"/>
          </w:tcPr>
          <w:p>
            <w:pPr>
              <w:spacing w:after="0"/>
              <w:rPr>
                <w:sz w:val="7"/>
                <w:szCs w:val="7"/>
                <w:color w:val="auto"/>
              </w:rPr>
            </w:pPr>
          </w:p>
        </w:tc>
        <w:tc>
          <w:tcPr>
            <w:tcW w:w="1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780" w:type="dxa"/>
            <w:vAlign w:val="bottom"/>
          </w:tcPr>
          <w:p>
            <w:pPr>
              <w:ind w:left="520"/>
              <w:spacing w:after="0"/>
              <w:rPr>
                <w:sz w:val="20"/>
                <w:szCs w:val="20"/>
                <w:color w:val="auto"/>
              </w:rPr>
            </w:pPr>
            <w:r>
              <w:rPr>
                <w:rFonts w:ascii="Arial" w:cs="Arial" w:eastAsia="Arial" w:hAnsi="Arial"/>
                <w:sz w:val="18"/>
                <w:szCs w:val="18"/>
                <w:color w:val="auto"/>
              </w:rPr>
              <w:t>/s/</w:t>
            </w:r>
          </w:p>
        </w:tc>
        <w:tc>
          <w:tcPr>
            <w:tcW w:w="1880" w:type="dxa"/>
            <w:vAlign w:val="bottom"/>
            <w:gridSpan w:val="2"/>
          </w:tcPr>
          <w:p>
            <w:pPr>
              <w:ind w:left="80"/>
              <w:spacing w:after="0"/>
              <w:rPr>
                <w:sz w:val="20"/>
                <w:szCs w:val="20"/>
                <w:color w:val="auto"/>
              </w:rPr>
            </w:pPr>
            <w:r>
              <w:rPr>
                <w:rFonts w:ascii="Arial" w:cs="Arial" w:eastAsia="Arial" w:hAnsi="Arial"/>
                <w:sz w:val="18"/>
                <w:szCs w:val="18"/>
                <w:color w:val="auto"/>
              </w:rPr>
              <w:t>Michael J. Castellano</w:t>
            </w: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16"/>
        </w:trPr>
        <w:tc>
          <w:tcPr>
            <w:tcW w:w="7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tc>
        <w:tc>
          <w:tcPr>
            <w:tcW w:w="1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780" w:type="dxa"/>
            <w:vAlign w:val="bottom"/>
          </w:tcPr>
          <w:p>
            <w:pPr>
              <w:spacing w:after="0"/>
              <w:rPr>
                <w:sz w:val="7"/>
                <w:szCs w:val="7"/>
                <w:color w:val="auto"/>
              </w:rPr>
            </w:pPr>
          </w:p>
        </w:tc>
        <w:tc>
          <w:tcPr>
            <w:tcW w:w="1880" w:type="dxa"/>
            <w:vAlign w:val="bottom"/>
            <w:gridSpan w:val="2"/>
            <w:vMerge w:val="restart"/>
          </w:tcPr>
          <w:p>
            <w:pPr>
              <w:ind w:left="160"/>
              <w:spacing w:after="0"/>
              <w:rPr>
                <w:sz w:val="20"/>
                <w:szCs w:val="20"/>
                <w:color w:val="auto"/>
              </w:rPr>
            </w:pPr>
            <w:r>
              <w:rPr>
                <w:rFonts w:ascii="Arial" w:cs="Arial" w:eastAsia="Arial" w:hAnsi="Arial"/>
                <w:sz w:val="18"/>
                <w:szCs w:val="18"/>
                <w:color w:val="auto"/>
                <w:w w:val="99"/>
              </w:rPr>
              <w:t>Michael J. Castellano</w:t>
            </w:r>
          </w:p>
        </w:tc>
        <w:tc>
          <w:tcPr>
            <w:tcW w:w="1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80" w:type="dxa"/>
            <w:vAlign w:val="bottom"/>
            <w:gridSpan w:val="2"/>
            <w:vMerge w:val="continue"/>
          </w:tcPr>
          <w:p>
            <w:pPr>
              <w:spacing w:after="0"/>
              <w:rPr>
                <w:sz w:val="7"/>
                <w:szCs w:val="7"/>
                <w:color w:val="auto"/>
              </w:rPr>
            </w:pPr>
          </w:p>
        </w:tc>
        <w:tc>
          <w:tcPr>
            <w:tcW w:w="1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780" w:type="dxa"/>
            <w:vAlign w:val="bottom"/>
          </w:tcPr>
          <w:p>
            <w:pPr>
              <w:ind w:left="520"/>
              <w:spacing w:after="0"/>
              <w:rPr>
                <w:sz w:val="20"/>
                <w:szCs w:val="20"/>
                <w:color w:val="auto"/>
              </w:rPr>
            </w:pPr>
            <w:r>
              <w:rPr>
                <w:rFonts w:ascii="Arial" w:cs="Arial" w:eastAsia="Arial" w:hAnsi="Arial"/>
                <w:sz w:val="18"/>
                <w:szCs w:val="18"/>
                <w:color w:val="auto"/>
              </w:rPr>
              <w:t>/s/</w:t>
            </w:r>
          </w:p>
        </w:tc>
        <w:tc>
          <w:tcPr>
            <w:tcW w:w="1880" w:type="dxa"/>
            <w:vAlign w:val="bottom"/>
            <w:gridSpan w:val="2"/>
          </w:tcPr>
          <w:p>
            <w:pPr>
              <w:ind w:left="80"/>
              <w:spacing w:after="0"/>
              <w:rPr>
                <w:sz w:val="20"/>
                <w:szCs w:val="20"/>
                <w:color w:val="auto"/>
              </w:rPr>
            </w:pPr>
            <w:r>
              <w:rPr>
                <w:rFonts w:ascii="Arial" w:cs="Arial" w:eastAsia="Arial" w:hAnsi="Arial"/>
                <w:sz w:val="18"/>
                <w:szCs w:val="18"/>
                <w:color w:val="auto"/>
              </w:rPr>
              <w:t>Ronald J. Doerfler</w:t>
            </w: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10"/>
        </w:trPr>
        <w:tc>
          <w:tcPr>
            <w:tcW w:w="78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gridSpan w:val="2"/>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80" w:type="dxa"/>
            <w:vAlign w:val="bottom"/>
          </w:tcPr>
          <w:p>
            <w:pPr>
              <w:spacing w:after="0"/>
              <w:rPr>
                <w:sz w:val="24"/>
                <w:szCs w:val="24"/>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color w:val="auto"/>
              </w:rPr>
              <w:t>Ronald J. Doerfler</w:t>
            </w: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80" w:type="dxa"/>
            <w:vAlign w:val="bottom"/>
          </w:tcPr>
          <w:p>
            <w:pPr>
              <w:ind w:left="520"/>
              <w:spacing w:after="0"/>
              <w:rPr>
                <w:sz w:val="20"/>
                <w:szCs w:val="20"/>
                <w:color w:val="auto"/>
              </w:rPr>
            </w:pPr>
            <w:r>
              <w:rPr>
                <w:rFonts w:ascii="Arial" w:cs="Arial" w:eastAsia="Arial" w:hAnsi="Arial"/>
                <w:sz w:val="18"/>
                <w:szCs w:val="18"/>
                <w:color w:val="auto"/>
              </w:rPr>
              <w:t>/s/</w:t>
            </w:r>
          </w:p>
        </w:tc>
        <w:tc>
          <w:tcPr>
            <w:tcW w:w="1880" w:type="dxa"/>
            <w:vAlign w:val="bottom"/>
            <w:gridSpan w:val="2"/>
          </w:tcPr>
          <w:p>
            <w:pPr>
              <w:ind w:left="80"/>
              <w:spacing w:after="0"/>
              <w:rPr>
                <w:sz w:val="20"/>
                <w:szCs w:val="20"/>
                <w:color w:val="auto"/>
              </w:rPr>
            </w:pPr>
            <w:r>
              <w:rPr>
                <w:rFonts w:ascii="Arial" w:cs="Arial" w:eastAsia="Arial" w:hAnsi="Arial"/>
                <w:sz w:val="18"/>
                <w:szCs w:val="18"/>
                <w:color w:val="auto"/>
              </w:rPr>
              <w:t>Laurent Mignon</w:t>
            </w: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10"/>
        </w:trPr>
        <w:tc>
          <w:tcPr>
            <w:tcW w:w="78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gridSpan w:val="2"/>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80" w:type="dxa"/>
            <w:vAlign w:val="bottom"/>
          </w:tcPr>
          <w:p>
            <w:pPr>
              <w:spacing w:after="0"/>
              <w:rPr>
                <w:sz w:val="24"/>
                <w:szCs w:val="24"/>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color w:val="auto"/>
              </w:rPr>
              <w:t>Laurent Mignon</w:t>
            </w: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80" w:type="dxa"/>
            <w:vAlign w:val="bottom"/>
          </w:tcPr>
          <w:p>
            <w:pPr>
              <w:ind w:left="520"/>
              <w:spacing w:after="0"/>
              <w:rPr>
                <w:sz w:val="20"/>
                <w:szCs w:val="20"/>
                <w:color w:val="auto"/>
              </w:rPr>
            </w:pPr>
            <w:r>
              <w:rPr>
                <w:rFonts w:ascii="Arial" w:cs="Arial" w:eastAsia="Arial" w:hAnsi="Arial"/>
                <w:sz w:val="18"/>
                <w:szCs w:val="18"/>
                <w:color w:val="auto"/>
              </w:rPr>
              <w:t>/s/</w:t>
            </w:r>
          </w:p>
        </w:tc>
        <w:tc>
          <w:tcPr>
            <w:tcW w:w="1880" w:type="dxa"/>
            <w:vAlign w:val="bottom"/>
            <w:gridSpan w:val="2"/>
          </w:tcPr>
          <w:p>
            <w:pPr>
              <w:ind w:left="80"/>
              <w:spacing w:after="0"/>
              <w:rPr>
                <w:sz w:val="20"/>
                <w:szCs w:val="20"/>
                <w:color w:val="auto"/>
              </w:rPr>
            </w:pPr>
            <w:r>
              <w:rPr>
                <w:rFonts w:ascii="Arial" w:cs="Arial" w:eastAsia="Arial" w:hAnsi="Arial"/>
                <w:sz w:val="18"/>
                <w:szCs w:val="18"/>
                <w:color w:val="auto"/>
              </w:rPr>
              <w:t>Steven J. Heyer</w:t>
            </w: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10"/>
        </w:trPr>
        <w:tc>
          <w:tcPr>
            <w:tcW w:w="78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gridSpan w:val="2"/>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80" w:type="dxa"/>
            <w:vAlign w:val="bottom"/>
          </w:tcPr>
          <w:p>
            <w:pPr>
              <w:spacing w:after="0"/>
              <w:rPr>
                <w:sz w:val="24"/>
                <w:szCs w:val="24"/>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color w:val="auto"/>
              </w:rPr>
              <w:t>Steven J. Heyer</w:t>
            </w: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80" w:type="dxa"/>
            <w:vAlign w:val="bottom"/>
          </w:tcPr>
          <w:p>
            <w:pPr>
              <w:ind w:left="520"/>
              <w:spacing w:after="0"/>
              <w:rPr>
                <w:sz w:val="20"/>
                <w:szCs w:val="20"/>
                <w:color w:val="auto"/>
              </w:rPr>
            </w:pPr>
            <w:r>
              <w:rPr>
                <w:rFonts w:ascii="Arial" w:cs="Arial" w:eastAsia="Arial" w:hAnsi="Arial"/>
                <w:sz w:val="18"/>
                <w:szCs w:val="18"/>
                <w:color w:val="auto"/>
              </w:rPr>
              <w:t>/s/</w:t>
            </w:r>
          </w:p>
        </w:tc>
        <w:tc>
          <w:tcPr>
            <w:tcW w:w="1880" w:type="dxa"/>
            <w:vAlign w:val="bottom"/>
            <w:gridSpan w:val="2"/>
          </w:tcPr>
          <w:p>
            <w:pPr>
              <w:ind w:left="80"/>
              <w:spacing w:after="0"/>
              <w:rPr>
                <w:sz w:val="20"/>
                <w:szCs w:val="20"/>
                <w:color w:val="auto"/>
              </w:rPr>
            </w:pPr>
            <w:r>
              <w:rPr>
                <w:rFonts w:ascii="Arial" w:cs="Arial" w:eastAsia="Arial" w:hAnsi="Arial"/>
                <w:sz w:val="18"/>
                <w:szCs w:val="18"/>
                <w:color w:val="auto"/>
              </w:rPr>
              <w:t>Sylvia Jay</w:t>
            </w: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10"/>
        </w:trPr>
        <w:tc>
          <w:tcPr>
            <w:tcW w:w="78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gridSpan w:val="2"/>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80" w:type="dxa"/>
            <w:vAlign w:val="bottom"/>
          </w:tcPr>
          <w:p>
            <w:pPr>
              <w:spacing w:after="0"/>
              <w:rPr>
                <w:sz w:val="24"/>
                <w:szCs w:val="24"/>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color w:val="auto"/>
              </w:rPr>
              <w:t>Sylvia Jay</w:t>
            </w: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80" w:type="dxa"/>
            <w:vAlign w:val="bottom"/>
          </w:tcPr>
          <w:p>
            <w:pPr>
              <w:ind w:left="520"/>
              <w:spacing w:after="0"/>
              <w:rPr>
                <w:sz w:val="20"/>
                <w:szCs w:val="20"/>
                <w:color w:val="auto"/>
              </w:rPr>
            </w:pPr>
            <w:r>
              <w:rPr>
                <w:rFonts w:ascii="Arial" w:cs="Arial" w:eastAsia="Arial" w:hAnsi="Arial"/>
                <w:sz w:val="18"/>
                <w:szCs w:val="18"/>
                <w:color w:val="auto"/>
              </w:rPr>
              <w:t>/s/</w:t>
            </w:r>
          </w:p>
        </w:tc>
        <w:tc>
          <w:tcPr>
            <w:tcW w:w="1880" w:type="dxa"/>
            <w:vAlign w:val="bottom"/>
            <w:gridSpan w:val="2"/>
          </w:tcPr>
          <w:p>
            <w:pPr>
              <w:ind w:left="80"/>
              <w:spacing w:after="0"/>
              <w:rPr>
                <w:sz w:val="20"/>
                <w:szCs w:val="20"/>
                <w:color w:val="auto"/>
              </w:rPr>
            </w:pPr>
            <w:r>
              <w:rPr>
                <w:rFonts w:ascii="Arial" w:cs="Arial" w:eastAsia="Arial" w:hAnsi="Arial"/>
                <w:sz w:val="18"/>
                <w:szCs w:val="18"/>
                <w:color w:val="auto"/>
              </w:rPr>
              <w:t>Ellis Jones</w:t>
            </w: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10"/>
        </w:trPr>
        <w:tc>
          <w:tcPr>
            <w:tcW w:w="78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gridSpan w:val="2"/>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80" w:type="dxa"/>
            <w:vAlign w:val="bottom"/>
          </w:tcPr>
          <w:p>
            <w:pPr>
              <w:spacing w:after="0"/>
              <w:rPr>
                <w:sz w:val="24"/>
                <w:szCs w:val="24"/>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color w:val="auto"/>
              </w:rPr>
              <w:t>Ellis Jones</w:t>
            </w: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80" w:type="dxa"/>
            <w:vAlign w:val="bottom"/>
          </w:tcPr>
          <w:p>
            <w:pPr>
              <w:ind w:left="520"/>
              <w:spacing w:after="0"/>
              <w:rPr>
                <w:sz w:val="20"/>
                <w:szCs w:val="20"/>
                <w:color w:val="auto"/>
              </w:rPr>
            </w:pPr>
            <w:r>
              <w:rPr>
                <w:rFonts w:ascii="Arial" w:cs="Arial" w:eastAsia="Arial" w:hAnsi="Arial"/>
                <w:sz w:val="18"/>
                <w:szCs w:val="18"/>
                <w:color w:val="auto"/>
              </w:rPr>
              <w:t>/s/</w:t>
            </w:r>
          </w:p>
        </w:tc>
        <w:tc>
          <w:tcPr>
            <w:tcW w:w="1880" w:type="dxa"/>
            <w:vAlign w:val="bottom"/>
            <w:gridSpan w:val="2"/>
          </w:tcPr>
          <w:p>
            <w:pPr>
              <w:ind w:left="80"/>
              <w:spacing w:after="0"/>
              <w:rPr>
                <w:sz w:val="20"/>
                <w:szCs w:val="20"/>
                <w:color w:val="auto"/>
              </w:rPr>
            </w:pPr>
            <w:r>
              <w:rPr>
                <w:rFonts w:ascii="Arial" w:cs="Arial" w:eastAsia="Arial" w:hAnsi="Arial"/>
                <w:sz w:val="18"/>
                <w:szCs w:val="18"/>
                <w:color w:val="auto"/>
              </w:rPr>
              <w:t>Vernon E. Jordan, Jr.</w:t>
            </w: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10"/>
        </w:trPr>
        <w:tc>
          <w:tcPr>
            <w:tcW w:w="78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gridSpan w:val="2"/>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80" w:type="dxa"/>
            <w:vAlign w:val="bottom"/>
          </w:tcPr>
          <w:p>
            <w:pPr>
              <w:spacing w:after="0"/>
              <w:rPr>
                <w:sz w:val="24"/>
                <w:szCs w:val="24"/>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color w:val="auto"/>
                <w:w w:val="99"/>
              </w:rPr>
              <w:t>Vernon E. Jordan, Jr.</w:t>
            </w: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80" w:type="dxa"/>
            <w:vAlign w:val="bottom"/>
          </w:tcPr>
          <w:p>
            <w:pPr>
              <w:ind w:left="520"/>
              <w:spacing w:after="0"/>
              <w:rPr>
                <w:sz w:val="20"/>
                <w:szCs w:val="20"/>
                <w:color w:val="auto"/>
              </w:rPr>
            </w:pPr>
            <w:r>
              <w:rPr>
                <w:rFonts w:ascii="Arial" w:cs="Arial" w:eastAsia="Arial" w:hAnsi="Arial"/>
                <w:sz w:val="18"/>
                <w:szCs w:val="18"/>
                <w:color w:val="auto"/>
              </w:rPr>
              <w:t>/s/</w:t>
            </w:r>
          </w:p>
        </w:tc>
        <w:tc>
          <w:tcPr>
            <w:tcW w:w="1880" w:type="dxa"/>
            <w:vAlign w:val="bottom"/>
            <w:gridSpan w:val="2"/>
          </w:tcPr>
          <w:p>
            <w:pPr>
              <w:ind w:left="80"/>
              <w:spacing w:after="0"/>
              <w:rPr>
                <w:sz w:val="20"/>
                <w:szCs w:val="20"/>
                <w:color w:val="auto"/>
              </w:rPr>
            </w:pPr>
            <w:r>
              <w:rPr>
                <w:rFonts w:ascii="Arial" w:cs="Arial" w:eastAsia="Arial" w:hAnsi="Arial"/>
                <w:sz w:val="18"/>
                <w:szCs w:val="18"/>
                <w:color w:val="auto"/>
              </w:rPr>
              <w:t>Philip A. Laskawy</w:t>
            </w: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10"/>
        </w:trPr>
        <w:tc>
          <w:tcPr>
            <w:tcW w:w="78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gridSpan w:val="2"/>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80" w:type="dxa"/>
            <w:vAlign w:val="bottom"/>
          </w:tcPr>
          <w:p>
            <w:pPr>
              <w:spacing w:after="0"/>
              <w:rPr>
                <w:sz w:val="24"/>
                <w:szCs w:val="24"/>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color w:val="auto"/>
              </w:rPr>
              <w:t>Philip A. Laskawy</w:t>
            </w: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II-1</w:t>
            </w: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60" w:right="29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4"/>
                <w:szCs w:val="14"/>
                <w:b w:val="1"/>
                <w:bCs w:val="1"/>
                <w:color w:val="auto"/>
                <w:w w:val="95"/>
              </w:rPr>
              <w:t>Signature</w:t>
            </w: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rPr>
              <w:t>Capacity</w:t>
            </w:r>
          </w:p>
        </w:tc>
        <w:tc>
          <w:tcPr>
            <w:tcW w:w="4600" w:type="dxa"/>
            <w:vAlign w:val="bottom"/>
          </w:tcPr>
          <w:p>
            <w:pPr>
              <w:spacing w:after="0"/>
              <w:rPr>
                <w:sz w:val="15"/>
                <w:szCs w:val="15"/>
                <w:color w:val="auto"/>
              </w:rPr>
            </w:pPr>
          </w:p>
        </w:tc>
        <w:tc>
          <w:tcPr>
            <w:tcW w:w="8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Date</w:t>
            </w:r>
          </w:p>
        </w:tc>
      </w:tr>
      <w:tr>
        <w:trPr>
          <w:trHeight w:val="95"/>
        </w:trPr>
        <w:tc>
          <w:tcPr>
            <w:tcW w:w="7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6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r>
      <w:tr>
        <w:trPr>
          <w:trHeight w:val="532"/>
        </w:trPr>
        <w:tc>
          <w:tcPr>
            <w:tcW w:w="780" w:type="dxa"/>
            <w:vAlign w:val="bottom"/>
          </w:tcPr>
          <w:p>
            <w:pPr>
              <w:ind w:left="520"/>
              <w:spacing w:after="0"/>
              <w:rPr>
                <w:sz w:val="20"/>
                <w:szCs w:val="20"/>
                <w:color w:val="auto"/>
              </w:rPr>
            </w:pPr>
            <w:r>
              <w:rPr>
                <w:rFonts w:ascii="Arial" w:cs="Arial" w:eastAsia="Arial" w:hAnsi="Arial"/>
                <w:sz w:val="18"/>
                <w:szCs w:val="18"/>
                <w:color w:val="auto"/>
              </w:rPr>
              <w:t>/s/</w:t>
            </w:r>
          </w:p>
        </w:tc>
        <w:tc>
          <w:tcPr>
            <w:tcW w:w="1880" w:type="dxa"/>
            <w:vAlign w:val="bottom"/>
            <w:gridSpan w:val="2"/>
          </w:tcPr>
          <w:p>
            <w:pPr>
              <w:ind w:left="80"/>
              <w:spacing w:after="0"/>
              <w:rPr>
                <w:sz w:val="20"/>
                <w:szCs w:val="20"/>
                <w:color w:val="auto"/>
              </w:rPr>
            </w:pPr>
            <w:r>
              <w:rPr>
                <w:rFonts w:ascii="Arial" w:cs="Arial" w:eastAsia="Arial" w:hAnsi="Arial"/>
                <w:sz w:val="18"/>
                <w:szCs w:val="18"/>
                <w:color w:val="auto"/>
              </w:rPr>
              <w:t>Hal S. Scott</w:t>
            </w: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w w:val="98"/>
              </w:rPr>
              <w:t>Director</w:t>
            </w:r>
          </w:p>
        </w:tc>
        <w:tc>
          <w:tcPr>
            <w:tcW w:w="5420" w:type="dxa"/>
            <w:vAlign w:val="bottom"/>
            <w:gridSpan w:val="3"/>
          </w:tcPr>
          <w:p>
            <w:pPr>
              <w:jc w:val="center"/>
              <w:ind w:left="4032"/>
              <w:spacing w:after="0"/>
              <w:rPr>
                <w:sz w:val="20"/>
                <w:szCs w:val="20"/>
                <w:color w:val="auto"/>
              </w:rPr>
            </w:pPr>
            <w:r>
              <w:rPr>
                <w:rFonts w:ascii="Arial" w:cs="Arial" w:eastAsia="Arial" w:hAnsi="Arial"/>
                <w:sz w:val="18"/>
                <w:szCs w:val="18"/>
                <w:color w:val="auto"/>
                <w:w w:val="88"/>
              </w:rPr>
              <w:t>February 26, 2010</w:t>
            </w:r>
          </w:p>
        </w:tc>
      </w:tr>
      <w:tr>
        <w:trPr>
          <w:trHeight w:val="110"/>
        </w:trPr>
        <w:tc>
          <w:tcPr>
            <w:tcW w:w="78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gridSpan w:val="2"/>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316"/>
        </w:trPr>
        <w:tc>
          <w:tcPr>
            <w:tcW w:w="780" w:type="dxa"/>
            <w:vAlign w:val="bottom"/>
          </w:tcPr>
          <w:p>
            <w:pPr>
              <w:spacing w:after="0"/>
              <w:rPr>
                <w:sz w:val="24"/>
                <w:szCs w:val="24"/>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color w:val="auto"/>
              </w:rPr>
              <w:t>Hal S. Scott</w:t>
            </w: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46"/>
        </w:trPr>
        <w:tc>
          <w:tcPr>
            <w:tcW w:w="780" w:type="dxa"/>
            <w:vAlign w:val="bottom"/>
          </w:tcPr>
          <w:p>
            <w:pPr>
              <w:ind w:left="520"/>
              <w:spacing w:after="0"/>
              <w:rPr>
                <w:sz w:val="20"/>
                <w:szCs w:val="20"/>
                <w:color w:val="auto"/>
              </w:rPr>
            </w:pPr>
            <w:r>
              <w:rPr>
                <w:rFonts w:ascii="Arial" w:cs="Arial" w:eastAsia="Arial" w:hAnsi="Arial"/>
                <w:sz w:val="18"/>
                <w:szCs w:val="18"/>
                <w:color w:val="auto"/>
              </w:rPr>
              <w:t>/s/</w:t>
            </w:r>
          </w:p>
        </w:tc>
        <w:tc>
          <w:tcPr>
            <w:tcW w:w="1880" w:type="dxa"/>
            <w:vAlign w:val="bottom"/>
            <w:gridSpan w:val="2"/>
          </w:tcPr>
          <w:p>
            <w:pPr>
              <w:ind w:left="80"/>
              <w:spacing w:after="0"/>
              <w:rPr>
                <w:sz w:val="20"/>
                <w:szCs w:val="20"/>
                <w:color w:val="auto"/>
              </w:rPr>
            </w:pPr>
            <w:r>
              <w:rPr>
                <w:rFonts w:ascii="Arial" w:cs="Arial" w:eastAsia="Arial" w:hAnsi="Arial"/>
                <w:sz w:val="18"/>
                <w:szCs w:val="18"/>
                <w:color w:val="auto"/>
              </w:rPr>
              <w:t>Michael J. Turner</w:t>
            </w: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w w:val="98"/>
              </w:rPr>
              <w:t>Director</w:t>
            </w:r>
          </w:p>
        </w:tc>
        <w:tc>
          <w:tcPr>
            <w:tcW w:w="5420" w:type="dxa"/>
            <w:vAlign w:val="bottom"/>
            <w:gridSpan w:val="3"/>
          </w:tcPr>
          <w:p>
            <w:pPr>
              <w:jc w:val="center"/>
              <w:ind w:left="4032"/>
              <w:spacing w:after="0"/>
              <w:rPr>
                <w:sz w:val="20"/>
                <w:szCs w:val="20"/>
                <w:color w:val="auto"/>
              </w:rPr>
            </w:pPr>
            <w:r>
              <w:rPr>
                <w:rFonts w:ascii="Arial" w:cs="Arial" w:eastAsia="Arial" w:hAnsi="Arial"/>
                <w:sz w:val="18"/>
                <w:szCs w:val="18"/>
                <w:color w:val="auto"/>
                <w:w w:val="88"/>
              </w:rPr>
              <w:t>February 26, 2010</w:t>
            </w:r>
          </w:p>
        </w:tc>
      </w:tr>
      <w:tr>
        <w:trPr>
          <w:trHeight w:val="110"/>
        </w:trPr>
        <w:tc>
          <w:tcPr>
            <w:tcW w:w="78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gridSpan w:val="2"/>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316"/>
        </w:trPr>
        <w:tc>
          <w:tcPr>
            <w:tcW w:w="780" w:type="dxa"/>
            <w:vAlign w:val="bottom"/>
          </w:tcPr>
          <w:p>
            <w:pPr>
              <w:spacing w:after="0"/>
              <w:rPr>
                <w:sz w:val="24"/>
                <w:szCs w:val="24"/>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color w:val="auto"/>
              </w:rPr>
              <w:t>Michael J. Turner</w:t>
            </w: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8"/>
        </w:trPr>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20" w:type="dxa"/>
            <w:vAlign w:val="bottom"/>
            <w:gridSpan w:val="3"/>
          </w:tcPr>
          <w:p>
            <w:pPr>
              <w:ind w:left="120"/>
              <w:spacing w:after="0"/>
              <w:rPr>
                <w:sz w:val="20"/>
                <w:szCs w:val="20"/>
                <w:color w:val="auto"/>
              </w:rPr>
            </w:pPr>
            <w:r>
              <w:rPr>
                <w:rFonts w:ascii="Arial" w:cs="Arial" w:eastAsia="Arial" w:hAnsi="Arial"/>
                <w:sz w:val="18"/>
                <w:szCs w:val="18"/>
                <w:color w:val="auto"/>
              </w:rPr>
              <w:t>II-2</w:t>
            </w:r>
          </w:p>
        </w:tc>
      </w:tr>
    </w:tbl>
    <w:p>
      <w:pPr>
        <w:sectPr>
          <w:pgSz w:w="11900" w:h="16838" w:orient="portrait"/>
          <w:cols w:equalWidth="0" w:num="1">
            <w:col w:w="10880"/>
          </w:cols>
          <w:pgMar w:left="240" w:top="459" w:right="77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10.29</w:t>
      </w:r>
    </w:p>
    <w:p>
      <w:pPr>
        <w:spacing w:after="0" w:line="17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AGREEMENT RELATING TO RETENTION AND</w:t>
      </w:r>
    </w:p>
    <w:p>
      <w:pPr>
        <w:spacing w:after="0" w:line="1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NONCOMPETITION AND OTHER COVENANTS</w:t>
      </w:r>
    </w:p>
    <w:p>
      <w:pPr>
        <w:spacing w:after="0" w:line="165"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AGREEMENT, dated as of March 18, 2005 (this “</w:t>
      </w:r>
      <w:r>
        <w:rPr>
          <w:rFonts w:ascii="Arial" w:cs="Arial" w:eastAsia="Arial" w:hAnsi="Arial"/>
          <w:sz w:val="18"/>
          <w:szCs w:val="18"/>
          <w:u w:val="single" w:color="auto"/>
          <w:color w:val="auto"/>
        </w:rPr>
        <w:t>Agreement</w:t>
      </w:r>
      <w:r>
        <w:rPr>
          <w:rFonts w:ascii="Arial" w:cs="Arial" w:eastAsia="Arial" w:hAnsi="Arial"/>
          <w:sz w:val="18"/>
          <w:szCs w:val="18"/>
          <w:color w:val="auto"/>
        </w:rPr>
        <w:t>”), by and between Lazard LLC, a Delaware limited liability company (“</w:t>
      </w:r>
      <w:r>
        <w:rPr>
          <w:rFonts w:ascii="Arial" w:cs="Arial" w:eastAsia="Arial" w:hAnsi="Arial"/>
          <w:sz w:val="18"/>
          <w:szCs w:val="18"/>
          <w:u w:val="single" w:color="auto"/>
          <w:color w:val="auto"/>
        </w:rPr>
        <w:t>Lazard</w:t>
      </w:r>
      <w:r>
        <w:rPr>
          <w:rFonts w:ascii="Arial" w:cs="Arial" w:eastAsia="Arial" w:hAnsi="Arial"/>
          <w:sz w:val="18"/>
          <w:szCs w:val="18"/>
          <w:color w:val="auto"/>
        </w:rPr>
        <w:t>”), on its behalf and on behalf of its subsidiaries and affiliates (collectively with Lazard, and its and their predecessors and successors, the “</w:t>
      </w:r>
      <w:r>
        <w:rPr>
          <w:rFonts w:ascii="Arial" w:cs="Arial" w:eastAsia="Arial" w:hAnsi="Arial"/>
          <w:sz w:val="18"/>
          <w:szCs w:val="18"/>
          <w:u w:val="single" w:color="auto"/>
          <w:color w:val="auto"/>
        </w:rPr>
        <w:t>Firm</w:t>
      </w:r>
      <w:r>
        <w:rPr>
          <w:rFonts w:ascii="Arial" w:cs="Arial" w:eastAsia="Arial" w:hAnsi="Arial"/>
          <w:sz w:val="18"/>
          <w:szCs w:val="18"/>
          <w:color w:val="auto"/>
        </w:rPr>
        <w:t>”), and Kenneth M. Jacobs (the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40" w:lineRule="exact"/>
        <w:rPr>
          <w:sz w:val="20"/>
          <w:szCs w:val="20"/>
          <w:color w:val="auto"/>
        </w:rPr>
      </w:pPr>
    </w:p>
    <w:p>
      <w:pPr>
        <w:ind w:right="680" w:firstLine="913"/>
        <w:spacing w:after="0" w:line="259" w:lineRule="auto"/>
        <w:rPr>
          <w:sz w:val="20"/>
          <w:szCs w:val="20"/>
          <w:color w:val="auto"/>
        </w:rPr>
      </w:pPr>
      <w:r>
        <w:rPr>
          <w:rFonts w:ascii="Arial" w:cs="Arial" w:eastAsia="Arial" w:hAnsi="Arial"/>
          <w:sz w:val="18"/>
          <w:szCs w:val="18"/>
          <w:color w:val="auto"/>
        </w:rPr>
        <w:t>WHEREAS, as of the date hereof, the Executive is a “Managing Director” and a “Class A Member” of Lazard (each as defined in the Third Amended and Restated Operating Agreement of Lazard, dated as of January 1, 2002, as amended (as it may be amended from time to time, the “</w:t>
      </w:r>
      <w:r>
        <w:rPr>
          <w:rFonts w:ascii="Arial" w:cs="Arial" w:eastAsia="Arial" w:hAnsi="Arial"/>
          <w:sz w:val="18"/>
          <w:szCs w:val="18"/>
          <w:u w:val="single" w:color="auto"/>
          <w:color w:val="auto"/>
        </w:rPr>
        <w:t>LLC</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and</w:t>
      </w:r>
    </w:p>
    <w:p>
      <w:pPr>
        <w:spacing w:after="0" w:line="140"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WHEREAS, pursuant to the LLC Agreement and the Goodwill Vesting Agreement and Acknowledgement between Lazard and the Executive (the “</w:t>
      </w:r>
      <w:r>
        <w:rPr>
          <w:rFonts w:ascii="Arial" w:cs="Arial" w:eastAsia="Arial" w:hAnsi="Arial"/>
          <w:sz w:val="18"/>
          <w:szCs w:val="18"/>
          <w:u w:val="single" w:color="auto"/>
          <w:color w:val="auto"/>
        </w:rPr>
        <w:t>Goodwill Agreement</w:t>
      </w:r>
      <w:r>
        <w:rPr>
          <w:rFonts w:ascii="Arial" w:cs="Arial" w:eastAsia="Arial" w:hAnsi="Arial"/>
          <w:sz w:val="18"/>
          <w:szCs w:val="18"/>
          <w:color w:val="auto"/>
        </w:rPr>
        <w:t>,” and, together with the LLC Agreement, the “</w:t>
      </w:r>
      <w:r>
        <w:rPr>
          <w:rFonts w:ascii="Arial" w:cs="Arial" w:eastAsia="Arial" w:hAnsi="Arial"/>
          <w:sz w:val="18"/>
          <w:szCs w:val="18"/>
          <w:u w:val="single" w:color="auto"/>
          <w:color w:val="auto"/>
        </w:rPr>
        <w:t>Current Agreements</w:t>
      </w:r>
      <w:r>
        <w:rPr>
          <w:rFonts w:ascii="Arial" w:cs="Arial" w:eastAsia="Arial" w:hAnsi="Arial"/>
          <w:sz w:val="18"/>
          <w:szCs w:val="18"/>
          <w:color w:val="auto"/>
        </w:rPr>
        <w:t>”), as a Class A Member, the Executive is subject to certain restrictions relating to competition and solicitation; and</w:t>
      </w:r>
    </w:p>
    <w:p>
      <w:pPr>
        <w:spacing w:after="0" w:line="140" w:lineRule="exact"/>
        <w:rPr>
          <w:sz w:val="20"/>
          <w:szCs w:val="20"/>
          <w:color w:val="auto"/>
        </w:rPr>
      </w:pPr>
    </w:p>
    <w:p>
      <w:pPr>
        <w:ind w:right="60" w:firstLine="913"/>
        <w:spacing w:after="0" w:line="283" w:lineRule="auto"/>
        <w:rPr>
          <w:sz w:val="20"/>
          <w:szCs w:val="20"/>
          <w:color w:val="auto"/>
        </w:rPr>
      </w:pPr>
      <w:r>
        <w:rPr>
          <w:rFonts w:ascii="Arial" w:cs="Arial" w:eastAsia="Arial" w:hAnsi="Arial"/>
          <w:sz w:val="16"/>
          <w:szCs w:val="16"/>
          <w:color w:val="auto"/>
        </w:rPr>
        <w:t>WHEREAS, in connection with the Executive’s participation in the reorganization of Lazard (the “</w:t>
      </w:r>
      <w:r>
        <w:rPr>
          <w:rFonts w:ascii="Arial" w:cs="Arial" w:eastAsia="Arial" w:hAnsi="Arial"/>
          <w:sz w:val="16"/>
          <w:szCs w:val="16"/>
          <w:u w:val="single" w:color="auto"/>
          <w:color w:val="auto"/>
        </w:rPr>
        <w:t>Reorganization</w:t>
      </w:r>
      <w:r>
        <w:rPr>
          <w:rFonts w:ascii="Arial" w:cs="Arial" w:eastAsia="Arial" w:hAnsi="Arial"/>
          <w:sz w:val="16"/>
          <w:szCs w:val="16"/>
          <w:color w:val="auto"/>
        </w:rPr>
        <w:t>”) currently expected to occur substantially on the terms and conditions described in Amendment No. 1 to the draft Registration Statement on Form S-1 (the “</w:t>
      </w:r>
      <w:r>
        <w:rPr>
          <w:rFonts w:ascii="Arial" w:cs="Arial" w:eastAsia="Arial" w:hAnsi="Arial"/>
          <w:sz w:val="16"/>
          <w:szCs w:val="16"/>
          <w:u w:val="single" w:color="auto"/>
          <w:color w:val="auto"/>
        </w:rPr>
        <w:t>S-1</w:t>
      </w:r>
      <w:r>
        <w:rPr>
          <w:rFonts w:ascii="Arial" w:cs="Arial" w:eastAsia="Arial" w:hAnsi="Arial"/>
          <w:sz w:val="16"/>
          <w:szCs w:val="16"/>
          <w:color w:val="auto"/>
        </w:rPr>
        <w:t>”) dated February 11, 2005, as filed with the Securities and Exchange Commission, relating to the initial public offering (the “</w:t>
      </w:r>
      <w:r>
        <w:rPr>
          <w:rFonts w:ascii="Arial" w:cs="Arial" w:eastAsia="Arial" w:hAnsi="Arial"/>
          <w:sz w:val="16"/>
          <w:szCs w:val="16"/>
          <w:u w:val="single" w:color="auto"/>
          <w:color w:val="auto"/>
        </w:rPr>
        <w:t>IPO</w:t>
      </w:r>
      <w:r>
        <w:rPr>
          <w:rFonts w:ascii="Arial" w:cs="Arial" w:eastAsia="Arial" w:hAnsi="Arial"/>
          <w:sz w:val="16"/>
          <w:szCs w:val="16"/>
          <w:color w:val="auto"/>
        </w:rPr>
        <w:t>” and together with the Reorganization and the HoldCo Formation (as defined below), as each may be modified, adjusted or implemented after the date hereof, the “</w:t>
      </w:r>
      <w:r>
        <w:rPr>
          <w:rFonts w:ascii="Arial" w:cs="Arial" w:eastAsia="Arial" w:hAnsi="Arial"/>
          <w:sz w:val="16"/>
          <w:szCs w:val="16"/>
          <w:u w:val="single" w:color="auto"/>
          <w:color w:val="auto"/>
        </w:rPr>
        <w:t>Transactions</w:t>
      </w:r>
      <w:r>
        <w:rPr>
          <w:rFonts w:ascii="Arial" w:cs="Arial" w:eastAsia="Arial" w:hAnsi="Arial"/>
          <w:sz w:val="16"/>
          <w:szCs w:val="16"/>
          <w:color w:val="auto"/>
        </w:rPr>
        <w:t>”) of shares of Class A common stock of Lazard Ltd, a Bermuda limited company (“</w:t>
      </w:r>
      <w:r>
        <w:rPr>
          <w:rFonts w:ascii="Arial" w:cs="Arial" w:eastAsia="Arial" w:hAnsi="Arial"/>
          <w:sz w:val="16"/>
          <w:szCs w:val="16"/>
          <w:u w:val="single" w:color="auto"/>
          <w:color w:val="auto"/>
        </w:rPr>
        <w:t>PubliCo</w:t>
      </w:r>
      <w:r>
        <w:rPr>
          <w:rFonts w:ascii="Arial" w:cs="Arial" w:eastAsia="Arial" w:hAnsi="Arial"/>
          <w:sz w:val="16"/>
          <w:szCs w:val="16"/>
          <w:color w:val="auto"/>
        </w:rPr>
        <w:t>”), the Executive has agreed to enter into this Agreement with Lazard to set forth the Executive’s</w:t>
      </w:r>
    </w:p>
    <w:p>
      <w:pPr>
        <w:spacing w:after="0" w:line="2" w:lineRule="exact"/>
        <w:rPr>
          <w:sz w:val="20"/>
          <w:szCs w:val="20"/>
          <w:color w:val="auto"/>
        </w:rPr>
      </w:pPr>
    </w:p>
    <w:p>
      <w:pPr>
        <w:ind w:left="260" w:hanging="252"/>
        <w:spacing w:after="0"/>
        <w:tabs>
          <w:tab w:leader="none" w:pos="2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understanding of the terms of the Transactions applicable to the Executive as a Class A Member (as defined in the LLC Agreement) and as a member of a</w:t>
      </w:r>
    </w:p>
    <w:p>
      <w:pPr>
        <w:spacing w:after="0" w:line="32" w:lineRule="exact"/>
        <w:rPr>
          <w:rFonts w:ascii="Arial" w:cs="Arial" w:eastAsia="Arial" w:hAnsi="Arial"/>
          <w:sz w:val="16"/>
          <w:szCs w:val="16"/>
          <w:color w:val="auto"/>
        </w:rPr>
      </w:pPr>
    </w:p>
    <w:p>
      <w:pPr>
        <w:ind w:right="80"/>
        <w:spacing w:after="0" w:line="290" w:lineRule="auto"/>
        <w:rPr>
          <w:rFonts w:ascii="Arial" w:cs="Arial" w:eastAsia="Arial" w:hAnsi="Arial"/>
          <w:sz w:val="16"/>
          <w:szCs w:val="16"/>
          <w:color w:val="auto"/>
        </w:rPr>
      </w:pPr>
      <w:r>
        <w:rPr>
          <w:rFonts w:ascii="Arial" w:cs="Arial" w:eastAsia="Arial" w:hAnsi="Arial"/>
          <w:sz w:val="16"/>
          <w:szCs w:val="16"/>
          <w:color w:val="auto"/>
        </w:rPr>
        <w:t>newly formed Delaware limited liability company (“</w:t>
      </w:r>
      <w:r>
        <w:rPr>
          <w:rFonts w:ascii="Arial" w:cs="Arial" w:eastAsia="Arial" w:hAnsi="Arial"/>
          <w:sz w:val="16"/>
          <w:szCs w:val="16"/>
          <w:u w:val="single" w:color="auto"/>
          <w:color w:val="auto"/>
        </w:rPr>
        <w:t>HoldCo</w:t>
      </w:r>
      <w:r>
        <w:rPr>
          <w:rFonts w:ascii="Arial" w:cs="Arial" w:eastAsia="Arial" w:hAnsi="Arial"/>
          <w:sz w:val="16"/>
          <w:szCs w:val="16"/>
          <w:color w:val="auto"/>
        </w:rPr>
        <w:t>”) to be formed in connection with the Reorganization and of the fact that the terms are in draft form and may be changed or altered after the date hereof (other than as expressly provided herein), and approval of the Transactions (including as such terms may be changed or altered), (2) continuing employment commitment in contemplation of the IPO and following the IPO (as provided in Section 3(a)) and (3) obligations in respect of keeping information concerning the Firm confidential, not engaging in competitive activities, not soliciting the Firm’s clients, not hiring the Firm’s employees, not disparaging the Firm or its directors, members or employees, and cooperating with the Firm in maintaining certain relationships, while employed by the Firm and following the termination of the Executive’s employment.</w:t>
      </w:r>
    </w:p>
    <w:p>
      <w:pPr>
        <w:spacing w:after="0" w:line="118"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NOW, THEREFORE, in consideration of the premises contained herein and for other good and valuable consideration, the receipt and adequacy of which are hereby acknowledged, the Executive and Lazard hereby agree as follows:</w:t>
      </w:r>
    </w:p>
    <w:p>
      <w:pPr>
        <w:spacing w:after="0" w:line="132" w:lineRule="exact"/>
        <w:rPr>
          <w:sz w:val="20"/>
          <w:szCs w:val="20"/>
          <w:color w:val="auto"/>
        </w:rPr>
      </w:pPr>
    </w:p>
    <w:p>
      <w:pPr>
        <w:ind w:right="200" w:firstLine="921"/>
        <w:spacing w:after="0" w:line="268" w:lineRule="auto"/>
        <w:tabs>
          <w:tab w:leader="none" w:pos="1088"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final sentence of this Section 1, Section 10(c) and to Section 16(b), the “</w:t>
      </w:r>
      <w:r>
        <w:rPr>
          <w:rFonts w:ascii="Arial" w:cs="Arial" w:eastAsia="Arial" w:hAnsi="Arial"/>
          <w:sz w:val="18"/>
          <w:szCs w:val="18"/>
          <w:u w:val="single" w:color="auto"/>
          <w:color w:val="auto"/>
        </w:rPr>
        <w:t>Term</w:t>
      </w:r>
      <w:r>
        <w:rPr>
          <w:rFonts w:ascii="Arial" w:cs="Arial" w:eastAsia="Arial" w:hAnsi="Arial"/>
          <w:sz w:val="18"/>
          <w:szCs w:val="18"/>
          <w:color w:val="auto"/>
        </w:rPr>
        <w:t>” of this Agreement shall commence as of the date hereof (the “</w:t>
      </w:r>
      <w:r>
        <w:rPr>
          <w:rFonts w:ascii="Arial" w:cs="Arial" w:eastAsia="Arial" w:hAnsi="Arial"/>
          <w:sz w:val="18"/>
          <w:szCs w:val="18"/>
          <w:u w:val="single" w:color="auto"/>
          <w:color w:val="auto"/>
        </w:rPr>
        <w:t>Effective</w:t>
      </w:r>
    </w:p>
    <w:p>
      <w:pPr>
        <w:sectPr>
          <w:pgSz w:w="11900" w:h="16838" w:orient="portrait"/>
          <w:cols w:equalWidth="0" w:num="1">
            <w:col w:w="11420"/>
          </w:cols>
          <w:pgMar w:left="240" w:top="125" w:right="239" w:bottom="1440" w:gutter="0" w:footer="0" w:header="0"/>
        </w:sectPr>
      </w:pPr>
    </w:p>
    <w:bookmarkStart w:id="187" w:name="page188"/>
    <w:bookmarkEnd w:id="187"/>
    <w:p>
      <w:pPr>
        <w:spacing w:after="0" w:line="286"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w:t>
      </w:r>
      <w:r>
        <w:rPr>
          <w:rFonts w:ascii="Arial" w:cs="Arial" w:eastAsia="Arial" w:hAnsi="Arial"/>
          <w:sz w:val="16"/>
          <w:szCs w:val="16"/>
          <w:color w:val="auto"/>
        </w:rPr>
        <w:t xml:space="preserve">”) and shall continue indefinitely until terminated in accordance with this Section 1. Either party to this Agreement may terminate the Term (and the Executive’s employment) upon three months’ prior written notice to the other party;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notice (or pay in lieu of notice) shall not be required in the event of the termination of the Executive’s employment by reason of the Executive’s death or “disability” (within the meaning of the long-term disability plan of the Firm applicable to the Executive) (“</w:t>
      </w:r>
      <w:r>
        <w:rPr>
          <w:rFonts w:ascii="Arial" w:cs="Arial" w:eastAsia="Arial" w:hAnsi="Arial"/>
          <w:sz w:val="16"/>
          <w:szCs w:val="16"/>
          <w:u w:val="single" w:color="auto"/>
          <w:color w:val="auto"/>
        </w:rPr>
        <w:t>Disability</w:t>
      </w:r>
      <w:r>
        <w:rPr>
          <w:rFonts w:ascii="Arial" w:cs="Arial" w:eastAsia="Arial" w:hAnsi="Arial"/>
          <w:sz w:val="16"/>
          <w:szCs w:val="16"/>
          <w:color w:val="auto"/>
        </w:rPr>
        <w:t>”) or by the Firm for Cause (as defined in Section 2(g)(iv)), may be waived by the Firm in the event of receipt of notice of a termination by the Executive or may, if the Firm wishes to terminate the Term with immediate effect, be satisfied by providing the Executive with his base salary during such three-month period in lieu of such notice. Notwithstanding that the Term commences as of the Effective Date, certain provisions of this Agreement shall not take effect until a later date, as specified herein. In addition, notwithstanding anything to the contrary contained herein, this Agreement shall terminate (i) on September 30, 2005, if the date of the closing of the IPO (the “</w:t>
      </w:r>
      <w:r>
        <w:rPr>
          <w:rFonts w:ascii="Arial" w:cs="Arial" w:eastAsia="Arial" w:hAnsi="Arial"/>
          <w:sz w:val="16"/>
          <w:szCs w:val="16"/>
          <w:u w:val="single" w:color="auto"/>
          <w:color w:val="auto"/>
        </w:rPr>
        <w:t>IPO Date</w:t>
      </w:r>
      <w:r>
        <w:rPr>
          <w:rFonts w:ascii="Arial" w:cs="Arial" w:eastAsia="Arial" w:hAnsi="Arial"/>
          <w:sz w:val="16"/>
          <w:szCs w:val="16"/>
          <w:color w:val="auto"/>
        </w:rPr>
        <w:t>”) does not occur prior to September 30, 2005, or (ii) on such date earlier than September 30, 2005, if any, on which (A) the IPO is finally abandoned or terminated by Lazard or (B) the Purchase and Transaction Support Agreement among Lazard and certain holders of “Class B-1 Interests” and “Class C Interests” (each as defined in the LLC Agreement) terminates. Upon any such termination, this Agreement shall be of no further force and effect and the rights and obligations of the parties hereto shall be governed by the terms of the Current Agreements and any agreements or portions thereof that had otherwise been superseded by Section 16(a).</w:t>
      </w:r>
    </w:p>
    <w:p>
      <w:pPr>
        <w:spacing w:after="0" w:line="124" w:lineRule="exact"/>
        <w:rPr>
          <w:sz w:val="20"/>
          <w:szCs w:val="20"/>
          <w:color w:val="auto"/>
        </w:rPr>
      </w:pPr>
    </w:p>
    <w:p>
      <w:pPr>
        <w:ind w:left="1100" w:hanging="179"/>
        <w:spacing w:after="0"/>
        <w:tabs>
          <w:tab w:leader="none" w:pos="110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The Transactions</w:t>
      </w:r>
      <w:r>
        <w:rPr>
          <w:rFonts w:ascii="Arial" w:cs="Arial" w:eastAsia="Arial" w:hAnsi="Arial"/>
          <w:sz w:val="18"/>
          <w:szCs w:val="18"/>
          <w:color w:val="auto"/>
        </w:rPr>
        <w:t>.</w:t>
      </w:r>
    </w:p>
    <w:p>
      <w:pPr>
        <w:spacing w:after="0" w:line="90" w:lineRule="exact"/>
        <w:rPr>
          <w:sz w:val="20"/>
          <w:szCs w:val="20"/>
          <w:color w:val="auto"/>
        </w:rPr>
      </w:pPr>
    </w:p>
    <w:p>
      <w:pPr>
        <w:ind w:left="460" w:right="80" w:firstLine="443"/>
        <w:spacing w:after="0" w:line="306" w:lineRule="auto"/>
        <w:tabs>
          <w:tab w:leader="none" w:pos="1137" w:val="left"/>
        </w:tabs>
        <w:numPr>
          <w:ilvl w:val="0"/>
          <w:numId w:val="96"/>
        </w:numPr>
        <w:rPr>
          <w:rFonts w:ascii="Arial" w:cs="Arial" w:eastAsia="Arial" w:hAnsi="Arial"/>
          <w:sz w:val="15"/>
          <w:szCs w:val="15"/>
          <w:color w:val="auto"/>
        </w:rPr>
      </w:pPr>
      <w:r>
        <w:rPr>
          <w:rFonts w:ascii="Arial" w:cs="Arial" w:eastAsia="Arial" w:hAnsi="Arial"/>
          <w:sz w:val="15"/>
          <w:szCs w:val="15"/>
          <w:u w:val="single" w:color="auto"/>
          <w:color w:val="auto"/>
        </w:rPr>
        <w:t>Participation in the Reorganization</w:t>
      </w:r>
      <w:r>
        <w:rPr>
          <w:rFonts w:ascii="Arial" w:cs="Arial" w:eastAsia="Arial" w:hAnsi="Arial"/>
          <w:sz w:val="15"/>
          <w:szCs w:val="15"/>
          <w:color w:val="auto"/>
        </w:rPr>
        <w:t>. The Executive hereby acknowledges that he has reviewed and understands the terms of the proposed Transactions and that such terms, including the structure of the Transactions, may be modified or otherwise altered by the Board of Directors of Lazard, an authorized committee thereof or the “Head of Lazard and Chairman of the Executive Committee” (as defined in the LLC Agreement) as such person(s) may determine in furtherance of the purposes underlying the Transactions. The Executive hereby covenants to execute and deliver such documents, consents and agreements as shall be necessary to effectuate each of the Transactions (as described in the S-1 or as such Transactions may be modified or altered in accordance with the foregoing sentence), including, without limitation, any amendments to the Current Agreements or this Agreement (solely to the extent such amendments are necessary to effectuate any such modifications and alterations to the Transactions and are not inconsistent with the intent and purpose of this Agreement and other than as set forth in the last sentence of this Section 2(a)), a customary accredited investor representation letter, a HoldCo membership agreement and the stockholders’ agreement referred to in Section 2(f). Notwithstanding anything contained herein to the contrary, in no event shall the following provisions be modified in a manner that materially and adversely affects the following rights of the Executive as and to the extent set forth in such provisions of this Agreement: (i) Section 2(c) solely with respect to the vesting of the Class A-2 Interests and the corresponding Holdco Interests, (ii) Section 2(e) solely with respect to the timing of payment of the memo and other capital in Lazard, (iii) Section 2(g)(i) solely with respect to the last sentence thereof relating to the restrictive covenants applicable to the Exchangeable Interests, (iv) Section 2(g)(ii) solely with respect to the timing of exchangeability of the Exchangeable Interests, (v) Section 2(g)(iv) solely with respect to the definition of Cause and (vi) Schedule I.</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88" w:name="page189"/>
    <w:bookmarkEnd w:id="188"/>
    <w:p>
      <w:pPr>
        <w:ind w:right="20" w:firstLine="443"/>
        <w:spacing w:after="0" w:line="287" w:lineRule="auto"/>
        <w:tabs>
          <w:tab w:leader="none" w:pos="687"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Formation of HoldCo</w:t>
      </w:r>
      <w:r>
        <w:rPr>
          <w:rFonts w:ascii="Arial" w:cs="Arial" w:eastAsia="Arial" w:hAnsi="Arial"/>
          <w:sz w:val="16"/>
          <w:szCs w:val="16"/>
          <w:color w:val="auto"/>
        </w:rPr>
        <w:t>. Effective upon the Reorganization and consummation of the mandatory sale of all “Interests” (as defined in the LLC Agreement) pursuant to Section 6.02(b) of the LLC Agreement (as the provisions of such Section 6.02(b) may be waived or modified) or otherwise (the “</w:t>
      </w:r>
      <w:r>
        <w:rPr>
          <w:rFonts w:ascii="Arial" w:cs="Arial" w:eastAsia="Arial" w:hAnsi="Arial"/>
          <w:sz w:val="16"/>
          <w:szCs w:val="16"/>
          <w:u w:val="single" w:color="auto"/>
          <w:color w:val="auto"/>
        </w:rPr>
        <w:t>HoldCo Formation</w:t>
      </w:r>
      <w:r>
        <w:rPr>
          <w:rFonts w:ascii="Arial" w:cs="Arial" w:eastAsia="Arial" w:hAnsi="Arial"/>
          <w:sz w:val="16"/>
          <w:szCs w:val="16"/>
          <w:color w:val="auto"/>
        </w:rPr>
        <w:t xml:space="preserve">”), and provided that as of the effective time of the HoldCo Formation the Executive continues to be employed by the Firm, the Executive shall receive, in exchange for the Executive’s Class A Interests (as defined in the LLC Agreement) outstanding immediately prior to the HoldCo Formation, the percentage of membership interests in HoldCo set forth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attached hereto (such percentage to be increased pro rata to reflect the redemption of Class B-1 Interests pursuant to the Reorganization) that have substantially the same rights, obligations and terms (including with respect to vesting) with respect to HoldCo pursuant to the HoldCo limited liability company operating agreement (the “</w:t>
      </w:r>
      <w:r>
        <w:rPr>
          <w:rFonts w:ascii="Arial" w:cs="Arial" w:eastAsia="Arial" w:hAnsi="Arial"/>
          <w:sz w:val="16"/>
          <w:szCs w:val="16"/>
          <w:u w:val="single" w:color="auto"/>
          <w:color w:val="auto"/>
        </w:rPr>
        <w:t>HoldCo LLC Agreement</w:t>
      </w:r>
      <w:r>
        <w:rPr>
          <w:rFonts w:ascii="Arial" w:cs="Arial" w:eastAsia="Arial" w:hAnsi="Arial"/>
          <w:sz w:val="16"/>
          <w:szCs w:val="16"/>
          <w:color w:val="auto"/>
        </w:rPr>
        <w:t>”) and applicable law as those of the exchanged Class A Interests, except as provided herein, including in Sections 2(a) and 2(d), or except to the extent that any other changes, taken as a whole with any benefits provided, are not materially adverse to the Executive (such membership interests, the “</w:t>
      </w:r>
      <w:r>
        <w:rPr>
          <w:rFonts w:ascii="Arial" w:cs="Arial" w:eastAsia="Arial" w:hAnsi="Arial"/>
          <w:sz w:val="16"/>
          <w:szCs w:val="16"/>
          <w:u w:val="single" w:color="auto"/>
          <w:color w:val="auto"/>
        </w:rPr>
        <w:t>HoldCo Interests</w:t>
      </w:r>
      <w:r>
        <w:rPr>
          <w:rFonts w:ascii="Arial" w:cs="Arial" w:eastAsia="Arial" w:hAnsi="Arial"/>
          <w:sz w:val="16"/>
          <w:szCs w:val="16"/>
          <w:color w:val="auto"/>
        </w:rPr>
        <w:t xml:space="preserve">”). The Holdco LLC Agreement will include those terms set forth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attached hereto, subject to the limitations set forth therein.</w:t>
      </w:r>
    </w:p>
    <w:p>
      <w:pPr>
        <w:spacing w:after="0" w:line="41" w:lineRule="exact"/>
        <w:rPr>
          <w:rFonts w:ascii="Arial" w:cs="Arial" w:eastAsia="Arial" w:hAnsi="Arial"/>
          <w:sz w:val="16"/>
          <w:szCs w:val="16"/>
          <w:color w:val="auto"/>
        </w:rPr>
      </w:pPr>
    </w:p>
    <w:p>
      <w:pPr>
        <w:ind w:firstLine="443"/>
        <w:spacing w:after="0" w:line="288" w:lineRule="auto"/>
        <w:tabs>
          <w:tab w:leader="none" w:pos="677"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Vesting of Class A-2 Interests (or the Holdco Interests Corresponding to Such Class A-2 Interests)</w:t>
      </w:r>
      <w:r>
        <w:rPr>
          <w:rFonts w:ascii="Arial" w:cs="Arial" w:eastAsia="Arial" w:hAnsi="Arial"/>
          <w:sz w:val="16"/>
          <w:szCs w:val="16"/>
          <w:color w:val="auto"/>
        </w:rPr>
        <w:t>. Subject to the consummation of the HoldCo Formation and subject to and effective upon the IPO Date, and provided that as of the IPO Date the Executive continues to be employed by the Firm (or has had his employment terminated by the Firm without “Cause” (as defined below) or on account of Disability or death), following the date hereof and prior to the IPO Date, the Class A-2 Interests (as defined in the LLC Agreement) (the “</w:t>
      </w:r>
      <w:r>
        <w:rPr>
          <w:rFonts w:ascii="Arial" w:cs="Arial" w:eastAsia="Arial" w:hAnsi="Arial"/>
          <w:sz w:val="16"/>
          <w:szCs w:val="16"/>
          <w:u w:val="single" w:color="auto"/>
          <w:color w:val="auto"/>
        </w:rPr>
        <w:t>Class A-2 Interests</w:t>
      </w:r>
      <w:r>
        <w:rPr>
          <w:rFonts w:ascii="Arial" w:cs="Arial" w:eastAsia="Arial" w:hAnsi="Arial"/>
          <w:sz w:val="16"/>
          <w:szCs w:val="16"/>
          <w:color w:val="auto"/>
        </w:rPr>
        <w:t>”) held by the Executive as of the date hereof (or upon consummation of the Reorganization, the HoldCo Interests received by the Executive in the Reorganization that correspond to the Executive’s Class A-2 Interests as of the date hereof) that are not vested as of the IPO Date, shall become fully vested. Such vesting shall occur (i) in the case of a termination of employment prior to the IPO Date on the terms described above in this Section 2(c), on the date of such termination (provided that in the event that the IPO Date shall not occur as contemplated by this Agreement, such vesting shall be deemed not to have occurred, unless it is otherwise provided by the Current Agreements) or (ii) in any other case, on the IPO Date.</w:t>
      </w:r>
    </w:p>
    <w:p>
      <w:pPr>
        <w:spacing w:after="0" w:line="38" w:lineRule="exact"/>
        <w:rPr>
          <w:rFonts w:ascii="Arial" w:cs="Arial" w:eastAsia="Arial" w:hAnsi="Arial"/>
          <w:sz w:val="16"/>
          <w:szCs w:val="16"/>
          <w:color w:val="auto"/>
        </w:rPr>
      </w:pPr>
    </w:p>
    <w:p>
      <w:pPr>
        <w:ind w:right="100" w:firstLine="443"/>
        <w:spacing w:after="0" w:line="287" w:lineRule="auto"/>
        <w:tabs>
          <w:tab w:leader="none" w:pos="687"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Profits Interest Allocation</w:t>
      </w:r>
      <w:r>
        <w:rPr>
          <w:rFonts w:ascii="Arial" w:cs="Arial" w:eastAsia="Arial" w:hAnsi="Arial"/>
          <w:sz w:val="16"/>
          <w:szCs w:val="16"/>
          <w:color w:val="auto"/>
        </w:rPr>
        <w:t xml:space="preserve">. In connection with the Reorganization, subject to the consummation of the HoldCo Formation and subject to and effective upon the closing of the IPO, and provided that as of the IPO Date the Executive continues to be employed by HoldCo or one of its affiliates (including Lazard), the Executive shall become a member participating in the profits of HoldCo with a profit percentage in HoldCo of no less than the amount specified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Profits Interest</w:t>
      </w:r>
      <w:r>
        <w:rPr>
          <w:rFonts w:ascii="Arial" w:cs="Arial" w:eastAsia="Arial" w:hAnsi="Arial"/>
          <w:sz w:val="16"/>
          <w:szCs w:val="16"/>
          <w:color w:val="auto"/>
        </w:rPr>
        <w:t>”) (such percentage to be increased pro rata to reflect the redemption of Class B-1 Interests pursuant to the Reorganization) having the rights, obligations and terms set forth in the HoldCo LLC Agreement so long as the Executive shall remain employed by the Firm. Subject to the provisions of the HoldCo LLC Agreement and the determination of the Board of Directors of HoldCo (the “</w:t>
      </w:r>
      <w:r>
        <w:rPr>
          <w:rFonts w:ascii="Arial" w:cs="Arial" w:eastAsia="Arial" w:hAnsi="Arial"/>
          <w:sz w:val="16"/>
          <w:szCs w:val="16"/>
          <w:u w:val="single" w:color="auto"/>
          <w:color w:val="auto"/>
        </w:rPr>
        <w:t>HoldCo Board</w:t>
      </w:r>
      <w:r>
        <w:rPr>
          <w:rFonts w:ascii="Arial" w:cs="Arial" w:eastAsia="Arial" w:hAnsi="Arial"/>
          <w:sz w:val="16"/>
          <w:szCs w:val="16"/>
          <w:color w:val="auto"/>
        </w:rPr>
        <w:t>”), HoldCo shall make (i) distributions in respect of income taxes arising from such Profit Interests and (ii) from and after the third anniversary of the IPO Date distributions that are intended to be equivalent to the aggregate amount of dividends that the Executive (and, if applicable, the Executive’s “Entities” (as defined below)) would have received had the Executive (and, if applicable, the Executive’s Entities) exchanged such person’s “Exchangeable Interests” (as defined below) for</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189" w:name="page190"/>
    <w:bookmarkEnd w:id="189"/>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exchangeable membership interests in Lazard that were then immediately exchanged for “PubliCo Shares” (as defined below) effective as of the third anniversary of the IPO Date (with such amount of distributions, and such profit percentage, to be adjusted from time to time to reflect the actual exchange, in whole or in part, of such Exchangeable Interests).</w:t>
      </w:r>
    </w:p>
    <w:p>
      <w:pPr>
        <w:spacing w:after="0" w:line="59" w:lineRule="exact"/>
        <w:rPr>
          <w:sz w:val="20"/>
          <w:szCs w:val="20"/>
          <w:color w:val="auto"/>
        </w:rPr>
      </w:pPr>
    </w:p>
    <w:p>
      <w:pPr>
        <w:ind w:firstLine="443"/>
        <w:spacing w:after="0" w:line="287" w:lineRule="auto"/>
        <w:tabs>
          <w:tab w:leader="none" w:pos="677"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Treatment of Memo Capital and Other Capital</w:t>
      </w:r>
      <w:r>
        <w:rPr>
          <w:rFonts w:ascii="Arial" w:cs="Arial" w:eastAsia="Arial" w:hAnsi="Arial"/>
          <w:sz w:val="16"/>
          <w:szCs w:val="16"/>
          <w:color w:val="auto"/>
        </w:rPr>
        <w:t>. Upon the HoldCo Formation, HoldCo shall assume the obligations of Lazard for memo capital and other capital in Lazard, and the Executive hereby acknowledges such assumption and releases Lazard in full from such obligations. HoldCo shall distribute to the Executive amounts in respect of the Executive’s assumed memo capital in respect of Class A-1 capital and former Class A-1 capital, if any, in equal installments on the first, second, third and fourth anniversaries of the IPO Date, plus any interest accrued through each distribution date. The Executive further hereby agrees that all of his rights and title to and in any and all capital of HoldCo allocated with respect to any Exchangeable Interests which are exchanged for exchangeable membership interests in Lazard that are in turn exchanged for PubliCo Shares, and the related profits interests (other than, for the avoidance of doubt, the capital to be repaid in accordance with the immediately foregoing sentence), shall be forfeited without payment therefor, effective immediately upon the exchange of such Exchangeable Interests. This Section 2(e) supercedes and replaces any other agreements or understandings with respect to all capital of Lazard and HoldCo, other than in respect of earnings on such capital, which shall be continued in accordance with past practice.</w:t>
      </w:r>
    </w:p>
    <w:p>
      <w:pPr>
        <w:spacing w:after="0" w:line="41" w:lineRule="exact"/>
        <w:rPr>
          <w:rFonts w:ascii="Arial" w:cs="Arial" w:eastAsia="Arial" w:hAnsi="Arial"/>
          <w:sz w:val="16"/>
          <w:szCs w:val="16"/>
          <w:color w:val="auto"/>
        </w:rPr>
      </w:pPr>
    </w:p>
    <w:p>
      <w:pPr>
        <w:ind w:right="60" w:firstLine="443"/>
        <w:spacing w:after="0" w:line="288" w:lineRule="auto"/>
        <w:tabs>
          <w:tab w:leader="none" w:pos="657"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Stockholders’ Agreement</w:t>
      </w:r>
      <w:r>
        <w:rPr>
          <w:rFonts w:ascii="Arial" w:cs="Arial" w:eastAsia="Arial" w:hAnsi="Arial"/>
          <w:sz w:val="16"/>
          <w:szCs w:val="16"/>
          <w:color w:val="auto"/>
        </w:rPr>
        <w:t xml:space="preserve">. The Executive hereby agrees that all Exchangeable Interests and PubliCo Shares (as defined in Section 2(g)(i)) held by the Executive and the Executive’s Entities (including PubliCo Shares obtained pursuant to the exchange of Exchangeable Interests for exchangeable membership interests in Lazard which are then exchanged for PubliCo Shares) shall be subject to a stockholders’ agreement which shall provide, among other things, that the Executive (on behalf of himself and any “Entity” (as defined in Section 2(g)(ii)) to whom he has transferred any Class A-2 Interests (as defined in the LLC Agreement) or transfers any such Exchangeable Interests or PubliCo Shares) shall delegate to such person(s) or entity as is described in such agreement the right to vote PubliCo Shares held by the Executive or by any such Entity to whom he made such a transfer. The Executive hereby agrees to execute and deliver such stockholders’ agreement (or, in the case of any Entity, to cause the execution and delivery thereof) in accordance with the HoldCo LLC Agreement. The stockholders’ agreement will include those terms set forth on </w:t>
      </w:r>
      <w:r>
        <w:rPr>
          <w:rFonts w:ascii="Arial" w:cs="Arial" w:eastAsia="Arial" w:hAnsi="Arial"/>
          <w:sz w:val="16"/>
          <w:szCs w:val="16"/>
          <w:u w:val="single" w:color="auto"/>
          <w:color w:val="auto"/>
        </w:rPr>
        <w:t>Schedule III</w:t>
      </w:r>
      <w:r>
        <w:rPr>
          <w:rFonts w:ascii="Arial" w:cs="Arial" w:eastAsia="Arial" w:hAnsi="Arial"/>
          <w:sz w:val="16"/>
          <w:szCs w:val="16"/>
          <w:color w:val="auto"/>
        </w:rPr>
        <w:t xml:space="preserve"> attached hereto, subject to the limitations set forth therein.</w:t>
      </w:r>
    </w:p>
    <w:p>
      <w:pPr>
        <w:spacing w:after="0" w:line="38" w:lineRule="exact"/>
        <w:rPr>
          <w:rFonts w:ascii="Arial" w:cs="Arial" w:eastAsia="Arial" w:hAnsi="Arial"/>
          <w:sz w:val="16"/>
          <w:szCs w:val="16"/>
          <w:color w:val="auto"/>
        </w:rPr>
      </w:pPr>
    </w:p>
    <w:p>
      <w:pPr>
        <w:ind w:left="700" w:hanging="239"/>
        <w:spacing w:after="0"/>
        <w:tabs>
          <w:tab w:leader="none" w:pos="700" w:val="left"/>
        </w:tabs>
        <w:numPr>
          <w:ilvl w:val="1"/>
          <w:numId w:val="9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Exchangeable Interests.</w:t>
      </w:r>
    </w:p>
    <w:p>
      <w:pPr>
        <w:spacing w:after="0" w:line="90" w:lineRule="exact"/>
        <w:rPr>
          <w:rFonts w:ascii="Arial" w:cs="Arial" w:eastAsia="Arial" w:hAnsi="Arial"/>
          <w:sz w:val="18"/>
          <w:szCs w:val="18"/>
          <w:u w:val="single" w:color="auto"/>
          <w:color w:val="auto"/>
        </w:rPr>
      </w:pPr>
    </w:p>
    <w:p>
      <w:pPr>
        <w:ind w:left="460" w:right="20" w:firstLine="421"/>
        <w:spacing w:after="0" w:line="294" w:lineRule="auto"/>
        <w:tabs>
          <w:tab w:leader="none" w:pos="1089" w:val="left"/>
        </w:tabs>
        <w:numPr>
          <w:ilvl w:val="2"/>
          <w:numId w:val="98"/>
        </w:numPr>
        <w:rPr>
          <w:rFonts w:ascii="Arial" w:cs="Arial" w:eastAsia="Arial" w:hAnsi="Arial"/>
          <w:sz w:val="16"/>
          <w:szCs w:val="16"/>
          <w:color w:val="auto"/>
        </w:rPr>
      </w:pPr>
      <w:r>
        <w:rPr>
          <w:rFonts w:ascii="Arial" w:cs="Arial" w:eastAsia="Arial" w:hAnsi="Arial"/>
          <w:sz w:val="16"/>
          <w:szCs w:val="16"/>
          <w:color w:val="auto"/>
        </w:rPr>
        <w:t>A portion of the HoldCo Interests received by the Executive pursuant to Section 2(b) equal in percentage to the Executive’s Lazard Class A-2 Interests as of the IPO Date as adjusted in the same manner as all other Lazard Class A-2 Interests in connection with the HoldCo Formation (such portion, the “</w:t>
      </w:r>
      <w:r>
        <w:rPr>
          <w:rFonts w:ascii="Arial" w:cs="Arial" w:eastAsia="Arial" w:hAnsi="Arial"/>
          <w:sz w:val="16"/>
          <w:szCs w:val="16"/>
          <w:u w:val="single" w:color="auto"/>
          <w:color w:val="auto"/>
        </w:rPr>
        <w:t>Exchangeable Interests</w:t>
      </w:r>
      <w:r>
        <w:rPr>
          <w:rFonts w:ascii="Arial" w:cs="Arial" w:eastAsia="Arial" w:hAnsi="Arial"/>
          <w:sz w:val="16"/>
          <w:szCs w:val="16"/>
          <w:color w:val="auto"/>
        </w:rPr>
        <w:t>”) shall be exchangeable, on the terms set forth in this Section 2(g) and the HoldCo LLC Agreement, for membership interests in Lazard that are in turn exchangeable for shares of Class A common stock of PubliCo (“</w:t>
      </w:r>
      <w:r>
        <w:rPr>
          <w:rFonts w:ascii="Arial" w:cs="Arial" w:eastAsia="Arial" w:hAnsi="Arial"/>
          <w:sz w:val="16"/>
          <w:szCs w:val="16"/>
          <w:u w:val="single" w:color="auto"/>
          <w:color w:val="auto"/>
        </w:rPr>
        <w:t>PubliCo Shares</w:t>
      </w:r>
      <w:r>
        <w:rPr>
          <w:rFonts w:ascii="Arial" w:cs="Arial" w:eastAsia="Arial" w:hAnsi="Arial"/>
          <w:sz w:val="16"/>
          <w:szCs w:val="16"/>
          <w:color w:val="auto"/>
        </w:rPr>
        <w:t>”), such exchange to be accomplished in each case by HoldCo distributing to the Executive (in exchange for the appropriate portion of the Executive’s Exchangeable</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190" w:name="page191"/>
    <w:bookmarkEnd w:id="190"/>
    <w:p>
      <w:pPr>
        <w:ind w:right="1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Interests) the corresponding portion of HoldCo’s applicable ownership interest in Lazard and causing PubliCo to issue the PubliCo Shares to the Executive in exchange for such distributed ownership interest in Lazard (or such other structure as may be reflected in the Holdco LLC Agreement and documents ancillary thereto which provide for a similar exchange, directly or indirectly, of Exchangeable Interests for PubliCo Shares). The documents reflecting the Exchangeable Interests shall contain the restrictive covenants set forth in the HoldCo LLC Agreement addressing the subject matter of the Covenants, which covenants shall be consistent with, and no more restrictive on the Executive than those contained in this Agreement. The Executive’s Exchangeable Interests shall not be subject to reduction for any reason.</w:t>
      </w:r>
    </w:p>
    <w:p>
      <w:pPr>
        <w:spacing w:after="0" w:line="1" w:lineRule="exact"/>
        <w:rPr>
          <w:sz w:val="20"/>
          <w:szCs w:val="20"/>
          <w:color w:val="auto"/>
        </w:rPr>
      </w:pPr>
    </w:p>
    <w:p>
      <w:pPr>
        <w:ind w:firstLine="421"/>
        <w:spacing w:after="0" w:line="300" w:lineRule="auto"/>
        <w:tabs>
          <w:tab w:leader="none" w:pos="678" w:val="left"/>
        </w:tabs>
        <w:numPr>
          <w:ilvl w:val="1"/>
          <w:numId w:val="99"/>
        </w:numPr>
        <w:rPr>
          <w:rFonts w:ascii="Arial" w:cs="Arial" w:eastAsia="Arial" w:hAnsi="Arial"/>
          <w:sz w:val="15"/>
          <w:szCs w:val="15"/>
          <w:color w:val="auto"/>
        </w:rPr>
      </w:pPr>
      <w:r>
        <w:rPr>
          <w:rFonts w:ascii="Arial" w:cs="Arial" w:eastAsia="Arial" w:hAnsi="Arial"/>
          <w:sz w:val="15"/>
          <w:szCs w:val="15"/>
          <w:color w:val="auto"/>
        </w:rPr>
        <w:t xml:space="preserve">Subject to the provisions of the HoldCo LLC Agreement, the Exchangeable Interests may be exchanged for exchangeable membership interests in Lazard that are in turn exchangeable for PubliCo Shares as described above, at the Executive’s election, on and after the eighth anniversary of the IPO Date;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(A) if the Executive remains employed by the Firm through the third anniversary of the IPO Date, the Executive’s Exchangeable Interests (and any Exchangeable Interests held by any trust or any entity that is wholly-owned by the Executive or of which the entire ownership or beneficial interests are held by any combination of the Executive and his spouse, parents, and any of their descendants by lineage or adoption (an “</w:t>
      </w:r>
      <w:r>
        <w:rPr>
          <w:rFonts w:ascii="Arial" w:cs="Arial" w:eastAsia="Arial" w:hAnsi="Arial"/>
          <w:sz w:val="15"/>
          <w:szCs w:val="15"/>
          <w:u w:val="single" w:color="auto"/>
          <w:color w:val="auto"/>
        </w:rPr>
        <w:t>Entity</w:t>
      </w:r>
      <w:r>
        <w:rPr>
          <w:rFonts w:ascii="Arial" w:cs="Arial" w:eastAsia="Arial" w:hAnsi="Arial"/>
          <w:sz w:val="15"/>
          <w:szCs w:val="15"/>
          <w:color w:val="auto"/>
        </w:rPr>
        <w:t>”)), may be exchanged for exchangeable membership interests in Lazard that are in turn exchangeable for PubliCo Shares, in whole or in part, at the Executive’s (or, if applicable, such Entity’s) election, in three equal installments on and after each of the third, fourth and fifth anniversaries of the IPO Date, provided that each such installment may be exchanged only if the Executive has complied with the Covenants (as defined in Section 10), and (B) if the Executive remains employed by the Firm through the second anniversary of the IPO Date (but not through the third anniversary of the IPO Date), the Executive’s Exchangeable Interests may be exchanged, in whole or in part, at the Executive’s (or, if applicable, such Entity’s) election, in three equal installments on and after each of the fourth, fifth and sixth anniversaries of the IPO Date, provided that each such installment may be exchanged only if the Executive has complied with the Covenants. Notwithstanding the above,</w:t>
      </w:r>
    </w:p>
    <w:p>
      <w:pPr>
        <w:spacing w:after="0" w:line="5" w:lineRule="exact"/>
        <w:rPr>
          <w:rFonts w:ascii="Arial" w:cs="Arial" w:eastAsia="Arial" w:hAnsi="Arial"/>
          <w:sz w:val="15"/>
          <w:szCs w:val="15"/>
          <w:color w:val="auto"/>
        </w:rPr>
      </w:pPr>
    </w:p>
    <w:p>
      <w:pPr>
        <w:ind w:right="160" w:firstLine="1"/>
        <w:spacing w:after="0" w:line="300" w:lineRule="auto"/>
        <w:tabs>
          <w:tab w:leader="none" w:pos="287" w:val="left"/>
        </w:tabs>
        <w:numPr>
          <w:ilvl w:val="0"/>
          <w:numId w:val="100"/>
        </w:numPr>
        <w:rPr>
          <w:rFonts w:ascii="Arial" w:cs="Arial" w:eastAsia="Arial" w:hAnsi="Arial"/>
          <w:sz w:val="15"/>
          <w:szCs w:val="15"/>
          <w:color w:val="auto"/>
        </w:rPr>
      </w:pPr>
      <w:r>
        <w:rPr>
          <w:rFonts w:ascii="Arial" w:cs="Arial" w:eastAsia="Arial" w:hAnsi="Arial"/>
          <w:sz w:val="15"/>
          <w:szCs w:val="15"/>
          <w:color w:val="auto"/>
        </w:rPr>
        <w:t>if the Executive’s employment is terminated by the Firm without “Cause” (as defined below) or by reason of the Executive’s Disability prior to the third anniversary of the IPO Date, the Executive’s Exchangeable Interests may be exchanged as if the Executive had remained employed on the third anniversary of the IPO Date and complied with the requirements of clause (A) above (i.e., the Executive may exchange his Exchangeable Interests on the third, fourth and fifth anniversaries of the IPO Date as described in clause (A) above, provided that each such installment may be exchanged only if the Executive has complied with the Covenants); (x) if the Executive’s employment is terminated by reason of the Executive’s death (1) prior to or on the second anniversary of the IPO Date, the Executive’s Exchangeable Interests shall, at the election of the Firm, either</w:t>
      </w:r>
    </w:p>
    <w:p>
      <w:pPr>
        <w:spacing w:after="0" w:line="2" w:lineRule="exact"/>
        <w:rPr>
          <w:rFonts w:ascii="Arial" w:cs="Arial" w:eastAsia="Arial" w:hAnsi="Arial"/>
          <w:sz w:val="15"/>
          <w:szCs w:val="15"/>
          <w:color w:val="auto"/>
        </w:rPr>
      </w:pPr>
    </w:p>
    <w:p>
      <w:pPr>
        <w:ind w:right="260"/>
        <w:spacing w:after="0" w:line="255" w:lineRule="auto"/>
        <w:rPr>
          <w:rFonts w:ascii="Arial" w:cs="Arial" w:eastAsia="Arial" w:hAnsi="Arial"/>
          <w:sz w:val="15"/>
          <w:szCs w:val="15"/>
          <w:color w:val="auto"/>
        </w:rPr>
      </w:pPr>
      <w:r>
        <w:rPr>
          <w:rFonts w:ascii="Arial" w:cs="Arial" w:eastAsia="Arial" w:hAnsi="Arial"/>
          <w:sz w:val="18"/>
          <w:szCs w:val="18"/>
          <w:color w:val="auto"/>
        </w:rPr>
        <w:t>(A) become exchangeable in full no later than the first anniversary of such death or (B) be purchased by HoldCo at the trading price of PubliCo Shares on the date of such repurchase no later than the first anniversary of such death or (2) subsequent to the second anniversary of the IPO Date but prior to the fourth anniversary</w:t>
      </w:r>
    </w:p>
    <w:p>
      <w:pPr>
        <w:spacing w:after="0" w:line="13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00"/>
          </w:cols>
          <w:pgMar w:left="1160" w:top="280" w:right="239" w:bottom="1440" w:gutter="0" w:footer="0" w:header="0"/>
        </w:sectPr>
      </w:pPr>
    </w:p>
    <w:bookmarkStart w:id="191" w:name="page192"/>
    <w:bookmarkEnd w:id="191"/>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IPO Date, the Executive’s Exchangeable Interests may, to the extent not previously exchanged, be exchangeable in full on the later of (A) the third anniversary of the IPO Date and (B) the anniversary of the IPO Date next following such death; (y) if following the IPO Date and prior to the third anniversary of the IPO Date, the Executive’s employment terminates due to his Retirement (defined as the voluntary resignation by the Executive on or after the date he attains age 65 or attains age 55 and has at least ten years of continuous service as a managing director of Lazard or one of its affiliates) and thereafter the Executive dies, the Executive’s Exchangeable Interests shall be treated as set forth in clause (x) of this Section, provided that the Covenants have been complied with since his retirement without regard to the time limits set forth therein; and (z) in the event of a “Change of Control” (as defined in the HoldCo LLC Agreement), the Executive’s Exchangeable Interests shall be exchanged prior to the occurrence of such event at a time and in a fashion designed to allow the Executive to participate in the Change of Control transaction on a basis no less favorable (prior to any applicable taxes) than that applicable to holders of PubliCo Shares.</w:t>
      </w:r>
    </w:p>
    <w:p>
      <w:pPr>
        <w:spacing w:after="0" w:line="39" w:lineRule="exact"/>
        <w:rPr>
          <w:sz w:val="20"/>
          <w:szCs w:val="20"/>
          <w:color w:val="auto"/>
        </w:rPr>
      </w:pPr>
    </w:p>
    <w:p>
      <w:pPr>
        <w:ind w:right="100" w:firstLine="421"/>
        <w:spacing w:after="0" w:line="255" w:lineRule="auto"/>
        <w:tabs>
          <w:tab w:leader="none" w:pos="72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Prior to the applicable exchange date and as a condition to the exchange of the Exchangeable Interests for PubliCo Shares, the Executive shall have entered into a stockholders’ agreement, as described in Section 2(f), and otherwise complied in all material respects with the terms of the HoldCo LLC Agreement applicable to such exchange. Each of HoldCo and PubliCo shall have the right to require the exchange of all or part of the Executive’s Exchangeable Interests for PubliCo Shares during the period beginning on the ninth anniversary of the IPO Date and ending 30 days after such anniversary.</w:t>
      </w:r>
    </w:p>
    <w:p>
      <w:pPr>
        <w:spacing w:after="0" w:line="61" w:lineRule="exact"/>
        <w:rPr>
          <w:rFonts w:ascii="Arial" w:cs="Arial" w:eastAsia="Arial" w:hAnsi="Arial"/>
          <w:sz w:val="18"/>
          <w:szCs w:val="18"/>
          <w:color w:val="auto"/>
        </w:rPr>
      </w:pPr>
    </w:p>
    <w:p>
      <w:pPr>
        <w:ind w:right="60" w:firstLine="421"/>
        <w:spacing w:after="0" w:line="287" w:lineRule="auto"/>
        <w:tabs>
          <w:tab w:leader="none" w:pos="71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For purposes of this Agreement, “Cause” shall mean: (A) conviction of the Executive of, or a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plea (or the equivalent in a non-United States jurisdiction) by the Executive to, a felony (or the equivalent in a non-United States jurisdiction), or of any other crime that legally prohibits the Executive from working for the Firm; (B) breach by the Executive of a regulatory rule that materially adversely affects the Executive’s ability to perform his duties to the Firm; (C) willful and deliberate failure on the part of the Executive (i) to perform his employment duties in any material respect or (ii) to follow specific reasonable directions received from the Firm, in each case following written notice to the Executive of such failure and, if such failure is curable, the Executive’s failing to cure such failure within a reasonable time (but in no event less than 30 days); or (D) a breach of the Covenants that is (individually or combined with other such breaches) demonstrably and materially injurious to Lazard or any of its affiliates. Notwithstanding the foregoing, with respect to the events described in clauses (B) and (C)(i) hereof, the Executive’s acts or failure to act shall not constitute Cause to the extent taken (or not taken) based upon the direct instructions of the Head of Lazard (or after the IPO Date, the Chief Executive Officer of PubliCo (the “ </w:t>
      </w:r>
      <w:r>
        <w:rPr>
          <w:rFonts w:ascii="Arial" w:cs="Arial" w:eastAsia="Arial" w:hAnsi="Arial"/>
          <w:sz w:val="16"/>
          <w:szCs w:val="16"/>
          <w:u w:val="single" w:color="auto"/>
          <w:color w:val="auto"/>
        </w:rPr>
        <w:t>CEO</w:t>
      </w:r>
      <w:r>
        <w:rPr>
          <w:rFonts w:ascii="Arial" w:cs="Arial" w:eastAsia="Arial" w:hAnsi="Arial"/>
          <w:sz w:val="16"/>
          <w:szCs w:val="16"/>
          <w:color w:val="auto"/>
        </w:rPr>
        <w:t>”) or a senior executive officer of Lazard.</w:t>
      </w:r>
    </w:p>
    <w:p>
      <w:pPr>
        <w:spacing w:after="0" w:line="10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80"/>
          </w:cols>
          <w:pgMar w:left="1160" w:top="280" w:right="259" w:bottom="1440" w:gutter="0" w:footer="0" w:header="0"/>
        </w:sectPr>
      </w:pPr>
    </w:p>
    <w:bookmarkStart w:id="192" w:name="page193"/>
    <w:bookmarkEnd w:id="192"/>
    <w:p>
      <w:pPr>
        <w:ind w:left="460" w:right="60" w:firstLine="443"/>
        <w:spacing w:after="0" w:line="254" w:lineRule="auto"/>
        <w:tabs>
          <w:tab w:leader="none" w:pos="1147"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Dilution</w:t>
      </w:r>
      <w:r>
        <w:rPr>
          <w:rFonts w:ascii="Arial" w:cs="Arial" w:eastAsia="Arial" w:hAnsi="Arial"/>
          <w:sz w:val="18"/>
          <w:szCs w:val="18"/>
          <w:color w:val="auto"/>
        </w:rPr>
        <w:t>. The definitive agreements relating to the Transactions will contain (i) provisions obligating PubliCo to file a registration statement with the U.S. Securities and Exchange Commission in order to register the reoffer and resale of the PubliCo Shares on and following the exchange of the Exchangeable Interests, subject to customary blackout provisions and other customary restrictions, and obligating PubliCo to use reasonable efforts to list such PubliCo Shares on the New York Stock Exchange, and (ii) customary antidilution and corporate event adjustment protections (consistent with adjustments applicable to PubliCo Shares) with respect to the Exchangeable Interests and the Exchangeable Interests’ exchange rights into PubliCo Shares.</w:t>
      </w:r>
    </w:p>
    <w:p>
      <w:pPr>
        <w:spacing w:after="0" w:line="63" w:lineRule="exact"/>
        <w:rPr>
          <w:rFonts w:ascii="Arial" w:cs="Arial" w:eastAsia="Arial" w:hAnsi="Arial"/>
          <w:sz w:val="18"/>
          <w:szCs w:val="18"/>
          <w:color w:val="auto"/>
        </w:rPr>
      </w:pPr>
    </w:p>
    <w:p>
      <w:pPr>
        <w:ind w:left="460" w:right="160" w:firstLine="443"/>
        <w:spacing w:after="0" w:line="256" w:lineRule="auto"/>
        <w:tabs>
          <w:tab w:leader="none" w:pos="1108"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Cooperation With Respect to Taxes</w:t>
      </w:r>
      <w:r>
        <w:rPr>
          <w:rFonts w:ascii="Arial" w:cs="Arial" w:eastAsia="Arial" w:hAnsi="Arial"/>
          <w:sz w:val="18"/>
          <w:szCs w:val="18"/>
          <w:color w:val="auto"/>
        </w:rPr>
        <w:t>. Lazard shall use its reasonable efforts to structure the Transactions in a manner that does not result in any material tax to the Executive (that the Executive would not have incurred in the absence of the Transactions) upon the exchange of the Class A-2 Interests into Exchangeable Interests or other exchange of Class A-2 Interests into HoldCo Interests, it being understood that this shall not be a commitment to maintain the current tax treatment or benefits applicable to the Executive.</w:t>
      </w:r>
    </w:p>
    <w:p>
      <w:pPr>
        <w:spacing w:after="0" w:line="62" w:lineRule="exact"/>
        <w:rPr>
          <w:rFonts w:ascii="Arial" w:cs="Arial" w:eastAsia="Arial" w:hAnsi="Arial"/>
          <w:sz w:val="18"/>
          <w:szCs w:val="18"/>
          <w:color w:val="auto"/>
        </w:rPr>
      </w:pPr>
    </w:p>
    <w:p>
      <w:pPr>
        <w:ind w:left="460" w:right="60" w:firstLine="443"/>
        <w:spacing w:after="0" w:line="256" w:lineRule="auto"/>
        <w:tabs>
          <w:tab w:leader="none" w:pos="1108"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HoldCo Governance Structure</w:t>
      </w:r>
      <w:r>
        <w:rPr>
          <w:rFonts w:ascii="Arial" w:cs="Arial" w:eastAsia="Arial" w:hAnsi="Arial"/>
          <w:sz w:val="18"/>
          <w:szCs w:val="18"/>
          <w:color w:val="auto"/>
        </w:rPr>
        <w:t>. Lazard shall use its reasonable efforts to structure the HoldCo governance terms with a view to permitting it to perform its obligations under this Agreement, including, without limitation, with respect to making the distributions and payments provided for in Sections 2(d) and (e) and permitting and effecting the exchange of the Exchangeable Interests for PubliCo Shares in the manner and at the times contemplated by Section 2(g).</w:t>
      </w:r>
    </w:p>
    <w:p>
      <w:pPr>
        <w:spacing w:after="0" w:line="143" w:lineRule="exact"/>
        <w:rPr>
          <w:sz w:val="20"/>
          <w:szCs w:val="20"/>
          <w:color w:val="auto"/>
        </w:rPr>
      </w:pPr>
    </w:p>
    <w:p>
      <w:pPr>
        <w:ind w:right="40" w:firstLine="921"/>
        <w:spacing w:after="0" w:line="256" w:lineRule="auto"/>
        <w:tabs>
          <w:tab w:leader="none" w:pos="1088"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Continued Employment</w:t>
      </w:r>
      <w:r>
        <w:rPr>
          <w:rFonts w:ascii="Arial" w:cs="Arial" w:eastAsia="Arial" w:hAnsi="Arial"/>
          <w:sz w:val="18"/>
          <w:szCs w:val="18"/>
          <w:color w:val="auto"/>
        </w:rPr>
        <w:t xml:space="preserve">. (a) </w:t>
      </w:r>
      <w:r>
        <w:rPr>
          <w:rFonts w:ascii="Arial" w:cs="Arial" w:eastAsia="Arial" w:hAnsi="Arial"/>
          <w:sz w:val="18"/>
          <w:szCs w:val="18"/>
          <w:u w:val="single" w:color="auto"/>
          <w:color w:val="auto"/>
        </w:rPr>
        <w:t>Employment</w:t>
      </w:r>
      <w:r>
        <w:rPr>
          <w:rFonts w:ascii="Arial" w:cs="Arial" w:eastAsia="Arial" w:hAnsi="Arial"/>
          <w:sz w:val="18"/>
          <w:szCs w:val="18"/>
          <w:color w:val="auto"/>
        </w:rPr>
        <w:t>. The Executive hereby agrees to continue in the employ of the Firm, subject to the terms and conditions of this Agreement. In that regard, the Executive is committed to remaining in the employ of the Firm through the IPO Date and for at least two years following the IPO Date. Lazard acknowledges that this Section 3(a) is not legally binding or enforceable, nor is this Section 3(a) consideration for any right or benefit under this Agreement.</w:t>
      </w:r>
    </w:p>
    <w:p>
      <w:pPr>
        <w:spacing w:after="0" w:line="62" w:lineRule="exact"/>
        <w:rPr>
          <w:sz w:val="20"/>
          <w:szCs w:val="20"/>
          <w:color w:val="auto"/>
        </w:rPr>
      </w:pPr>
    </w:p>
    <w:p>
      <w:pPr>
        <w:ind w:left="460" w:firstLine="443"/>
        <w:spacing w:after="0" w:line="289" w:lineRule="auto"/>
        <w:tabs>
          <w:tab w:leader="none" w:pos="1147"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Duties and Responsibilities; Code of Conduct</w:t>
      </w:r>
      <w:r>
        <w:rPr>
          <w:rFonts w:ascii="Arial" w:cs="Arial" w:eastAsia="Arial" w:hAnsi="Arial"/>
          <w:sz w:val="16"/>
          <w:szCs w:val="16"/>
          <w:color w:val="auto"/>
        </w:rPr>
        <w:t>. During the Term, the Executive shall serve as a Managing Director of Lazard or one of its affiliates (including, but not limited to, HoldCo or PubliCo), with such duties and responsibilities as the Head of Lazard (or after the IPO Date, the CEO) may from time to time determine, and, other than in respect of charitable, educational and similar activities which do not materially affect the Executive’s duties to the Firm (or in respect of directorships, trusteeships, or similar posts, in each case, that are approved by the head of the Lazard house at which the Executive serves as a Managing Director) shall devote his entire working time, labor, skill and energies to the business and affairs of the Firm. During the Term, the Executive shall comply with the Firm’s professional code of conduct as in effect from time to time and shall execute on an annual basis and at such additional times as the Firm may reasonably request such code as set forth in the Firm’s “Professional Conduct Manual” or other applicable manual or handbook of the Firm as in effect from time to time and applicable to other managing directors in the same geographic location as the Executive.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93" w:name="page194"/>
    <w:bookmarkEnd w:id="193"/>
    <w:p>
      <w:pPr>
        <w:ind w:left="700" w:hanging="239"/>
        <w:spacing w:after="0"/>
        <w:tabs>
          <w:tab w:leader="none" w:pos="70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w:t>
      </w:r>
      <w:r>
        <w:rPr>
          <w:rFonts w:ascii="Arial" w:cs="Arial" w:eastAsia="Arial" w:hAnsi="Arial"/>
          <w:sz w:val="18"/>
          <w:szCs w:val="18"/>
          <w:color w:val="auto"/>
        </w:rPr>
        <w:t>.</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Base Salary</w:t>
      </w:r>
      <w:r>
        <w:rPr>
          <w:rFonts w:ascii="Arial" w:cs="Arial" w:eastAsia="Arial" w:hAnsi="Arial"/>
          <w:sz w:val="18"/>
          <w:szCs w:val="18"/>
          <w:color w:val="auto"/>
        </w:rPr>
        <w:t>. During the portion of the Term commencing on the IPO Date, subject to the Executive’s continued</w:t>
      </w:r>
    </w:p>
    <w:p>
      <w:pPr>
        <w:spacing w:after="0" w:line="15" w:lineRule="exact"/>
        <w:rPr>
          <w:sz w:val="20"/>
          <w:szCs w:val="20"/>
          <w:color w:val="auto"/>
        </w:rPr>
      </w:pPr>
    </w:p>
    <w:p>
      <w:pPr>
        <w:ind w:left="460" w:right="60" w:firstLine="420"/>
        <w:spacing w:after="0" w:line="254" w:lineRule="auto"/>
        <w:rPr>
          <w:sz w:val="20"/>
          <w:szCs w:val="20"/>
          <w:color w:val="auto"/>
        </w:rPr>
      </w:pPr>
      <w:r>
        <w:rPr>
          <w:rFonts w:ascii="Arial" w:cs="Arial" w:eastAsia="Arial" w:hAnsi="Arial"/>
          <w:sz w:val="18"/>
          <w:szCs w:val="18"/>
          <w:color w:val="auto"/>
        </w:rPr>
        <w:t>employment hereunder, the Executive shall be paid an annualized base salary in the amount of the Executive’s base salary as in effect on the date hereof, payable in the same manner as other managing directors in the same geographic location are paid. The Executive’s base salary shall be subject to annual review and increase, but not decrease, unless such decrease is in line with an across-the-board base salary decrease to all managing directors in the same geographic location as the Executive.</w:t>
      </w:r>
    </w:p>
    <w:p>
      <w:pPr>
        <w:spacing w:after="0" w:line="63" w:lineRule="exact"/>
        <w:rPr>
          <w:sz w:val="20"/>
          <w:szCs w:val="20"/>
          <w:color w:val="auto"/>
        </w:rPr>
      </w:pPr>
    </w:p>
    <w:p>
      <w:pPr>
        <w:ind w:left="460" w:firstLine="421"/>
        <w:spacing w:after="0" w:line="289" w:lineRule="auto"/>
        <w:tabs>
          <w:tab w:leader="none" w:pos="1138"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Annual Bonus</w:t>
      </w:r>
      <w:r>
        <w:rPr>
          <w:rFonts w:ascii="Arial" w:cs="Arial" w:eastAsia="Arial" w:hAnsi="Arial"/>
          <w:sz w:val="16"/>
          <w:szCs w:val="16"/>
          <w:color w:val="auto"/>
        </w:rPr>
        <w:t>. During the portion of the Term commencing on the IPO Date, subject to the Executive’s continued employment hereunder through the date of payment, the Executive may be awarded an annual bonus in an amount determined in the sole discretion of the CEO (subject to approval of the Board of Directors, or a committee of the Board of Directors, of PubliCo to the extent required by law, the rules of any stock exchange or stock trading system to which PubliCo is subject, or corporate governance procedures established by the PubliCo Board of Directors). A portion of any such annual bonus may be satisfied in the form of equity compensation which may be subject to vesting conditions and/or restrictive covenants (it being understood that the sole remedy for violation of any such restrictive covenants shall be forfeiture of such equity compensation and/or recapture of previous gains in respect of such equity compensation and that, notwithstanding Section 11(b), money damages shall not be an available remedy).</w:t>
      </w:r>
    </w:p>
    <w:p>
      <w:pPr>
        <w:spacing w:after="0" w:line="37" w:lineRule="exact"/>
        <w:rPr>
          <w:rFonts w:ascii="Arial" w:cs="Arial" w:eastAsia="Arial" w:hAnsi="Arial"/>
          <w:sz w:val="16"/>
          <w:szCs w:val="16"/>
          <w:color w:val="auto"/>
        </w:rPr>
      </w:pPr>
    </w:p>
    <w:p>
      <w:pPr>
        <w:jc w:val="both"/>
        <w:ind w:left="460" w:firstLine="421"/>
        <w:spacing w:after="0" w:line="259" w:lineRule="auto"/>
        <w:tabs>
          <w:tab w:leader="none" w:pos="1187"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Long-term Incentive Compensation</w:t>
      </w:r>
      <w:r>
        <w:rPr>
          <w:rFonts w:ascii="Arial" w:cs="Arial" w:eastAsia="Arial" w:hAnsi="Arial"/>
          <w:sz w:val="18"/>
          <w:szCs w:val="18"/>
          <w:color w:val="auto"/>
        </w:rPr>
        <w:t>. During the portion of the Term commencing on the second anniversary of the IPO Date, subject to the Executive’s continued employment hereunder, the Executive shall be eligible to participate in any equity incentive plan for executives of the Firm as may be in effect from time to time, in accordance with the terms of any such plan.</w:t>
      </w:r>
    </w:p>
    <w:p>
      <w:pPr>
        <w:spacing w:after="0" w:line="59" w:lineRule="exact"/>
        <w:rPr>
          <w:rFonts w:ascii="Arial" w:cs="Arial" w:eastAsia="Arial" w:hAnsi="Arial"/>
          <w:sz w:val="18"/>
          <w:szCs w:val="18"/>
          <w:color w:val="auto"/>
        </w:rPr>
      </w:pPr>
    </w:p>
    <w:p>
      <w:pPr>
        <w:ind w:left="460" w:right="140" w:firstLine="421"/>
        <w:spacing w:after="0" w:line="294" w:lineRule="auto"/>
        <w:tabs>
          <w:tab w:leader="none" w:pos="1177"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Employee Benefit Plans</w:t>
      </w:r>
      <w:r>
        <w:rPr>
          <w:rFonts w:ascii="Arial" w:cs="Arial" w:eastAsia="Arial" w:hAnsi="Arial"/>
          <w:sz w:val="16"/>
          <w:szCs w:val="16"/>
          <w:color w:val="auto"/>
        </w:rPr>
        <w:t>. During the portion of the Term commencing on the IPO Date, subject to the Executive’s continued employment hereunder, the Executive shall be eligible to participate in the employee retirement and welfare benefit plans and programs of the type made available to the Firm’s managing directors generally, in accordance with their terms and as such plans and programs may be in effect from time to time, including, without limitation, savings, profit-sharing and other retirement plans or programs, 401(k), medical, dental, flexible spending account, hospitalization, short-term and long-term disability and life insurance plans.</w:t>
      </w:r>
    </w:p>
    <w:p>
      <w:pPr>
        <w:spacing w:after="0" w:line="115" w:lineRule="exact"/>
        <w:rPr>
          <w:rFonts w:ascii="Arial" w:cs="Arial" w:eastAsia="Arial" w:hAnsi="Arial"/>
          <w:sz w:val="16"/>
          <w:szCs w:val="16"/>
          <w:color w:val="auto"/>
        </w:rPr>
      </w:pPr>
    </w:p>
    <w:p>
      <w:pPr>
        <w:ind w:right="80" w:firstLine="443"/>
        <w:spacing w:after="0" w:line="298" w:lineRule="auto"/>
        <w:tabs>
          <w:tab w:leader="none" w:pos="687"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At-Will Employment; No Severance</w:t>
      </w:r>
      <w:r>
        <w:rPr>
          <w:rFonts w:ascii="Arial" w:cs="Arial" w:eastAsia="Arial" w:hAnsi="Arial"/>
          <w:sz w:val="16"/>
          <w:szCs w:val="16"/>
          <w:color w:val="auto"/>
        </w:rPr>
        <w:t>. The Executive’s employment hereunder shall be at-will and not for a definite period or duration. Subject to the Executive’s right to continue to receive his base salary during the three-month notice period (to the extent not waived by the Firm) provided in Section 1, the Executive shall not be entitled under this Agreement to any severance payments or benefits or, in the absence of a breach of this Agreement by the Firm, any other damages under this Agreement upon termination of the Term or his employment with the Firm for any reason.</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80" w:right="259" w:bottom="1440" w:gutter="0" w:footer="0" w:header="0"/>
        </w:sectPr>
      </w:pPr>
    </w:p>
    <w:bookmarkStart w:id="194" w:name="page195"/>
    <w:bookmarkEnd w:id="194"/>
    <w:p>
      <w:pPr>
        <w:ind w:left="-40" w:firstLine="921"/>
        <w:spacing w:after="0" w:line="284" w:lineRule="auto"/>
        <w:tabs>
          <w:tab w:leader="none" w:pos="1048"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Information</w:t>
      </w:r>
      <w:r>
        <w:rPr>
          <w:rFonts w:ascii="Arial" w:cs="Arial" w:eastAsia="Arial" w:hAnsi="Arial"/>
          <w:sz w:val="16"/>
          <w:szCs w:val="16"/>
          <w:color w:val="auto"/>
        </w:rPr>
        <w:t>. In the course of involvement in the Firm’s activities or otherwise, the Executive has obtained or may obtain confidential information concerning the Firm’s businesses, strategies, operations, financial affairs, organizational and personnel matters (including information regarding any aspect of the Executive’s tenure as a managing director, member, partner or employee of the Firm or of the termination of such position, partnership or employment), policies, procedures and other non-public matters, or concerning those of third parties. The Executive shall not at any time (whether during or after the Executive’s employment with the Firm) disclose or use for the Executive’s own benefit or purposes or the benefit or purposes of any other person, firm, partnership, joint venture, association, corporation or other business organization, entity or enterprise other than the Firm, any trade secrets, information, data, or other confidential or proprietary information relating to customers, development programs, costs, marketing, trading, investment, sales activities, promotion, credit and financial data, financing methods, plans, or the business and affairs of the Firm, provided that the foregoing shall not apply to information which is not unique to the Firm or which is generally known to the industry or the public other than as a result of the Executive’s breach of this covenant or as required pursuant to an order of a court, governmental agency or other authorized tribunal. The Executive agrees that upon termination of the Executive’s employment with the Firm for any reason, the Executive or, in the event of the Executive’s death, the Executive’s heirs or estate at the request of the Firm, shall return to the Firm immediately all memoranda, books, papers, plans, information, letters and other data, and all copies thereof or therefrom, in any way relating to the business of the Firm, except that the Executive (or the Executive’s heirs or estate) may retain personal notes, notebooks and diaries. The Executive further agrees that the Executive shall not retain or use for the Executive’s account at any time any trade names, trademark or other proprietary business designation used or owned in connection with the businesses of the Firm. Without limiting the foregoing, the existence of, and any information concerning, any dispute between the Executive and the Firm shall be subject to the terms of this Section 4, except that the Executive may disclose information concerning such dispute to the arbitrator or court that is considering such dispute, and to the Executive’s legal counsel, spouse or domestic partner, and tax and financial advisors (provided that such persons agree not to disclose any such information other than as necessary to the prosecution or defense of the dispute).</w:t>
      </w:r>
    </w:p>
    <w:p>
      <w:pPr>
        <w:spacing w:after="0" w:line="132" w:lineRule="exact"/>
        <w:rPr>
          <w:rFonts w:ascii="Arial" w:cs="Arial" w:eastAsia="Arial" w:hAnsi="Arial"/>
          <w:sz w:val="16"/>
          <w:szCs w:val="16"/>
          <w:color w:val="auto"/>
        </w:rPr>
      </w:pPr>
    </w:p>
    <w:p>
      <w:pPr>
        <w:ind w:left="-40" w:right="200" w:firstLine="921"/>
        <w:spacing w:after="0" w:line="286" w:lineRule="auto"/>
        <w:tabs>
          <w:tab w:leader="none" w:pos="1048"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(a) The Executive acknowledges and recognizes the highly competitive nature of the businesses of the Firm. The Executive further acknowledges and agrees that in connection with the Reorganization, and in the course of the Executive’s subsequent employment with the Firm, the Executive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Executive further acknowledges that such proprietary information and relationships are extremely valuable assets in which the Firm has invested and shall continue to invest substantial time, effort and expense. As a Managing Director and Class A Member of Lazard, the Executive is currently bound by certain restrictive covenants, including a noncompetition restriction, pursuant to the terms of the Goodwill Agreement. Accordingly, the Executive hereby reaffirms and agrees that while employed by the Firm and thereafter until (i) three months after the Executive’s date of termination of employment for any reason other than a termination by the Firm without Cause or (ii) one month after the date of the Executive’s termination by the Firm without Cause (in either case, the date of termination, the “</w:t>
      </w:r>
      <w:r>
        <w:rPr>
          <w:rFonts w:ascii="Arial" w:cs="Arial" w:eastAsia="Arial" w:hAnsi="Arial"/>
          <w:sz w:val="16"/>
          <w:szCs w:val="16"/>
          <w:u w:val="single" w:color="auto"/>
          <w:color w:val="auto"/>
        </w:rPr>
        <w:t>Date of Termination</w:t>
      </w:r>
      <w:r>
        <w:rPr>
          <w:rFonts w:ascii="Arial" w:cs="Arial" w:eastAsia="Arial" w:hAnsi="Arial"/>
          <w:sz w:val="16"/>
          <w:szCs w:val="16"/>
          <w:color w:val="auto"/>
        </w:rPr>
        <w:t>,” and such period, the “</w:t>
      </w:r>
      <w:r>
        <w:rPr>
          <w:rFonts w:ascii="Arial" w:cs="Arial" w:eastAsia="Arial" w:hAnsi="Arial"/>
          <w:sz w:val="16"/>
          <w:szCs w:val="16"/>
          <w:u w:val="single" w:color="auto"/>
          <w:color w:val="auto"/>
        </w:rPr>
        <w:t>Noncompete</w:t>
      </w:r>
      <w:r>
        <w:rPr>
          <w:rFonts w:ascii="Arial" w:cs="Arial" w:eastAsia="Arial" w:hAnsi="Arial"/>
          <w:sz w:val="16"/>
          <w:szCs w:val="16"/>
          <w:color w:val="auto"/>
        </w:rPr>
        <w:t xml:space="preserve"> </w:t>
      </w:r>
      <w:r>
        <w:rPr>
          <w:rFonts w:ascii="Arial" w:cs="Arial" w:eastAsia="Arial" w:hAnsi="Arial"/>
          <w:sz w:val="16"/>
          <w:szCs w:val="16"/>
          <w:u w:val="single" w:color="auto"/>
          <w:color w:val="auto"/>
        </w:rPr>
        <w:t>Restriction Period</w:t>
      </w:r>
      <w:r>
        <w:rPr>
          <w:rFonts w:ascii="Arial" w:cs="Arial" w:eastAsia="Arial" w:hAnsi="Arial"/>
          <w:sz w:val="16"/>
          <w:szCs w:val="16"/>
          <w:color w:val="auto"/>
        </w:rPr>
        <w:t>”), the Executive shall not, directly or indirectly, on the Executive’s behalf or on behalf of any other person, firm, corporation, association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80" w:top="280" w:right="279" w:bottom="1440" w:gutter="0" w:footer="0" w:header="0"/>
        </w:sectPr>
      </w:pPr>
    </w:p>
    <w:bookmarkStart w:id="195" w:name="page196"/>
    <w:bookmarkEnd w:id="19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other entity, as an employee, director, advisor, partner, consultant or otherwise, engage in a “Competing Activity,” or acquire or maintain any ownership interest in, a “Competitive Enterprise.” For purposes of this Agreement, (i) “</w:t>
      </w:r>
      <w:r>
        <w:rPr>
          <w:rFonts w:ascii="Arial" w:cs="Arial" w:eastAsia="Arial" w:hAnsi="Arial"/>
          <w:sz w:val="16"/>
          <w:szCs w:val="16"/>
          <w:u w:val="single" w:color="auto"/>
          <w:color w:val="auto"/>
        </w:rPr>
        <w:t>Competing Activity</w:t>
      </w:r>
      <w:r>
        <w:rPr>
          <w:rFonts w:ascii="Arial" w:cs="Arial" w:eastAsia="Arial" w:hAnsi="Arial"/>
          <w:sz w:val="16"/>
          <w:szCs w:val="16"/>
          <w:color w:val="auto"/>
        </w:rPr>
        <w:t>” means the providing of services or performance of activities for a Competitive Enterprise in a line of business that is similar to any line of business to which the Executive provided services to the Firm in a capacity that is similar to the capacity in which the Executive acted for the Firm while employed by the Firm, and (ii) “</w:t>
      </w:r>
      <w:r>
        <w:rPr>
          <w:rFonts w:ascii="Arial" w:cs="Arial" w:eastAsia="Arial" w:hAnsi="Arial"/>
          <w:sz w:val="16"/>
          <w:szCs w:val="16"/>
          <w:u w:val="single" w:color="auto"/>
          <w:color w:val="auto"/>
        </w:rPr>
        <w:t>Competitive Enterprise</w:t>
      </w:r>
      <w:r>
        <w:rPr>
          <w:rFonts w:ascii="Arial" w:cs="Arial" w:eastAsia="Arial" w:hAnsi="Arial"/>
          <w:sz w:val="16"/>
          <w:szCs w:val="16"/>
          <w:color w:val="auto"/>
        </w:rPr>
        <w:t>” shall mean a business (or business unit) that (A) engages in any activity or (B) owns or controls a significant interest in any entity that engages in any activity, that in either case, competes anywhere with any activity in which the Firm is engaged up to and including the Executive’s Date of Termination. Notwithstanding anything to the contrary in this Section 5, the foregoing provisions of this Section 5 shall not prohibit the Executive’s providing services to an entity having a stand-alone business unit which unit would, if considered separately for purposes of the definition of “Competitive Enterprise” hereunder, constitute such a Competitive Enterprise, provided the Executive is not providing services to such business unit and provided further that employment in a senior executive capacity of the business unit shall be deemed to be engaging in a Competitive Activity. Further, notwithstanding anything in this Section 5, the Executive shall not be considered to be in violation of this Section 5 solely by reason of owning, directly or indirectly, any stock or other securities of a Competitive Enterprise (or comparable interest, including a voting or profit participation interest, in any such Competitive Enterprise) if the Executive’s interest does not exceed 5% of the outstanding capital stock of such Competitive Enterprise (or comparable interest, including a voting or profit participation interest, in such Competitive Enterprise).</w:t>
      </w:r>
    </w:p>
    <w:p>
      <w:pPr>
        <w:spacing w:after="0" w:line="40" w:lineRule="exact"/>
        <w:rPr>
          <w:sz w:val="20"/>
          <w:szCs w:val="20"/>
          <w:color w:val="auto"/>
        </w:rPr>
      </w:pPr>
    </w:p>
    <w:p>
      <w:pPr>
        <w:ind w:left="460" w:right="20" w:firstLine="443"/>
        <w:spacing w:after="0" w:line="306" w:lineRule="auto"/>
        <w:tabs>
          <w:tab w:leader="none" w:pos="114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Executive acknowledges that the Firm is engaged in business throughout the world. Accordingly, and in view of the nature of the Executive’s position and responsibilities, the Executive agrees that the provisions of this Section 5 shall be applicable to each jurisdiction, foreign country, state, possession or territory in which the Firm may be engaged in business while the Executive is employed by the Firm.</w:t>
      </w:r>
    </w:p>
    <w:p>
      <w:pPr>
        <w:spacing w:after="0" w:line="107" w:lineRule="exact"/>
        <w:rPr>
          <w:sz w:val="20"/>
          <w:szCs w:val="20"/>
          <w:color w:val="auto"/>
        </w:rPr>
      </w:pPr>
    </w:p>
    <w:p>
      <w:pPr>
        <w:ind w:right="100" w:firstLine="921"/>
        <w:spacing w:after="0" w:line="286" w:lineRule="auto"/>
        <w:tabs>
          <w:tab w:leader="none" w:pos="1088"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Nonsolicitation of Clients</w:t>
      </w:r>
      <w:r>
        <w:rPr>
          <w:rFonts w:ascii="Arial" w:cs="Arial" w:eastAsia="Arial" w:hAnsi="Arial"/>
          <w:sz w:val="16"/>
          <w:szCs w:val="16"/>
          <w:color w:val="auto"/>
        </w:rPr>
        <w:t>. The Executive hereby agrees that during the Noncompete Restricted Period, the Executive shall not, in any manner, directly or indirectly, (a) Solicit a Client to transact business with a Competitive Enterprise or to reduce or refrain from doing any business with the Firm, to the extent the Executive is soliciting a Client to provide them with services that would be considered a Competing Activity if such services were provided by the Executive, or (b) interfere with or damage (or attempt to interfere with or damage) any relationship between the Firm and a Client. For purposes of this Agreement, the term “</w:t>
      </w:r>
      <w:r>
        <w:rPr>
          <w:rFonts w:ascii="Arial" w:cs="Arial" w:eastAsia="Arial" w:hAnsi="Arial"/>
          <w:sz w:val="16"/>
          <w:szCs w:val="16"/>
          <w:u w:val="single" w:color="auto"/>
          <w:color w:val="auto"/>
        </w:rPr>
        <w:t>Solicit</w:t>
      </w:r>
      <w:r>
        <w:rPr>
          <w:rFonts w:ascii="Arial" w:cs="Arial" w:eastAsia="Arial" w:hAnsi="Arial"/>
          <w:sz w:val="16"/>
          <w:szCs w:val="16"/>
          <w:color w:val="auto"/>
        </w:rPr>
        <w:t>” means any direct or indirect communication of any kind whatsoever, regardless of by whom initiated, inviting, advising, persuading, encouraging or requesting any person or entity, in any manner, to take or refrain from taking any action, and the term “</w:t>
      </w:r>
      <w:r>
        <w:rPr>
          <w:rFonts w:ascii="Arial" w:cs="Arial" w:eastAsia="Arial" w:hAnsi="Arial"/>
          <w:sz w:val="16"/>
          <w:szCs w:val="16"/>
          <w:u w:val="single" w:color="auto"/>
          <w:color w:val="auto"/>
        </w:rPr>
        <w:t>Client</w:t>
      </w:r>
      <w:r>
        <w:rPr>
          <w:rFonts w:ascii="Arial" w:cs="Arial" w:eastAsia="Arial" w:hAnsi="Arial"/>
          <w:sz w:val="16"/>
          <w:szCs w:val="16"/>
          <w:color w:val="auto"/>
        </w:rPr>
        <w:t>” means any client or prospective client of the Firm to whom the Executive provided services, or for whom the Executive transacted business, or whose identity became known to the Executive in connection with the Executive’s relationship with or employment by the Firm, whether or not the Firm has been engaged by such Client pursuant to a written agreement; provided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96" w:name="page197"/>
    <w:bookmarkEnd w:id="196"/>
    <w:p>
      <w:pPr>
        <w:ind w:left="-20" w:firstLine="921"/>
        <w:spacing w:after="0" w:line="296" w:lineRule="auto"/>
        <w:tabs>
          <w:tab w:leader="none" w:pos="1068" w:val="left"/>
        </w:tabs>
        <w:numPr>
          <w:ilvl w:val="1"/>
          <w:numId w:val="11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Hire of Employees</w:t>
      </w:r>
      <w:r>
        <w:rPr>
          <w:rFonts w:ascii="Arial" w:cs="Arial" w:eastAsia="Arial" w:hAnsi="Arial"/>
          <w:sz w:val="16"/>
          <w:szCs w:val="16"/>
          <w:color w:val="auto"/>
        </w:rPr>
        <w:t>. The Executive hereby agrees that while employed by the Firm and thereafter until six</w:t>
      </w:r>
      <w:r>
        <w:rPr>
          <w:rFonts w:ascii="Arial" w:cs="Arial" w:eastAsia="Arial" w:hAnsi="Arial"/>
          <w:sz w:val="16"/>
          <w:szCs w:val="16"/>
          <w:b w:val="1"/>
          <w:bCs w:val="1"/>
          <w:color w:val="auto"/>
        </w:rPr>
        <w:t>-</w:t>
      </w:r>
      <w:r>
        <w:rPr>
          <w:rFonts w:ascii="Arial" w:cs="Arial" w:eastAsia="Arial" w:hAnsi="Arial"/>
          <w:sz w:val="16"/>
          <w:szCs w:val="16"/>
          <w:color w:val="auto"/>
        </w:rPr>
        <w:t>months after the Executive’s Date of Termination (the “</w:t>
      </w:r>
      <w:r>
        <w:rPr>
          <w:rFonts w:ascii="Arial" w:cs="Arial" w:eastAsia="Arial" w:hAnsi="Arial"/>
          <w:sz w:val="16"/>
          <w:szCs w:val="16"/>
          <w:u w:val="single" w:color="auto"/>
          <w:color w:val="auto"/>
        </w:rPr>
        <w:t>No Hire Restriction Period</w:t>
      </w:r>
      <w:r>
        <w:rPr>
          <w:rFonts w:ascii="Arial" w:cs="Arial" w:eastAsia="Arial" w:hAnsi="Arial"/>
          <w:sz w:val="16"/>
          <w:szCs w:val="16"/>
          <w:color w:val="auto"/>
        </w:rPr>
        <w:t>”), the Executive shall not, directly or indirectly, for himself or on behalf of any third party at any time in any manner, Solicit, hire, or otherwise cause any employee who is at the associate level or above, officer or agent of the Firm to apply for, or accept employment with, any Competitive Enterprise, or to otherwise refrain from rendering services to the Firm or to terminate his or her relationship, contractual or otherwise, with the Firm, other than in response to a general advertisement or public solicitation not directed specifically to employees of the Firm.</w:t>
      </w:r>
    </w:p>
    <w:p>
      <w:pPr>
        <w:spacing w:after="0" w:line="113" w:lineRule="exact"/>
        <w:rPr>
          <w:rFonts w:ascii="Arial" w:cs="Arial" w:eastAsia="Arial" w:hAnsi="Arial"/>
          <w:sz w:val="16"/>
          <w:szCs w:val="16"/>
          <w:color w:val="auto"/>
        </w:rPr>
      </w:pPr>
    </w:p>
    <w:p>
      <w:pPr>
        <w:ind w:left="-20" w:right="20" w:firstLine="921"/>
        <w:spacing w:after="0" w:line="288" w:lineRule="auto"/>
        <w:tabs>
          <w:tab w:leader="none" w:pos="1068" w:val="left"/>
        </w:tabs>
        <w:numPr>
          <w:ilvl w:val="1"/>
          <w:numId w:val="111"/>
        </w:numPr>
        <w:rPr>
          <w:rFonts w:ascii="Arial" w:cs="Arial" w:eastAsia="Arial" w:hAnsi="Arial"/>
          <w:sz w:val="16"/>
          <w:szCs w:val="16"/>
          <w:color w:val="auto"/>
        </w:rPr>
      </w:pPr>
      <w:r>
        <w:rPr>
          <w:rFonts w:ascii="Arial" w:cs="Arial" w:eastAsia="Arial" w:hAnsi="Arial"/>
          <w:sz w:val="16"/>
          <w:szCs w:val="16"/>
          <w:u w:val="single" w:color="auto"/>
          <w:color w:val="auto"/>
        </w:rPr>
        <w:t>Nondisparagement; Transfer of Client Relationships</w:t>
      </w:r>
      <w:r>
        <w:rPr>
          <w:rFonts w:ascii="Arial" w:cs="Arial" w:eastAsia="Arial" w:hAnsi="Arial"/>
          <w:sz w:val="16"/>
          <w:szCs w:val="16"/>
          <w:color w:val="auto"/>
        </w:rPr>
        <w:t>. The Executive shall not at any time (whether during or after the Executive’s employment with the Firm), and shall instruct his spouse, domestic partner, parents, and any of their lineal descendants (it being agreed that in any dispute between the parties regarding whether the Executive breached such obligation to instruct, the Firm shall bear the burden of demonstrating that the Executive breached such obligation) not to, make any comments or statements to the press, employees of the Firm, any individual or entity with whom the Firm has a business relationship or any other person, if such comment or statement is disparaging to the Firm, its reputation, any of its affiliates or any of its current or former officers, members or directors, except for truthful statements as may be required by law. During the period commencing on the Executive’s Date of Termination and ending 90 days thereafter, the Executive hereby agrees to take all actions and do all such things as may be reasonably requested by the Firm from time to time to maintain for the Firm the business, goodwill, and business relationships with any of the Firm’s Clients with whom the Executive worked during the term of the Executive’s employment, provided that such actions and things do not materially interfere with other employment of the Executive.</w:t>
      </w:r>
    </w:p>
    <w:p>
      <w:pPr>
        <w:spacing w:after="0" w:line="119" w:lineRule="exact"/>
        <w:rPr>
          <w:rFonts w:ascii="Arial" w:cs="Arial" w:eastAsia="Arial" w:hAnsi="Arial"/>
          <w:sz w:val="16"/>
          <w:szCs w:val="16"/>
          <w:color w:val="auto"/>
        </w:rPr>
      </w:pPr>
    </w:p>
    <w:p>
      <w:pPr>
        <w:ind w:left="-20" w:firstLine="921"/>
        <w:spacing w:after="0" w:line="256" w:lineRule="auto"/>
        <w:tabs>
          <w:tab w:leader="none" w:pos="1068"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Notice of Termination Required</w:t>
      </w:r>
      <w:r>
        <w:rPr>
          <w:rFonts w:ascii="Arial" w:cs="Arial" w:eastAsia="Arial" w:hAnsi="Arial"/>
          <w:sz w:val="18"/>
          <w:szCs w:val="18"/>
          <w:color w:val="auto"/>
        </w:rPr>
        <w:t>. Pursuant to Section 1, the Executive has agreed to provide three months’ written notice to the Firm prior to his termination of employment. The Executive hereby agrees that, if, during the three-month period after the Executive has provided notice of termination to the Firm or prior thereto, the Executive enters (or has entered into) a written agreement to perform Competing Activities for a Competitive Enterprise, such action shall be deemed a violation of Section 5.</w:t>
      </w:r>
    </w:p>
    <w:p>
      <w:pPr>
        <w:spacing w:after="0" w:line="143" w:lineRule="exact"/>
        <w:rPr>
          <w:rFonts w:ascii="Arial" w:cs="Arial" w:eastAsia="Arial" w:hAnsi="Arial"/>
          <w:sz w:val="18"/>
          <w:szCs w:val="18"/>
          <w:color w:val="auto"/>
        </w:rPr>
      </w:pPr>
    </w:p>
    <w:p>
      <w:pPr>
        <w:ind w:left="-20" w:right="20" w:firstLine="921"/>
        <w:spacing w:after="0" w:line="291" w:lineRule="auto"/>
        <w:tabs>
          <w:tab w:leader="none" w:pos="1156" w:val="left"/>
        </w:tabs>
        <w:numPr>
          <w:ilvl w:val="1"/>
          <w:numId w:val="111"/>
        </w:numPr>
        <w:rPr>
          <w:rFonts w:ascii="Arial" w:cs="Arial" w:eastAsia="Arial" w:hAnsi="Arial"/>
          <w:sz w:val="16"/>
          <w:szCs w:val="16"/>
          <w:color w:val="auto"/>
        </w:rPr>
      </w:pPr>
      <w:r>
        <w:rPr>
          <w:rFonts w:ascii="Arial" w:cs="Arial" w:eastAsia="Arial" w:hAnsi="Arial"/>
          <w:sz w:val="16"/>
          <w:szCs w:val="16"/>
          <w:u w:val="single" w:color="auto"/>
          <w:color w:val="auto"/>
        </w:rPr>
        <w:t>Covenants Generally</w:t>
      </w:r>
      <w:r>
        <w:rPr>
          <w:rFonts w:ascii="Arial" w:cs="Arial" w:eastAsia="Arial" w:hAnsi="Arial"/>
          <w:sz w:val="16"/>
          <w:szCs w:val="16"/>
          <w:color w:val="auto"/>
        </w:rPr>
        <w:t>. (a) The Executive’s covenants as set forth in Sections 4 through 9 of this Agreement are from time to time referred to herein as the “</w:t>
      </w:r>
      <w:r>
        <w:rPr>
          <w:rFonts w:ascii="Arial" w:cs="Arial" w:eastAsia="Arial" w:hAnsi="Arial"/>
          <w:sz w:val="16"/>
          <w:szCs w:val="16"/>
          <w:u w:val="single" w:color="auto"/>
          <w:color w:val="auto"/>
        </w:rPr>
        <w:t>Covenants</w:t>
      </w:r>
      <w:r>
        <w:rPr>
          <w:rFonts w:ascii="Arial" w:cs="Arial" w:eastAsia="Arial" w:hAnsi="Arial"/>
          <w:sz w:val="16"/>
          <w:szCs w:val="16"/>
          <w:color w:val="auto"/>
        </w:rPr>
        <w:t xml:space="preserve">.” If any of the Covenants is finally held to be invalid, illegal or unenforceable (whether in whole or in part), such Covenant shall be deemed modified to the extent, but only to the extent, of such invalidity, illegality or unenforceability and the remaining such Covenants shall not be affected thereby;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any of such Covenants is finally held to be invalid, illegal or unenforceable because it exceeds the maximum scope determined to be acceptable to permit such provision to be enforceable, such Covenant shall be deemed to be modified to the minimum extent necessary to modify such scope in order to make such provision enforceable hereunder.</w:t>
      </w:r>
    </w:p>
    <w:p>
      <w:pPr>
        <w:spacing w:after="0" w:line="39" w:lineRule="exact"/>
        <w:rPr>
          <w:rFonts w:ascii="Arial" w:cs="Arial" w:eastAsia="Arial" w:hAnsi="Arial"/>
          <w:sz w:val="16"/>
          <w:szCs w:val="16"/>
          <w:color w:val="auto"/>
        </w:rPr>
      </w:pPr>
    </w:p>
    <w:p>
      <w:pPr>
        <w:ind w:left="440" w:right="20" w:firstLine="443"/>
        <w:spacing w:after="0" w:line="259" w:lineRule="auto"/>
        <w:tabs>
          <w:tab w:leader="none" w:pos="112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Executive acknowledges that the Executive’s compliance with the Covenants is an important factor to the continued success of the Firm’s operations and its future prospects. The Executive further acknowledges the importance to the Firm of his continued employment during the period prior to and following the IPO Date and of his not competing 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60" w:top="274" w:right="259" w:bottom="1440" w:gutter="0" w:footer="0" w:header="0"/>
        </w:sectPr>
      </w:pPr>
    </w:p>
    <w:bookmarkStart w:id="197" w:name="page198"/>
    <w:bookmarkEnd w:id="197"/>
    <w:p>
      <w:pPr>
        <w:ind w:left="440"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otherwise interfering with the Firm during such period. The Executive understands that the provisions of the Covenants may limit the Executive’s ability to work in a business similar to the business of the Firm;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the Executive agrees that in light of the Executive’s education, skills, abilities and financial resources, the Executive shall not assert, and it shall not be relevant nor admissible as evidence in any dispute arising in respect of the Covenants, that any provisions of the Covenants prevent the Executive from earning a living. In connection with the enforcement of or any dispute arising in connection with the Covenants, the wishes or preferences of a Client or prospective Client of the Firm as to who shall perform its services, or the fact that the Client or prospective Client of the Firm may also be a Client of a third party with whom the Executive is or becomes associated, shall neither be relevant nor admissible as evidence. The Executive hereby agrees that prior to accepting employment with any other person or entity during his employment with the Firm or during the Noncompete Restriction Period or the No Hire Restriction Period, the Executive shall provide such prospective employer with written notice of the provisions of this Agreement, with a copy of such notice delivered no later than the date of the Executive’s commencement of such employment with such prospective employer, to the General Counsel of Lazard or HoldCo, as the case may be.</w:t>
      </w:r>
    </w:p>
    <w:p>
      <w:pPr>
        <w:spacing w:after="0" w:line="42" w:lineRule="exact"/>
        <w:rPr>
          <w:sz w:val="20"/>
          <w:szCs w:val="20"/>
          <w:color w:val="auto"/>
        </w:rPr>
      </w:pPr>
    </w:p>
    <w:p>
      <w:pPr>
        <w:ind w:left="440" w:right="260" w:firstLine="443"/>
        <w:spacing w:after="0" w:line="268" w:lineRule="auto"/>
        <w:tabs>
          <w:tab w:leader="none" w:pos="111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provisions of Sections 4 through 11 shall remain in full force and effect from the date hereof through the expiration of the period specified therein notwithstanding the earlier termination of the Term or the Executive’s employment.</w:t>
      </w:r>
    </w:p>
    <w:p>
      <w:pPr>
        <w:spacing w:after="0" w:line="131" w:lineRule="exact"/>
        <w:rPr>
          <w:rFonts w:ascii="Arial" w:cs="Arial" w:eastAsia="Arial" w:hAnsi="Arial"/>
          <w:sz w:val="18"/>
          <w:szCs w:val="18"/>
          <w:color w:val="auto"/>
        </w:rPr>
      </w:pPr>
    </w:p>
    <w:p>
      <w:pPr>
        <w:ind w:left="-20" w:firstLine="921"/>
        <w:spacing w:after="0" w:line="288" w:lineRule="auto"/>
        <w:tabs>
          <w:tab w:leader="none" w:pos="1150"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Forfeiture of Class A-2 Interests upon a Breach of the Covenants Prior to the IPO Date</w:t>
      </w:r>
      <w:r>
        <w:rPr>
          <w:rFonts w:ascii="Arial" w:cs="Arial" w:eastAsia="Arial" w:hAnsi="Arial"/>
          <w:sz w:val="16"/>
          <w:szCs w:val="16"/>
          <w:color w:val="auto"/>
        </w:rPr>
        <w:t>. If, during the period from the date hereof through the IPO Date, the Executive breaches any of the Covenants set forth in Section 5, 6 or 7 in any respect or breaches any other Covenant in a material respect, the Executive shall be required to forfeit (i) all unvested Class A-2 Interests, plus (ii) if the Executive has violated the Goodwill Agreement, all vested Class A-2 Interests (such forfeitures, the “</w:t>
      </w:r>
      <w:r>
        <w:rPr>
          <w:rFonts w:ascii="Arial" w:cs="Arial" w:eastAsia="Arial" w:hAnsi="Arial"/>
          <w:sz w:val="16"/>
          <w:szCs w:val="16"/>
          <w:u w:val="single" w:color="auto"/>
          <w:color w:val="auto"/>
        </w:rPr>
        <w:t>Pre-IPO Damages</w:t>
      </w:r>
      <w:r>
        <w:rPr>
          <w:rFonts w:ascii="Arial" w:cs="Arial" w:eastAsia="Arial" w:hAnsi="Arial"/>
          <w:sz w:val="16"/>
          <w:szCs w:val="16"/>
          <w:color w:val="auto"/>
        </w:rPr>
        <w:t>”). The Executive and Lazard agree that the Pre-IPO Damages are reasonable in proportion to the probable damages likely to be sustained by the Firm if the Executive breaches the Covenants, that the amount of actual damages to be sustained by the Firm in the event of such breach is incapable of precise estimation, that such forfeiture of interests is not intended to constitute a penalty or punitive damages for any purposes, and that the forfeiture of such interests by the Executive would not result in severe economic hardship for the Executive and his family. The Executive further agrees that satisfaction of any Pre-IPO Damages as set forth in this Section 11(a) shall not, in any manner, relieve the Executive of any future obligations to abide by the Covenants.</w:t>
      </w:r>
    </w:p>
    <w:p>
      <w:pPr>
        <w:spacing w:after="0" w:line="39" w:lineRule="exact"/>
        <w:rPr>
          <w:sz w:val="20"/>
          <w:szCs w:val="20"/>
          <w:color w:val="auto"/>
        </w:rPr>
      </w:pPr>
    </w:p>
    <w:p>
      <w:pPr>
        <w:ind w:left="440" w:right="40" w:firstLine="443"/>
        <w:spacing w:after="0" w:line="290" w:lineRule="auto"/>
        <w:tabs>
          <w:tab w:leader="none" w:pos="1127"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Other Remedies</w:t>
      </w:r>
      <w:r>
        <w:rPr>
          <w:rFonts w:ascii="Arial" w:cs="Arial" w:eastAsia="Arial" w:hAnsi="Arial"/>
          <w:sz w:val="16"/>
          <w:szCs w:val="16"/>
          <w:color w:val="auto"/>
        </w:rPr>
        <w:t>. The Firm and the Executive acknowledge that the time, scope, geographic area and other provisions of the Covenants have been specifically negotiated by sophisticated commercial parties and agree that all such provisions are reasonable under the circumstances of the activities contemplated by this Agreement. The Executive acknowledges and agrees that the terms of the Covenants: (i) are reasonable in light of all of the circumstances, (ii) are sufficiently limited to protect the legitimate interests of the Firm, (iii) impose no undue hardship on the Executive and (iv) are not injurious to the public. The Executive further acknowledges and agrees that the Executive’s breach of the Covenants will cause the Firm irreparable harm, which cannot be adequately compensated by money damages. The Executive also agrees that the Firm shall be entitled to injunctive relief for any actual or threatened violation of any of the Covenants in addition to any other remedies it may have, including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60" w:top="280" w:right="239" w:bottom="1440" w:gutter="0" w:footer="0" w:header="0"/>
        </w:sectPr>
      </w:pPr>
    </w:p>
    <w:bookmarkStart w:id="198" w:name="page199"/>
    <w:bookmarkEnd w:id="198"/>
    <w:p>
      <w:pPr>
        <w:jc w:val="both"/>
        <w:ind w:left="420"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money damages. The Executive acknowledges and agrees that any such injunctive relief or other remedies (including the Pre-IPO Damages) shall be in addition to, and not in lieu of, any forfeitures of awards (required pursuant to the terms of any such awards) that may be granted to the Executive in the future under one or more of the Firm’s compensation and benefit plans.</w:t>
      </w:r>
    </w:p>
    <w:p>
      <w:pPr>
        <w:spacing w:after="0" w:line="140" w:lineRule="exact"/>
        <w:rPr>
          <w:sz w:val="20"/>
          <w:szCs w:val="20"/>
          <w:color w:val="auto"/>
        </w:rPr>
      </w:pPr>
    </w:p>
    <w:p>
      <w:pPr>
        <w:ind w:left="-40" w:firstLine="921"/>
        <w:spacing w:after="0" w:line="253" w:lineRule="auto"/>
        <w:tabs>
          <w:tab w:leader="none" w:pos="1136"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Subject to the provisions of Sections 13 and 14, any dispute, controversy or claim between the Executive and the Firm on or subsequent to the IPO Date arising out of or relating to or concerning the provisions of this Agreement, any agreement between the Executive and the Firm relating to or arising out of the Executive’s employment with the Firm or otherwise concerning any rights, obligations or other aspects of the Executive’s employment relationship in respect of the Firm (“</w:t>
      </w:r>
      <w:r>
        <w:rPr>
          <w:rFonts w:ascii="Arial" w:cs="Arial" w:eastAsia="Arial" w:hAnsi="Arial"/>
          <w:sz w:val="18"/>
          <w:szCs w:val="18"/>
          <w:u w:val="single" w:color="auto"/>
          <w:color w:val="auto"/>
        </w:rPr>
        <w:t>Employment Related Matters</w:t>
      </w:r>
      <w:r>
        <w:rPr>
          <w:rFonts w:ascii="Arial" w:cs="Arial" w:eastAsia="Arial" w:hAnsi="Arial"/>
          <w:sz w:val="18"/>
          <w:szCs w:val="18"/>
          <w:color w:val="auto"/>
        </w:rPr>
        <w:t>”), shall be finally settled by arbitration in New York City before, and in accordance with the rules then obtaining of, the New York Stock Exchange, Inc. (the “</w:t>
      </w:r>
      <w:r>
        <w:rPr>
          <w:rFonts w:ascii="Arial" w:cs="Arial" w:eastAsia="Arial" w:hAnsi="Arial"/>
          <w:sz w:val="18"/>
          <w:szCs w:val="18"/>
          <w:u w:val="single" w:color="auto"/>
          <w:color w:val="auto"/>
        </w:rPr>
        <w:t>NYSE</w:t>
      </w:r>
      <w:r>
        <w:rPr>
          <w:rFonts w:ascii="Arial" w:cs="Arial" w:eastAsia="Arial" w:hAnsi="Arial"/>
          <w:sz w:val="18"/>
          <w:szCs w:val="18"/>
          <w:color w:val="auto"/>
        </w:rPr>
        <w:t>”) or, if the NYSE declines to arbitrate the matter, the American Arbitration Association (the “</w:t>
      </w:r>
      <w:r>
        <w:rPr>
          <w:rFonts w:ascii="Arial" w:cs="Arial" w:eastAsia="Arial" w:hAnsi="Arial"/>
          <w:sz w:val="18"/>
          <w:szCs w:val="18"/>
          <w:u w:val="single" w:color="auto"/>
          <w:color w:val="auto"/>
        </w:rPr>
        <w:t>AAA</w:t>
      </w:r>
      <w:r>
        <w:rPr>
          <w:rFonts w:ascii="Arial" w:cs="Arial" w:eastAsia="Arial" w:hAnsi="Arial"/>
          <w:sz w:val="18"/>
          <w:szCs w:val="18"/>
          <w:color w:val="auto"/>
        </w:rPr>
        <w:t>”) in accordance with the commercial arbitration rules of the AAA. Prior to the IPO Date, any such dispute shall be resolved in accordance with the provisions of Section 9.04 of the LLC Agreement.</w:t>
      </w:r>
    </w:p>
    <w:p>
      <w:pPr>
        <w:spacing w:after="0" w:line="147" w:lineRule="exact"/>
        <w:rPr>
          <w:rFonts w:ascii="Arial" w:cs="Arial" w:eastAsia="Arial" w:hAnsi="Arial"/>
          <w:sz w:val="18"/>
          <w:szCs w:val="18"/>
          <w:color w:val="auto"/>
        </w:rPr>
      </w:pPr>
    </w:p>
    <w:p>
      <w:pPr>
        <w:ind w:left="-40" w:right="60" w:firstLine="921"/>
        <w:spacing w:after="0" w:line="253" w:lineRule="auto"/>
        <w:tabs>
          <w:tab w:leader="none" w:pos="1136"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Injunctive Relief; Submission to Jurisdiction</w:t>
      </w:r>
      <w:r>
        <w:rPr>
          <w:rFonts w:ascii="Arial" w:cs="Arial" w:eastAsia="Arial" w:hAnsi="Arial"/>
          <w:sz w:val="18"/>
          <w:szCs w:val="18"/>
          <w:color w:val="auto"/>
        </w:rPr>
        <w:t>. Notwithstanding the provisions of Section 12, and in addition to its right to submit any dispute or controversy to arbitration, the Firm may bring an action or special proceeding in a state or federal court of competent jurisdiction sitting in the City of New York, whether or not an arbitration proceeding has theretofore been or is ever initiated, for the purpose of temporarily, preliminarily, or permanently enforcing the provisions of the Covenants, or to enforce an arbitration award, and, for the purposes of this Section 13, the Executive (a) expressly consents to the application of Section 14 to any such action or proceeding, (b) agrees that proof shall not be required that monetary damages for breach of the provisions of the Covenants or this Agreement would be difficult to calculate and that remedies at law would be inadequate, and (c) irrevocably appoints the General Counsel of Lazard as the Executive’s agent for service of process in connection with any such action or proceeding, who shall promptly advise the Executive of any such service of process.</w:t>
      </w:r>
    </w:p>
    <w:p>
      <w:pPr>
        <w:spacing w:after="0" w:line="145" w:lineRule="exact"/>
        <w:rPr>
          <w:rFonts w:ascii="Arial" w:cs="Arial" w:eastAsia="Arial" w:hAnsi="Arial"/>
          <w:sz w:val="18"/>
          <w:szCs w:val="18"/>
          <w:color w:val="auto"/>
        </w:rPr>
      </w:pPr>
    </w:p>
    <w:p>
      <w:pPr>
        <w:ind w:left="-40" w:right="20" w:firstLine="921"/>
        <w:spacing w:after="0" w:line="289" w:lineRule="auto"/>
        <w:tabs>
          <w:tab w:leader="none" w:pos="1136"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Choice of Forum</w:t>
      </w:r>
      <w:r>
        <w:rPr>
          <w:rFonts w:ascii="Arial" w:cs="Arial" w:eastAsia="Arial" w:hAnsi="Arial"/>
          <w:sz w:val="16"/>
          <w:szCs w:val="16"/>
          <w:color w:val="auto"/>
        </w:rPr>
        <w:t>. (a) THE EXECUTIVE AND THE FIRM HEREBY IRREVOCABLY SUBMIT TO THE EXCLUSIVE JURISDICTION OF ANY STATE OR FEDERAL COURT LOCATED IN THE CITY OF NEW YORK OVER ANY SUIT, ACTION OR PROCEEDING ARISING OUT OF OR RELATING TO OR CONCERNING THIS AGREEMENT OR ANY EMPLOYMENT RELATED MATTERS THAT IS NOT OTHERWISE REQUIRED TO BE ARBITRATED OR RESOLVED ACCORDING TO THE PROVISIONS OF SECTION 12. This includes any suit, action or proceeding to compel arbitration or to enforce an arbitration award. This also includes any suit, action, or proceeding arising out of or relating to any post-employment Employment Related Matters. The Executive and the Firm acknowledge that the forum designated by this Section 14 has a reasonable relation to this Agreement, and to the Executive’s relationship to the Firm. Notwithstanding the foregoing, nothing herein shall preclude the Firm or the Executive from bringing any action or proceeding in any other court for the purpose of enforcing the provisions of Sections 13, 14 or 15.</w:t>
      </w:r>
    </w:p>
    <w:p>
      <w:pPr>
        <w:spacing w:after="0" w:line="37" w:lineRule="exact"/>
        <w:rPr>
          <w:rFonts w:ascii="Arial" w:cs="Arial" w:eastAsia="Arial" w:hAnsi="Arial"/>
          <w:sz w:val="16"/>
          <w:szCs w:val="16"/>
          <w:color w:val="auto"/>
        </w:rPr>
      </w:pPr>
    </w:p>
    <w:p>
      <w:pPr>
        <w:ind w:left="420" w:right="180" w:firstLine="443"/>
        <w:spacing w:after="0" w:line="268" w:lineRule="auto"/>
        <w:tabs>
          <w:tab w:leader="none" w:pos="110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agreement of the Executive and the Firm as to forum is independent of the law that may be applied in the action, and the Executive and the Firm agree to such forum even if the forum may under applicable law choose to apply non-forum law.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80" w:top="280" w:right="259" w:bottom="1440" w:gutter="0" w:footer="0" w:header="0"/>
        </w:sectPr>
      </w:pPr>
    </w:p>
    <w:bookmarkStart w:id="199" w:name="page200"/>
    <w:bookmarkEnd w:id="199"/>
    <w:p>
      <w:pPr>
        <w:ind w:left="4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and the Firm hereby waive, to the fullest extent permitted by applicable law, any objection which the Executive or the Firm now or hereafter may have to personal jurisdiction or to the laying of venue of any such suit, action or proceeding in any court referred to in Section 14(a). The Executive and the Firm undertake not to commence any action arising out of or relating to or concerning this Agreement in any forum other than a forum described in this Section 14, or, to the extent applicable, Section 12. The Executive and the Firm agree that, to the fullest extent permitted by applicable law, a final and non-appealable judgment in any such suit, action or proceeding in any such court shall be conclusive and binding upon the Executive and the Firm.</w:t>
      </w:r>
    </w:p>
    <w:p>
      <w:pPr>
        <w:spacing w:after="0" w:line="116" w:lineRule="exact"/>
        <w:rPr>
          <w:sz w:val="20"/>
          <w:szCs w:val="20"/>
          <w:color w:val="auto"/>
        </w:rPr>
      </w:pPr>
    </w:p>
    <w:p>
      <w:pPr>
        <w:ind w:right="200" w:firstLine="921"/>
        <w:spacing w:after="0" w:line="259" w:lineRule="auto"/>
        <w:tabs>
          <w:tab w:leader="none" w:pos="1176"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GOVERNED BY AND CONSTRUED IN ACCORDANCE WITH THE LAWS OF THE STATE OF NEW YORK (UNITED STATES OF AMERICA), WITHOUT REGARD TO PRINCIPLES OF CONFLICT OF LAWS WHICH COULD CAUSE THE APPLICATION OF THE LAW OF ANY JURISDICTION OTHER THAN THE STATE OF NEW YORK.</w:t>
      </w:r>
    </w:p>
    <w:p>
      <w:pPr>
        <w:spacing w:after="0" w:line="140" w:lineRule="exact"/>
        <w:rPr>
          <w:rFonts w:ascii="Arial" w:cs="Arial" w:eastAsia="Arial" w:hAnsi="Arial"/>
          <w:sz w:val="18"/>
          <w:szCs w:val="18"/>
          <w:color w:val="auto"/>
        </w:rPr>
      </w:pPr>
    </w:p>
    <w:p>
      <w:pPr>
        <w:ind w:right="220" w:firstLine="921"/>
        <w:spacing w:after="0" w:line="259" w:lineRule="auto"/>
        <w:tabs>
          <w:tab w:leader="none" w:pos="1176"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xml:space="preserve">. (a) This Agreement shall supersede any other agreement, written or oral, pertaining to the matters covered herein, except to the extent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In the event that this Agreement is terminated pursuant to the penultimate sentence of Section 1, all agreements that had been superseded pursuant to this Section 16(a) shall revert to full effectiveness.</w:t>
      </w:r>
    </w:p>
    <w:p>
      <w:pPr>
        <w:spacing w:after="0" w:line="59" w:lineRule="exact"/>
        <w:rPr>
          <w:rFonts w:ascii="Arial" w:cs="Arial" w:eastAsia="Arial" w:hAnsi="Arial"/>
          <w:sz w:val="18"/>
          <w:szCs w:val="18"/>
          <w:color w:val="auto"/>
        </w:rPr>
      </w:pPr>
    </w:p>
    <w:p>
      <w:pPr>
        <w:ind w:left="460" w:right="160" w:firstLine="443"/>
        <w:spacing w:after="0" w:line="259" w:lineRule="auto"/>
        <w:tabs>
          <w:tab w:leader="none" w:pos="114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Other than in the case of a termination of this Agreement in accordance with the penultimate sentence of Section 1, Sections 4, 5, 6, 7, 8, 9, 10, 11, 12, 13, 14 and 15 shall survive the termination of this Agreement and the Executive’s employment and shall inure to the benefit of and be binding and enforceable by the Firm and the Executive.</w:t>
      </w:r>
    </w:p>
    <w:p>
      <w:pPr>
        <w:spacing w:after="0" w:line="59" w:lineRule="exact"/>
        <w:rPr>
          <w:rFonts w:ascii="Arial" w:cs="Arial" w:eastAsia="Arial" w:hAnsi="Arial"/>
          <w:sz w:val="18"/>
          <w:szCs w:val="18"/>
          <w:color w:val="auto"/>
        </w:rPr>
      </w:pPr>
    </w:p>
    <w:p>
      <w:pPr>
        <w:ind w:left="460" w:right="120" w:firstLine="443"/>
        <w:spacing w:after="0" w:line="306" w:lineRule="auto"/>
        <w:tabs>
          <w:tab w:leader="none" w:pos="113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Notices hereunder shall be delivered to Lazard at its principal executive office directed to the attention of its General Counsel, and to the Executive at the Executive’s last address appearing in the Firm’s employment records. All notices and other communications hereunder shall be in writing and shall be given by hand delivery to the other party or by registered or certified mail, return receipt requested, postage prepaid.</w:t>
      </w:r>
    </w:p>
    <w:p>
      <w:pPr>
        <w:spacing w:after="0" w:line="25" w:lineRule="exact"/>
        <w:rPr>
          <w:rFonts w:ascii="Arial" w:cs="Arial" w:eastAsia="Arial" w:hAnsi="Arial"/>
          <w:sz w:val="16"/>
          <w:szCs w:val="16"/>
          <w:color w:val="auto"/>
        </w:rPr>
      </w:pPr>
    </w:p>
    <w:p>
      <w:pPr>
        <w:ind w:left="460" w:right="60" w:firstLine="443"/>
        <w:spacing w:after="0" w:line="287" w:lineRule="auto"/>
        <w:tabs>
          <w:tab w:leader="none" w:pos="114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This Agreement may not be amended or modified, other than by a written agreement executed by the Executive and the Firm, nor may any provision hereof be waived other than by a writing executed by the Executive or the Firm; </w:t>
      </w:r>
      <w:r>
        <w:rPr>
          <w:rFonts w:ascii="Arial" w:cs="Arial" w:eastAsia="Arial" w:hAnsi="Arial"/>
          <w:sz w:val="16"/>
          <w:szCs w:val="16"/>
          <w:i w:val="1"/>
          <w:iCs w:val="1"/>
          <w:color w:val="auto"/>
        </w:rPr>
        <w:t>provided</w:t>
      </w:r>
      <w:r>
        <w:rPr>
          <w:rFonts w:ascii="Arial" w:cs="Arial" w:eastAsia="Arial" w:hAnsi="Arial"/>
          <w:sz w:val="16"/>
          <w:szCs w:val="16"/>
          <w:color w:val="auto"/>
        </w:rPr>
        <w:t>, that any waiver, consent, amendment or modification of any of the provisions of this Agreement shall not be effective against the Firm without the written consent of the Head of Lazard (or after the IPO Date, the CEO) or its successors, or such individual’s designee. The Executive may not, directly or indirectly (including by operation of law), assign the Executive’s rights or obligations hereunder without the prior written consent of the Head of Lazard (or after the IPO Date, the CEO) or its successors, or such individual’s designee, and any such assignment by the Executive in violation of this Agreement shall be void. This Agreement shall be binding upon the Executive’s permitted successors and assigns. Without the Executive’s consent, Lazard may at any time and from time to time assign its rights and obligations hereunder to any of its subsidiaries or affiliates (and have such rights and obligations reassigned to it or to any other subsidiary or affiliate), provided that no such assignment shall relieve Lazard from its obligations under this Agreement or impair Lazard’s right to enforce this Agreement against the Executive. This Agreement shall be binding upon and inure to the benefit of the Firm and its successors and assigns.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00" w:name="page201"/>
    <w:bookmarkEnd w:id="200"/>
    <w:p>
      <w:pPr>
        <w:ind w:firstLine="443"/>
        <w:spacing w:after="0" w:line="259" w:lineRule="auto"/>
        <w:tabs>
          <w:tab w:leader="none" w:pos="677" w:val="left"/>
        </w:tabs>
        <w:numPr>
          <w:ilvl w:val="0"/>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limiting the provisions of Section 10(a), if any provision of this Agreement is finally held to be invalid, illegal or unenforceable (whether in whole or in part), such provision shall be deemed modified to the extent, but only to the extent, of such invalidity, illegality or unenforceability and the remaining provisions shall not be affected thereby.</w:t>
      </w:r>
    </w:p>
    <w:p>
      <w:pPr>
        <w:spacing w:after="0" w:line="59" w:lineRule="exact"/>
        <w:rPr>
          <w:rFonts w:ascii="Arial" w:cs="Arial" w:eastAsia="Arial" w:hAnsi="Arial"/>
          <w:sz w:val="18"/>
          <w:szCs w:val="18"/>
          <w:color w:val="auto"/>
        </w:rPr>
      </w:pPr>
    </w:p>
    <w:p>
      <w:pPr>
        <w:ind w:right="100" w:firstLine="443"/>
        <w:spacing w:after="0" w:line="298" w:lineRule="auto"/>
        <w:tabs>
          <w:tab w:leader="none" w:pos="65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Firm may withhold from any amounts payable under this Agreement such Federal, state, local or foreign taxes as shall be required to be withheld pursuant to any applicable law or regulation, and may withhold from, and offset by, any amounts or benefits provided under this Agreement, any amounts owed to the Firm by the Executive, including, without limitation, any advances, expenses, loans, or other monies the Executive owes the Firm pursuant to a written agreement or any written policy of the Firm which has been communicated to the Executive.</w:t>
      </w:r>
    </w:p>
    <w:p>
      <w:pPr>
        <w:spacing w:after="0" w:line="31" w:lineRule="exact"/>
        <w:rPr>
          <w:rFonts w:ascii="Arial" w:cs="Arial" w:eastAsia="Arial" w:hAnsi="Arial"/>
          <w:sz w:val="16"/>
          <w:szCs w:val="16"/>
          <w:color w:val="auto"/>
        </w:rPr>
      </w:pPr>
    </w:p>
    <w:p>
      <w:pPr>
        <w:ind w:right="60" w:firstLine="443"/>
        <w:spacing w:after="0" w:line="268" w:lineRule="auto"/>
        <w:tabs>
          <w:tab w:leader="none" w:pos="68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Except as expressly provided herein, this Agreement shall not confer on any person other than the Firm and the Executive any rights or remedies hereunder. There shall be no third-party beneficiaries to this Agreement.</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captions in this Agreement are for convenience of reference only and shall not define or limit the provisions hereof.</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700" w:top="280" w:right="279" w:bottom="1440" w:gutter="0" w:footer="0" w:header="0"/>
        </w:sectPr>
      </w:pPr>
    </w:p>
    <w:bookmarkStart w:id="201" w:name="page202"/>
    <w:bookmarkEnd w:id="201"/>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Executive and the Firm hereto have caused this Agreement to be executed and delivered on the date first above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(on its behalf, and on behalf of its subsidiaries and affiliates)</w:t>
      </w:r>
    </w:p>
    <w:p>
      <w:pPr>
        <w:spacing w:after="0" w:line="25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Scott D. Hoffman</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Scott D. Hoffman</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Managing Director and General Counsel</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Kenneth M. Jacobs</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/s/ Kenneth M. Jacobs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1270</wp:posOffset>
            </wp:positionV>
            <wp:extent cx="254698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Print Name: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02" w:name="page203"/>
    <w:bookmarkEnd w:id="202"/>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(a)(b)</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Group LLC and its subsidiaries on a consolidated basis.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gridSpan w:val="2"/>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6"/>
              </w:rPr>
              <w:t>(dollars in thousands)</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from continuing operations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88"/>
              </w:rPr>
              <w:t>(181,988)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42,029</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$436,064</w:t>
            </w: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$333,676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345,676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132,785</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161,665</w:t>
            </w:r>
          </w:p>
        </w:tc>
        <w:tc>
          <w:tcPr>
            <w:tcW w:w="6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154,790</w:t>
            </w:r>
          </w:p>
        </w:tc>
        <w:tc>
          <w:tcPr>
            <w:tcW w:w="5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119,698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94,659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Operating income (loss) from continuing operations before fixed charges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(49,203)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203,694</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$590,854</w:t>
            </w: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$453,374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440,335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4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ind w:left="420"/>
              <w:spacing w:after="0"/>
              <w:rPr>
                <w:sz w:val="20"/>
                <w:szCs w:val="20"/>
                <w:color w:val="auto"/>
              </w:rPr>
            </w:pPr>
            <w:r>
              <w:rPr>
                <w:rFonts w:ascii="Arial" w:cs="Arial" w:eastAsia="Arial" w:hAnsi="Arial"/>
                <w:sz w:val="18"/>
                <w:szCs w:val="18"/>
                <w:color w:val="auto"/>
              </w:rPr>
              <w:t>Interest (c)</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113,280</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141,413</w:t>
            </w:r>
          </w:p>
        </w:tc>
        <w:tc>
          <w:tcPr>
            <w:tcW w:w="6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$136,529</w:t>
            </w:r>
          </w:p>
        </w:tc>
        <w:tc>
          <w:tcPr>
            <w:tcW w:w="5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$104,348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19,505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20,252</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18,261</w:t>
            </w: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15,350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132,785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161,665</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$154,790</w:t>
            </w: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$ 119,698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4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 (e)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(f)</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1.26(g)</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4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Deficiency in the coverage of operating income (loss) from continuing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operations before fixed charges to total fixed charges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181,988</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4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-1767840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-1767840</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-1767840</wp:posOffset>
            </wp:positionV>
            <wp:extent cx="3873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-1767840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-1767840</wp:posOffset>
            </wp:positionV>
            <wp:extent cx="2159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-1767840</wp:posOffset>
            </wp:positionV>
            <wp:extent cx="3873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-1767840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-1767840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-1767840</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-1767840</wp:posOffset>
            </wp:positionV>
            <wp:extent cx="113601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136015"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-910590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-910590</wp:posOffset>
            </wp:positionV>
            <wp:extent cx="2159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-910590</wp:posOffset>
            </wp:positionV>
            <wp:extent cx="3873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-910590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-910590</wp:posOffset>
            </wp:positionV>
            <wp:extent cx="215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-910590</wp:posOffset>
            </wp:positionV>
            <wp:extent cx="3873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-910590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-910590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-910590</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-910590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-910590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-910590</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-910590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-910590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-910590</wp:posOffset>
            </wp:positionV>
            <wp:extent cx="2159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-610235</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-610235</wp:posOffset>
            </wp:positionV>
            <wp:extent cx="2159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-610235</wp:posOffset>
            </wp:positionV>
            <wp:extent cx="3873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-610235</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-610235</wp:posOffset>
            </wp:positionV>
            <wp:extent cx="2159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-610235</wp:posOffset>
            </wp:positionV>
            <wp:extent cx="3873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-610235</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-610235</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-610235</wp:posOffset>
            </wp:positionV>
            <wp:extent cx="2159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-610235</wp:posOffset>
            </wp:positionV>
            <wp:extent cx="43307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-610235</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-610235</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-610235</wp:posOffset>
            </wp:positionV>
            <wp:extent cx="2159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-172720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-172720</wp:posOffset>
            </wp:positionV>
            <wp:extent cx="2159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-172720</wp:posOffset>
            </wp:positionV>
            <wp:extent cx="3873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Data presented relates to the Company’s continuing operations.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76" w:lineRule="exact"/>
        <w:rPr>
          <w:rFonts w:ascii="Arial" w:cs="Arial" w:eastAsia="Arial" w:hAnsi="Arial"/>
          <w:sz w:val="18"/>
          <w:szCs w:val="18"/>
          <w:color w:val="auto"/>
        </w:rPr>
      </w:pPr>
    </w:p>
    <w:p>
      <w:pPr>
        <w:jc w:val="both"/>
        <w:ind w:left="780" w:right="180" w:hanging="326"/>
        <w:spacing w:after="0" w:line="259" w:lineRule="auto"/>
        <w:tabs>
          <w:tab w:leader="none" w:pos="7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earnings for the years ended December 31, 2009, 2008, 2007, 2006 and 2005 represent income from continuing operations before income taxes, and, for the period prior to May 10, 2005, the date of Lazard Ltd’s equity public offering, before distributions for services rendered by managing directors and employee members of LAM, and before fixed charges, and</w:t>
      </w:r>
    </w:p>
    <w:p>
      <w:pPr>
        <w:spacing w:after="0" w:line="45" w:lineRule="exact"/>
        <w:rPr>
          <w:rFonts w:ascii="Arial" w:cs="Arial" w:eastAsia="Arial" w:hAnsi="Arial"/>
          <w:sz w:val="18"/>
          <w:szCs w:val="18"/>
          <w:color w:val="auto"/>
        </w:rPr>
      </w:pPr>
    </w:p>
    <w:p>
      <w:pPr>
        <w:ind w:left="780" w:right="100" w:hanging="326"/>
        <w:spacing w:after="0" w:line="268" w:lineRule="auto"/>
        <w:tabs>
          <w:tab w:leader="none" w:pos="7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fixed charges represent the interest expense from continuing operations and the portion of rental expense from continuing operations which represents an appropriate interest factor.</w:t>
      </w:r>
    </w:p>
    <w:p>
      <w:pPr>
        <w:spacing w:after="0" w:line="37"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76"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results of operations for the period prior to Lazard Ltd’s equity public offering and the financing transactions on May 10, 2005 are not comparable to results of operations for subsequent periods as described below:</w:t>
      </w:r>
    </w:p>
    <w:p>
      <w:pPr>
        <w:spacing w:after="0" w:line="37" w:lineRule="exact"/>
        <w:rPr>
          <w:rFonts w:ascii="Arial" w:cs="Arial" w:eastAsia="Arial" w:hAnsi="Arial"/>
          <w:sz w:val="18"/>
          <w:szCs w:val="18"/>
          <w:color w:val="auto"/>
        </w:rPr>
      </w:pPr>
    </w:p>
    <w:p>
      <w:pPr>
        <w:ind w:left="780" w:right="80" w:hanging="326"/>
        <w:spacing w:after="0" w:line="294" w:lineRule="auto"/>
        <w:tabs>
          <w:tab w:leader="none" w:pos="78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payment for services rendered by Lazard Group’s managing directors, which, as a result of Lazard Group operating as a limited liability company, historically had been accounted for as distributions from members’ capital, or in some cases as net income attributable to noncontrolling interests, rather than as compensation and benefits expense. As a result, Lazard Group’s operating income historically has not reflected payments for services rendered by its managing directors. For periods subsequent to the consummation of the equity public offering, the consolidated financial statements of Lazard Group include all payments for services rendered by its managing directors in compensation and benefits expense;</w:t>
      </w:r>
    </w:p>
    <w:p>
      <w:pPr>
        <w:spacing w:after="0" w:line="21" w:lineRule="exact"/>
        <w:rPr>
          <w:rFonts w:ascii="Arial" w:cs="Arial" w:eastAsia="Arial" w:hAnsi="Arial"/>
          <w:sz w:val="16"/>
          <w:szCs w:val="16"/>
          <w:color w:val="auto"/>
        </w:rPr>
      </w:pPr>
    </w:p>
    <w:p>
      <w:pPr>
        <w:ind w:left="780" w:hanging="326"/>
        <w:spacing w:after="0"/>
        <w:tabs>
          <w:tab w:leader="none" w:pos="7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use of proceeds from the financing transactions;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net incremental expense related to the financing transactions.</w:t>
      </w:r>
    </w:p>
    <w:p>
      <w:pPr>
        <w:sectPr>
          <w:pgSz w:w="11900" w:h="16838" w:orient="portrait"/>
          <w:cols w:equalWidth="0" w:num="1">
            <w:col w:w="11420"/>
          </w:cols>
          <w:pgMar w:left="240" w:top="126" w:right="239" w:bottom="1440" w:gutter="0" w:footer="0" w:header="0"/>
        </w:sectPr>
      </w:pPr>
    </w:p>
    <w:bookmarkStart w:id="203" w:name="page204"/>
    <w:bookmarkEnd w:id="203"/>
    <w:p>
      <w:pPr>
        <w:ind w:left="452" w:hanging="452"/>
        <w:spacing w:after="0" w:line="283" w:lineRule="auto"/>
        <w:tabs>
          <w:tab w:leader="none" w:pos="452" w:val="left"/>
        </w:tabs>
        <w:numPr>
          <w:ilvl w:val="0"/>
          <w:numId w:val="1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income (loss) for the year ended December 31, 2009 is presented after giving effect to (i) a restructuring expense of $62,550 in the first quarter of 2009, (ii) the acceleration of amortization expense of $86,514 relating to the vesting of RSUs held by Lazard’s former Chairman and Chief Executive Officer as the result of his death in October 2009 and (iii) the acceleration of amortization expense of $60,512 relating to the accelerated vesting of the unamortized portion of previously awarded deferred cash incentive awards (see Notes 17 and 19 of Notes to Consolidated Financial Statements). Excluding the impact of such items, the ratio of earnings to fixed charges would have been 1.21.</w:t>
      </w:r>
    </w:p>
    <w:p>
      <w:pPr>
        <w:spacing w:after="0" w:line="2" w:lineRule="exact"/>
        <w:rPr>
          <w:rFonts w:ascii="Arial" w:cs="Arial" w:eastAsia="Arial" w:hAnsi="Arial"/>
          <w:sz w:val="16"/>
          <w:szCs w:val="16"/>
          <w:color w:val="auto"/>
        </w:rPr>
      </w:pPr>
    </w:p>
    <w:p>
      <w:pPr>
        <w:ind w:left="452" w:right="20" w:hanging="452"/>
        <w:spacing w:after="0" w:line="323" w:lineRule="auto"/>
        <w:tabs>
          <w:tab w:leader="none" w:pos="452" w:val="left"/>
        </w:tabs>
        <w:numPr>
          <w:ilvl w:val="0"/>
          <w:numId w:val="121"/>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2008 is presented after giving effect to a charge of $199,550 relating to the LAM Merger (see Note 8 of Notes to Consolidated Financial Statements). Excluding the impact of such charge, the ratio of earnings to fixed charges would have been 2.49.</w:t>
      </w:r>
    </w:p>
    <w:p>
      <w:pPr>
        <w:sectPr>
          <w:pgSz w:w="11900" w:h="16838" w:orient="portrait"/>
          <w:cols w:equalWidth="0" w:num="1">
            <w:col w:w="11392"/>
          </w:cols>
          <w:pgMar w:left="248" w:top="280" w:right="25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760" w:type="dxa"/>
            <w:vAlign w:val="bottom"/>
            <w:gridSpan w:val="2"/>
          </w:tcPr>
          <w:p>
            <w:pPr>
              <w:ind w:left="680"/>
              <w:spacing w:after="0"/>
              <w:rPr>
                <w:sz w:val="20"/>
                <w:szCs w:val="20"/>
                <w:color w:val="auto"/>
              </w:rPr>
            </w:pPr>
            <w:r>
              <w:rPr>
                <w:rFonts w:ascii="Arial" w:cs="Arial" w:eastAsia="Arial" w:hAnsi="Arial"/>
                <w:sz w:val="18"/>
                <w:szCs w:val="18"/>
                <w:b w:val="1"/>
                <w:bCs w:val="1"/>
                <w:color w:val="auto"/>
              </w:rPr>
              <w:t>SUBSIDIARIES OF REGISTRANT</w:t>
            </w:r>
          </w:p>
        </w:tc>
      </w:tr>
      <w:tr>
        <w:trPr>
          <w:trHeight w:val="312"/>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24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7"/>
              </w:rPr>
              <w:t>COUNTRY OF ORGANIZATION</w:t>
            </w:r>
          </w:p>
        </w:tc>
      </w:tr>
      <w:tr>
        <w:trPr>
          <w:trHeight w:val="95"/>
        </w:trPr>
        <w:tc>
          <w:tcPr>
            <w:tcW w:w="2060" w:type="dxa"/>
            <w:vAlign w:val="bottom"/>
            <w:tcBorders>
              <w:bottom w:val="single" w:sz="8" w:color="808080"/>
            </w:tcBorders>
          </w:tcPr>
          <w:p>
            <w:pPr>
              <w:spacing w:after="0"/>
              <w:rPr>
                <w:sz w:val="8"/>
                <w:szCs w:val="8"/>
                <w:color w:val="auto"/>
              </w:rPr>
            </w:pPr>
          </w:p>
        </w:tc>
        <w:tc>
          <w:tcPr>
            <w:tcW w:w="1600" w:type="dxa"/>
            <w:vAlign w:val="bottom"/>
          </w:tcPr>
          <w:p>
            <w:pPr>
              <w:spacing w:after="0"/>
              <w:rPr>
                <w:sz w:val="8"/>
                <w:szCs w:val="8"/>
                <w:color w:val="auto"/>
              </w:rPr>
            </w:pPr>
          </w:p>
        </w:tc>
        <w:tc>
          <w:tcPr>
            <w:tcW w:w="2400" w:type="dxa"/>
            <w:vAlign w:val="bottom"/>
          </w:tcPr>
          <w:p>
            <w:pPr>
              <w:spacing w:after="0"/>
              <w:rPr>
                <w:sz w:val="8"/>
                <w:szCs w:val="8"/>
                <w:color w:val="auto"/>
              </w:rPr>
            </w:pPr>
          </w:p>
        </w:tc>
        <w:tc>
          <w:tcPr>
            <w:tcW w:w="5360" w:type="dxa"/>
            <w:vAlign w:val="bottom"/>
            <w:tcBorders>
              <w:bottom w:val="single" w:sz="8" w:color="808080"/>
            </w:tcBorders>
          </w:tcPr>
          <w:p>
            <w:pPr>
              <w:spacing w:after="0"/>
              <w:rPr>
                <w:sz w:val="8"/>
                <w:szCs w:val="8"/>
                <w:color w:val="auto"/>
              </w:rPr>
            </w:pPr>
          </w:p>
        </w:tc>
      </w:tr>
      <w:tr>
        <w:trPr>
          <w:trHeight w:val="309"/>
        </w:trPr>
        <w:tc>
          <w:tcPr>
            <w:tcW w:w="3660" w:type="dxa"/>
            <w:vAlign w:val="bottom"/>
            <w:gridSpan w:val="2"/>
          </w:tcPr>
          <w:p>
            <w:pPr>
              <w:spacing w:after="0"/>
              <w:rPr>
                <w:sz w:val="20"/>
                <w:szCs w:val="20"/>
                <w:color w:val="auto"/>
              </w:rPr>
            </w:pPr>
            <w:r>
              <w:rPr>
                <w:rFonts w:ascii="Arial" w:cs="Arial" w:eastAsia="Arial" w:hAnsi="Arial"/>
                <w:sz w:val="18"/>
                <w:szCs w:val="18"/>
                <w:color w:val="auto"/>
              </w:rPr>
              <w:t>Lazard International Holdings, Inc.</w:t>
            </w:r>
          </w:p>
        </w:tc>
        <w:tc>
          <w:tcPr>
            <w:tcW w:w="24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Frères &amp; Co. LLC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Asset Management LLC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Funding Limited LLC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&amp; Co., Holdings Limited</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&amp; Co., Limited</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Compagnie Financière Lazard Frères SAS</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Frères Gestion SAS</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Frères Banque SA</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22"/>
        </w:trPr>
        <w:tc>
          <w:tcPr>
            <w:tcW w:w="3660" w:type="dxa"/>
            <w:vAlign w:val="bottom"/>
            <w:gridSpan w:val="2"/>
          </w:tcPr>
          <w:p>
            <w:pPr>
              <w:spacing w:after="0"/>
              <w:rPr>
                <w:sz w:val="20"/>
                <w:szCs w:val="20"/>
                <w:color w:val="auto"/>
              </w:rPr>
            </w:pPr>
            <w:r>
              <w:rPr>
                <w:rFonts w:ascii="Arial" w:cs="Arial" w:eastAsia="Arial" w:hAnsi="Arial"/>
                <w:sz w:val="18"/>
                <w:szCs w:val="18"/>
                <w:color w:val="auto"/>
              </w:rPr>
              <w:t>Maison Lazard SAS</w:t>
            </w:r>
          </w:p>
        </w:tc>
        <w:tc>
          <w:tcPr>
            <w:tcW w:w="240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bl>
    <w:p>
      <w:pPr>
        <w:sectPr>
          <w:pgSz w:w="11900" w:h="16838" w:orient="portrait"/>
          <w:cols w:equalWidth="0" w:num="1">
            <w:col w:w="11420"/>
          </w:cols>
          <w:pgMar w:left="240" w:top="125"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color w:val="auto"/>
        </w:rPr>
        <w:t>We consent to the incorporation by reference in Registration Statement No. 333-144331 on Form S-3 of our reports dated February 26, 2010, relating to the consolidated financial statements and financial statement schedule of Lazard Group LLC, and the effectiveness of Lazard Group LLC’s internal control over financial reporting appearing in this Annual Report on Form 10-K of Lazard Group LLC for the year ended December 31, 2009.</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2010</w:t>
      </w:r>
    </w:p>
    <w:p>
      <w:pPr>
        <w:sectPr>
          <w:pgSz w:w="11900" w:h="16838" w:orient="portrait"/>
          <w:cols w:equalWidth="0" w:num="1">
            <w:col w:w="11420"/>
          </w:cols>
          <w:pgMar w:left="240" w:top="125"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31.1</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58" w:lineRule="exact"/>
        <w:rPr>
          <w:sz w:val="20"/>
          <w:szCs w:val="20"/>
          <w:color w:val="auto"/>
        </w:rPr>
      </w:pPr>
    </w:p>
    <w:p>
      <w:pPr>
        <w:ind w:left="640" w:hanging="176"/>
        <w:spacing w:after="0"/>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2009 of Lazard Group LLC (the “Registrant”);</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760" w:firstLine="443"/>
        <w:spacing w:after="0" w:line="325" w:lineRule="auto"/>
        <w:tabs>
          <w:tab w:leader="none" w:pos="1137" w:val="left"/>
        </w:tabs>
        <w:numPr>
          <w:ilvl w:val="1"/>
          <w:numId w:val="1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00" w:firstLine="464"/>
        <w:spacing w:after="0" w:line="325" w:lineRule="auto"/>
        <w:tabs>
          <w:tab w:leader="none" w:pos="632"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2010</w:t>
      </w:r>
    </w:p>
    <w:p>
      <w:pPr>
        <w:spacing w:after="0" w:line="3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31.2</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Michael J. Castellano, certify that:</w:t>
      </w:r>
    </w:p>
    <w:p>
      <w:pPr>
        <w:spacing w:after="0" w:line="158" w:lineRule="exact"/>
        <w:rPr>
          <w:sz w:val="20"/>
          <w:szCs w:val="20"/>
          <w:color w:val="auto"/>
        </w:rPr>
      </w:pPr>
    </w:p>
    <w:p>
      <w:pPr>
        <w:ind w:left="640" w:hanging="176"/>
        <w:spacing w:after="0"/>
        <w:tabs>
          <w:tab w:leader="none" w:pos="6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2009 of Lazard Group LLC (the “Registrant”);</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760" w:firstLine="443"/>
        <w:spacing w:after="0" w:line="325" w:lineRule="auto"/>
        <w:tabs>
          <w:tab w:leader="none" w:pos="1137" w:val="left"/>
        </w:tabs>
        <w:numPr>
          <w:ilvl w:val="1"/>
          <w:numId w:val="1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00" w:firstLine="464"/>
        <w:spacing w:after="0" w:line="325" w:lineRule="auto"/>
        <w:tabs>
          <w:tab w:leader="none" w:pos="632"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2010</w:t>
      </w:r>
    </w:p>
    <w:p>
      <w:pPr>
        <w:spacing w:after="0" w:line="3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Castellano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6"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Annual Report on Form 10-K for the year ended December 31, 2009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4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6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32.2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Annual Report on Form 10-K for the year ended December 31, 2009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4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Castellano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
      <w:numFmt w:val="bullet"/>
      <w:start w:val="1"/>
    </w:lvl>
  </w:abstractNum>
  <w:abstractNum w:abstractNumId="5">
    <w:nsid w:val="5FF87E05"/>
    <w:multiLevelType w:val="hybridMultilevel"/>
    <w:lvl w:ilvl="0">
      <w:lvlJc w:val="left"/>
      <w:lvlText w:val="•"/>
      <w:numFmt w:val="bullet"/>
      <w:start w:val="1"/>
    </w:lvl>
  </w:abstractNum>
  <w:abstractNum w:abstractNumId="6">
    <w:nsid w:val="2F305DEF"/>
    <w:multiLevelType w:val="hybridMultilevel"/>
    <w:lvl w:ilvl="0">
      <w:lvlJc w:val="left"/>
      <w:lvlText w:val="•"/>
      <w:numFmt w:val="bullet"/>
      <w:start w:val="1"/>
    </w:lvl>
  </w:abstractNum>
  <w:abstractNum w:abstractNumId="7">
    <w:nsid w:val="25A70BF7"/>
    <w:multiLevelType w:val="hybridMultilevel"/>
    <w:lvl w:ilvl="0">
      <w:lvlJc w:val="left"/>
      <w:lvlText w:val="•"/>
      <w:numFmt w:val="bullet"/>
      <w:start w:val="1"/>
    </w:lvl>
  </w:abstractNum>
  <w:abstractNum w:abstractNumId="8">
    <w:nsid w:val="1DBABF00"/>
    <w:multiLevelType w:val="hybridMultilevel"/>
    <w:lvl w:ilvl="0">
      <w:lvlJc w:val="left"/>
      <w:lvlText w:val="•"/>
      <w:numFmt w:val="bullet"/>
      <w:start w:val="1"/>
    </w:lvl>
  </w:abstractNum>
  <w:abstractNum w:abstractNumId="9">
    <w:nsid w:val="4AD084E9"/>
    <w:multiLevelType w:val="hybridMultilevel"/>
    <w:lvl w:ilvl="0">
      <w:lvlJc w:val="left"/>
      <w:lvlText w:val="•"/>
      <w:numFmt w:val="bullet"/>
      <w:start w:val="1"/>
    </w:lvl>
  </w:abstractNum>
  <w:abstractNum w:abstractNumId="10">
    <w:nsid w:val="1F48EAA1"/>
    <w:multiLevelType w:val="hybridMultilevel"/>
    <w:lvl w:ilvl="0">
      <w:lvlJc w:val="left"/>
      <w:lvlText w:val="•"/>
      <w:numFmt w:val="bullet"/>
      <w:start w:val="1"/>
    </w:lvl>
  </w:abstractNum>
  <w:abstractNum w:abstractNumId="11">
    <w:nsid w:val="1381823A"/>
    <w:multiLevelType w:val="hybridMultilevel"/>
    <w:lvl w:ilvl="0">
      <w:lvlJc w:val="left"/>
      <w:lvlText w:val="•"/>
      <w:numFmt w:val="bullet"/>
      <w:start w:val="1"/>
    </w:lvl>
  </w:abstractNum>
  <w:abstractNum w:abstractNumId="12">
    <w:nsid w:val="5DB70AE5"/>
    <w:multiLevelType w:val="hybridMultilevel"/>
    <w:lvl w:ilvl="0">
      <w:lvlJc w:val="left"/>
      <w:lvlText w:val="•"/>
      <w:numFmt w:val="bullet"/>
      <w:start w:val="1"/>
    </w:lvl>
  </w:abstractNum>
  <w:abstractNum w:abstractNumId="13">
    <w:nsid w:val="100F8FCA"/>
    <w:multiLevelType w:val="hybridMultilevel"/>
    <w:lvl w:ilvl="0">
      <w:lvlJc w:val="left"/>
      <w:lvlText w:val="•"/>
      <w:numFmt w:val="bullet"/>
      <w:start w:val="1"/>
    </w:lvl>
  </w:abstractNum>
  <w:abstractNum w:abstractNumId="14">
    <w:nsid w:val="6590700B"/>
    <w:multiLevelType w:val="hybridMultilevel"/>
    <w:lvl w:ilvl="0">
      <w:lvlJc w:val="left"/>
      <w:lvlText w:val="•"/>
      <w:numFmt w:val="bullet"/>
      <w:start w:val="1"/>
    </w:lvl>
  </w:abstractNum>
  <w:abstractNum w:abstractNumId="15">
    <w:nsid w:val="15014ACB"/>
    <w:multiLevelType w:val="hybridMultilevel"/>
    <w:lvl w:ilvl="0">
      <w:lvlJc w:val="left"/>
      <w:lvlText w:val="•"/>
      <w:numFmt w:val="bullet"/>
      <w:start w:val="1"/>
    </w:lvl>
  </w:abstractNum>
  <w:abstractNum w:abstractNumId="16">
    <w:nsid w:val="5F5E7FD0"/>
    <w:multiLevelType w:val="hybridMultilevel"/>
    <w:lvl w:ilvl="0">
      <w:lvlJc w:val="left"/>
      <w:lvlText w:val="•"/>
      <w:numFmt w:val="bullet"/>
      <w:start w:val="1"/>
    </w:lvl>
  </w:abstractNum>
  <w:abstractNum w:abstractNumId="17">
    <w:nsid w:val="98A3148"/>
    <w:multiLevelType w:val="hybridMultilevel"/>
    <w:lvl w:ilvl="0">
      <w:lvlJc w:val="left"/>
      <w:lvlText w:val="•"/>
      <w:numFmt w:val="bullet"/>
      <w:start w:val="1"/>
    </w:lvl>
  </w:abstractNum>
  <w:abstractNum w:abstractNumId="18">
    <w:nsid w:val="799D0247"/>
    <w:multiLevelType w:val="hybridMultilevel"/>
    <w:lvl w:ilvl="0">
      <w:lvlJc w:val="left"/>
      <w:lvlText w:val="•"/>
      <w:numFmt w:val="bullet"/>
      <w:start w:val="1"/>
    </w:lvl>
  </w:abstractNum>
  <w:abstractNum w:abstractNumId="19">
    <w:nsid w:val="6B94764"/>
    <w:multiLevelType w:val="hybridMultilevel"/>
    <w:lvl w:ilvl="0">
      <w:lvlJc w:val="left"/>
      <w:lvlText w:val="•"/>
      <w:numFmt w:val="bullet"/>
      <w:start w:val="1"/>
    </w:lvl>
  </w:abstractNum>
  <w:abstractNum w:abstractNumId="20">
    <w:nsid w:val="42C296BD"/>
    <w:multiLevelType w:val="hybridMultilevel"/>
    <w:lvl w:ilvl="0">
      <w:lvlJc w:val="left"/>
      <w:lvlText w:val="(%1)"/>
      <w:numFmt w:val="lowerLetter"/>
      <w:start w:val="3"/>
    </w:lvl>
  </w:abstractNum>
  <w:abstractNum w:abstractNumId="21">
    <w:nsid w:val="168E121F"/>
    <w:multiLevelType w:val="hybridMultilevel"/>
    <w:lvl w:ilvl="0">
      <w:lvlJc w:val="left"/>
      <w:lvlText w:val="•"/>
      <w:numFmt w:val="bullet"/>
      <w:start w:val="1"/>
    </w:lvl>
  </w:abstractNum>
  <w:abstractNum w:abstractNumId="22">
    <w:nsid w:val="1EBA5D23"/>
    <w:multiLevelType w:val="hybridMultilevel"/>
    <w:lvl w:ilvl="0">
      <w:lvlJc w:val="left"/>
      <w:lvlText w:val="(%1)"/>
      <w:numFmt w:val="lowerLetter"/>
      <w:start w:val="1"/>
    </w:lvl>
  </w:abstractNum>
  <w:abstractNum w:abstractNumId="23">
    <w:nsid w:val="661E3F1E"/>
    <w:multiLevelType w:val="hybridMultilevel"/>
    <w:lvl w:ilvl="0">
      <w:lvlJc w:val="left"/>
      <w:lvlText w:val="(%1)"/>
      <w:numFmt w:val="lowerLetter"/>
      <w:start w:val="1"/>
    </w:lvl>
  </w:abstractNum>
  <w:abstractNum w:abstractNumId="24">
    <w:nsid w:val="5DC79EA8"/>
    <w:multiLevelType w:val="hybridMultilevel"/>
    <w:lvl w:ilvl="0">
      <w:lvlJc w:val="left"/>
      <w:lvlText w:val="(%1)"/>
      <w:numFmt w:val="lowerLetter"/>
      <w:start w:val="1"/>
    </w:lvl>
  </w:abstractNum>
  <w:abstractNum w:abstractNumId="25">
    <w:nsid w:val="540A471C"/>
    <w:multiLevelType w:val="hybridMultilevel"/>
    <w:lvl w:ilvl="0">
      <w:lvlJc w:val="left"/>
      <w:lvlText w:val="(%1)"/>
      <w:numFmt w:val="lowerLetter"/>
      <w:start w:val="1"/>
    </w:lvl>
  </w:abstractNum>
  <w:abstractNum w:abstractNumId="26">
    <w:nsid w:val="7BD3EE7B"/>
    <w:multiLevelType w:val="hybridMultilevel"/>
    <w:lvl w:ilvl="0">
      <w:lvlJc w:val="left"/>
      <w:lvlText w:val="(%1)"/>
      <w:numFmt w:val="lowerLetter"/>
      <w:start w:val="1"/>
    </w:lvl>
  </w:abstractNum>
  <w:abstractNum w:abstractNumId="27">
    <w:nsid w:val="51D9C564"/>
    <w:multiLevelType w:val="hybridMultilevel"/>
    <w:lvl w:ilvl="0">
      <w:lvlJc w:val="left"/>
      <w:lvlText w:val="(%1)"/>
      <w:numFmt w:val="lowerLetter"/>
      <w:start w:val="1"/>
    </w:lvl>
  </w:abstractNum>
  <w:abstractNum w:abstractNumId="28">
    <w:nsid w:val="613EFDC5"/>
    <w:multiLevelType w:val="hybridMultilevel"/>
    <w:lvl w:ilvl="0">
      <w:lvlJc w:val="left"/>
      <w:lvlText w:val="(%1)"/>
      <w:numFmt w:val="lowerLetter"/>
      <w:start w:val="1"/>
    </w:lvl>
  </w:abstractNum>
  <w:abstractNum w:abstractNumId="29">
    <w:nsid w:val="BF72B14"/>
    <w:multiLevelType w:val="hybridMultilevel"/>
    <w:lvl w:ilvl="0">
      <w:lvlJc w:val="left"/>
      <w:lvlText w:val="(%1)"/>
      <w:numFmt w:val="lowerLetter"/>
      <w:start w:val="1"/>
    </w:lvl>
  </w:abstractNum>
  <w:abstractNum w:abstractNumId="30">
    <w:nsid w:val="11447B73"/>
    <w:multiLevelType w:val="hybridMultilevel"/>
    <w:lvl w:ilvl="0">
      <w:lvlJc w:val="left"/>
      <w:lvlText w:val="(%1)"/>
      <w:numFmt w:val="lowerLetter"/>
      <w:start w:val="1"/>
    </w:lvl>
  </w:abstractNum>
  <w:abstractNum w:abstractNumId="31">
    <w:nsid w:val="42963E5A"/>
    <w:multiLevelType w:val="hybridMultilevel"/>
    <w:lvl w:ilvl="0">
      <w:lvlJc w:val="left"/>
      <w:lvlText w:val="(%1)"/>
      <w:numFmt w:val="lowerLetter"/>
      <w:start w:val="2"/>
    </w:lvl>
  </w:abstractNum>
  <w:abstractNum w:abstractNumId="32">
    <w:nsid w:val="A0382C5"/>
    <w:multiLevelType w:val="hybridMultilevel"/>
    <w:lvl w:ilvl="0">
      <w:lvlJc w:val="left"/>
      <w:lvlText w:val="(%1)"/>
      <w:numFmt w:val="lowerLetter"/>
      <w:start w:val="1"/>
    </w:lvl>
  </w:abstractNum>
  <w:abstractNum w:abstractNumId="33">
    <w:nsid w:val="8F2B15E"/>
    <w:multiLevelType w:val="hybridMultilevel"/>
    <w:lvl w:ilvl="0">
      <w:lvlJc w:val="left"/>
      <w:lvlText w:val="(%1)"/>
      <w:numFmt w:val="lowerRoman"/>
      <w:start w:val="1"/>
    </w:lvl>
  </w:abstractNum>
  <w:abstractNum w:abstractNumId="34">
    <w:nsid w:val="1A32234B"/>
    <w:multiLevelType w:val="hybridMultilevel"/>
    <w:lvl w:ilvl="0">
      <w:lvlJc w:val="left"/>
      <w:lvlText w:val="(%1)"/>
      <w:numFmt w:val="lowerRoman"/>
      <w:start w:val="3"/>
    </w:lvl>
  </w:abstractNum>
  <w:abstractNum w:abstractNumId="35">
    <w:nsid w:val="3B0FD379"/>
    <w:multiLevelType w:val="hybridMultilevel"/>
    <w:lvl w:ilvl="0">
      <w:lvlJc w:val="left"/>
      <w:lvlText w:val="(%1)"/>
      <w:numFmt w:val="lowerLetter"/>
      <w:start w:val="1"/>
    </w:lvl>
  </w:abstractNum>
  <w:abstractNum w:abstractNumId="36">
    <w:nsid w:val="68EB2F63"/>
    <w:multiLevelType w:val="hybridMultilevel"/>
    <w:lvl w:ilvl="0">
      <w:lvlJc w:val="left"/>
      <w:lvlText w:val="•"/>
      <w:numFmt w:val="bullet"/>
      <w:start w:val="1"/>
    </w:lvl>
  </w:abstractNum>
  <w:abstractNum w:abstractNumId="37">
    <w:nsid w:val="4962813B"/>
    <w:multiLevelType w:val="hybridMultilevel"/>
    <w:lvl w:ilvl="0">
      <w:lvlJc w:val="left"/>
      <w:lvlText w:val="•"/>
      <w:numFmt w:val="bullet"/>
      <w:start w:val="1"/>
    </w:lvl>
  </w:abstractNum>
  <w:abstractNum w:abstractNumId="38">
    <w:nsid w:val="60B6DF70"/>
    <w:multiLevelType w:val="hybridMultilevel"/>
    <w:lvl w:ilvl="0">
      <w:lvlJc w:val="left"/>
      <w:lvlText w:val="•"/>
      <w:numFmt w:val="bullet"/>
      <w:start w:val="1"/>
    </w:lvl>
  </w:abstractNum>
  <w:abstractNum w:abstractNumId="39">
    <w:nsid w:val="6A5EE64"/>
    <w:multiLevelType w:val="hybridMultilevel"/>
    <w:lvl w:ilvl="0">
      <w:lvlJc w:val="left"/>
      <w:lvlText w:val="•"/>
      <w:numFmt w:val="bullet"/>
      <w:start w:val="1"/>
    </w:lvl>
  </w:abstractNum>
  <w:abstractNum w:abstractNumId="40">
    <w:nsid w:val="14330624"/>
    <w:multiLevelType w:val="hybridMultilevel"/>
    <w:lvl w:ilvl="0">
      <w:lvlJc w:val="left"/>
      <w:lvlText w:val="•"/>
      <w:numFmt w:val="bullet"/>
      <w:start w:val="1"/>
    </w:lvl>
  </w:abstractNum>
  <w:abstractNum w:abstractNumId="41">
    <w:nsid w:val="7FFFCA11"/>
    <w:multiLevelType w:val="hybridMultilevel"/>
    <w:lvl w:ilvl="0">
      <w:lvlJc w:val="left"/>
      <w:lvlText w:val="•"/>
      <w:numFmt w:val="bullet"/>
      <w:start w:val="1"/>
    </w:lvl>
  </w:abstractNum>
  <w:abstractNum w:abstractNumId="42">
    <w:nsid w:val="1A27709E"/>
    <w:multiLevelType w:val="hybridMultilevel"/>
    <w:lvl w:ilvl="0">
      <w:lvlJc w:val="left"/>
      <w:lvlText w:val="(*)"/>
      <w:numFmt w:val="bullet"/>
      <w:start w:val="1"/>
    </w:lvl>
  </w:abstractNum>
  <w:abstractNum w:abstractNumId="43">
    <w:nsid w:val="71EA1109"/>
    <w:multiLevelType w:val="hybridMultilevel"/>
    <w:lvl w:ilvl="0">
      <w:lvlJc w:val="left"/>
      <w:lvlText w:val="%1."/>
      <w:numFmt w:val="decimal"/>
      <w:start w:val="1"/>
    </w:lvl>
  </w:abstractNum>
  <w:abstractNum w:abstractNumId="44">
    <w:nsid w:val="100F59DC"/>
    <w:multiLevelType w:val="hybridMultilevel"/>
    <w:lvl w:ilvl="0">
      <w:lvlJc w:val="left"/>
      <w:lvlText w:val="•"/>
      <w:numFmt w:val="bullet"/>
      <w:start w:val="1"/>
    </w:lvl>
  </w:abstractNum>
  <w:abstractNum w:abstractNumId="45">
    <w:nsid w:val="7FB7E0AA"/>
    <w:multiLevelType w:val="hybridMultilevel"/>
    <w:lvl w:ilvl="0">
      <w:lvlJc w:val="left"/>
      <w:lvlText w:val="•"/>
      <w:numFmt w:val="bullet"/>
      <w:start w:val="1"/>
    </w:lvl>
  </w:abstractNum>
  <w:abstractNum w:abstractNumId="46">
    <w:nsid w:val="6EB5BD4"/>
    <w:multiLevelType w:val="hybridMultilevel"/>
    <w:lvl w:ilvl="0">
      <w:lvlJc w:val="left"/>
      <w:lvlText w:val="•"/>
      <w:numFmt w:val="bullet"/>
      <w:start w:val="1"/>
    </w:lvl>
  </w:abstractNum>
  <w:abstractNum w:abstractNumId="47">
    <w:nsid w:val="6F6DD9AC"/>
    <w:multiLevelType w:val="hybridMultilevel"/>
    <w:lvl w:ilvl="0">
      <w:lvlJc w:val="left"/>
      <w:lvlText w:val="%1."/>
      <w:numFmt w:val="decimal"/>
      <w:start w:val="4"/>
    </w:lvl>
  </w:abstractNum>
  <w:abstractNum w:abstractNumId="48">
    <w:nsid w:val="94211F2"/>
    <w:multiLevelType w:val="hybridMultilevel"/>
    <w:lvl w:ilvl="0">
      <w:lvlJc w:val="left"/>
      <w:lvlText w:val="%1."/>
      <w:numFmt w:val="decimal"/>
      <w:start w:val="5"/>
    </w:lvl>
  </w:abstractNum>
  <w:abstractNum w:abstractNumId="49">
    <w:nsid w:val="885E1B"/>
    <w:multiLevelType w:val="hybridMultilevel"/>
    <w:lvl w:ilvl="0">
      <w:lvlJc w:val="left"/>
      <w:lvlText w:val="%1."/>
      <w:numFmt w:val="decimal"/>
      <w:start w:val="6"/>
    </w:lvl>
  </w:abstractNum>
  <w:abstractNum w:abstractNumId="50">
    <w:nsid w:val="76272110"/>
    <w:multiLevelType w:val="hybridMultilevel"/>
    <w:lvl w:ilvl="0">
      <w:lvlJc w:val="left"/>
      <w:lvlText w:val="%1."/>
      <w:numFmt w:val="decimal"/>
      <w:start w:val="7"/>
    </w:lvl>
  </w:abstractNum>
  <w:abstractNum w:abstractNumId="51">
    <w:nsid w:val="4C04A8AF"/>
    <w:multiLevelType w:val="hybridMultilevel"/>
    <w:lvl w:ilvl="0">
      <w:lvlJc w:val="left"/>
      <w:lvlText w:val="%1."/>
      <w:numFmt w:val="decimal"/>
      <w:start w:val="8"/>
    </w:lvl>
  </w:abstractNum>
  <w:abstractNum w:abstractNumId="52">
    <w:nsid w:val="1716703B"/>
    <w:multiLevelType w:val="hybridMultilevel"/>
    <w:lvl w:ilvl="0">
      <w:lvlJc w:val="left"/>
      <w:lvlText w:val="%1."/>
      <w:numFmt w:val="decimal"/>
      <w:start w:val="9"/>
    </w:lvl>
  </w:abstractNum>
  <w:abstractNum w:abstractNumId="53">
    <w:nsid w:val="14E17E33"/>
    <w:multiLevelType w:val="hybridMultilevel"/>
    <w:lvl w:ilvl="0">
      <w:lvlJc w:val="left"/>
      <w:lvlText w:val="%1."/>
      <w:numFmt w:val="decimal"/>
      <w:start w:val="10"/>
    </w:lvl>
  </w:abstractNum>
  <w:abstractNum w:abstractNumId="54">
    <w:nsid w:val="3222E7CD"/>
    <w:multiLevelType w:val="hybridMultilevel"/>
    <w:lvl w:ilvl="0">
      <w:lvlJc w:val="left"/>
      <w:lvlText w:val="%1."/>
      <w:numFmt w:val="decimal"/>
      <w:start w:val="11"/>
    </w:lvl>
  </w:abstractNum>
  <w:abstractNum w:abstractNumId="55">
    <w:nsid w:val="74DE0EE3"/>
    <w:multiLevelType w:val="hybridMultilevel"/>
    <w:lvl w:ilvl="0">
      <w:lvlJc w:val="left"/>
      <w:lvlText w:val="(%1)"/>
      <w:numFmt w:val="lowerLetter"/>
      <w:start w:val="1"/>
    </w:lvl>
  </w:abstractNum>
  <w:abstractNum w:abstractNumId="56">
    <w:nsid w:val="68EBC550"/>
    <w:multiLevelType w:val="hybridMultilevel"/>
    <w:lvl w:ilvl="0">
      <w:lvlJc w:val="left"/>
      <w:lvlText w:val="(%1)"/>
      <w:numFmt w:val="lowerLetter"/>
      <w:start w:val="1"/>
    </w:lvl>
  </w:abstractNum>
  <w:abstractNum w:abstractNumId="57">
    <w:nsid w:val="2DF6D648"/>
    <w:multiLevelType w:val="hybridMultilevel"/>
    <w:lvl w:ilvl="0">
      <w:lvlJc w:val="left"/>
      <w:lvlText w:val="%1."/>
      <w:numFmt w:val="decimal"/>
      <w:start w:val="16"/>
    </w:lvl>
  </w:abstractNum>
  <w:abstractNum w:abstractNumId="58">
    <w:nsid w:val="46B7D447"/>
    <w:multiLevelType w:val="hybridMultilevel"/>
    <w:lvl w:ilvl="0">
      <w:lvlJc w:val="left"/>
      <w:lvlText w:val="%1."/>
      <w:numFmt w:val="decimal"/>
      <w:start w:val="17"/>
    </w:lvl>
  </w:abstractNum>
  <w:abstractNum w:abstractNumId="59">
    <w:nsid w:val="4A2AC315"/>
    <w:multiLevelType w:val="hybridMultilevel"/>
    <w:lvl w:ilvl="0">
      <w:lvlJc w:val="left"/>
      <w:lvlText w:val="%1."/>
      <w:numFmt w:val="decimal"/>
      <w:start w:val="18"/>
    </w:lvl>
  </w:abstractNum>
  <w:abstractNum w:abstractNumId="60">
    <w:nsid w:val="39EE015C"/>
    <w:multiLevelType w:val="hybridMultilevel"/>
    <w:lvl w:ilvl="0">
      <w:lvlJc w:val="left"/>
      <w:lvlText w:val="%1."/>
      <w:numFmt w:val="decimal"/>
      <w:start w:val="19"/>
    </w:lvl>
  </w:abstractNum>
  <w:abstractNum w:abstractNumId="61">
    <w:nsid w:val="57FC4FBB"/>
    <w:multiLevelType w:val="hybridMultilevel"/>
    <w:lvl w:ilvl="0">
      <w:lvlJc w:val="left"/>
      <w:lvlText w:val="%1."/>
      <w:numFmt w:val="decimal"/>
      <w:start w:val="20"/>
    </w:lvl>
  </w:abstractNum>
  <w:abstractNum w:abstractNumId="62">
    <w:nsid w:val="CC1016F"/>
    <w:multiLevelType w:val="hybridMultilevel"/>
    <w:lvl w:ilvl="0">
      <w:lvlJc w:val="left"/>
      <w:lvlText w:val="(%1)"/>
      <w:numFmt w:val="lowerRoman"/>
      <w:start w:val="2"/>
    </w:lvl>
  </w:abstractNum>
  <w:abstractNum w:abstractNumId="63">
    <w:nsid w:val="43F18422"/>
    <w:multiLevelType w:val="hybridMultilevel"/>
    <w:lvl w:ilvl="0">
      <w:lvlJc w:val="left"/>
      <w:lvlText w:val="%1."/>
      <w:numFmt w:val="decimal"/>
      <w:start w:val="21"/>
    </w:lvl>
  </w:abstractNum>
  <w:abstractNum w:abstractNumId="64">
    <w:nsid w:val="60EF0119"/>
    <w:multiLevelType w:val="hybridMultilevel"/>
    <w:lvl w:ilvl="0">
      <w:lvlJc w:val="left"/>
      <w:lvlText w:val="%1."/>
      <w:numFmt w:val="decimal"/>
      <w:start w:val="22"/>
    </w:lvl>
  </w:abstractNum>
  <w:abstractNum w:abstractNumId="65">
    <w:nsid w:val="26F324BA"/>
    <w:multiLevelType w:val="hybridMultilevel"/>
    <w:lvl w:ilvl="0">
      <w:lvlJc w:val="left"/>
      <w:lvlText w:val="%1."/>
      <w:numFmt w:val="decimal"/>
      <w:start w:val="23"/>
    </w:lvl>
  </w:abstractNum>
  <w:abstractNum w:abstractNumId="66">
    <w:nsid w:val="7F01579B"/>
    <w:multiLevelType w:val="hybridMultilevel"/>
    <w:lvl w:ilvl="0">
      <w:lvlJc w:val="left"/>
      <w:lvlText w:val="•"/>
      <w:numFmt w:val="bullet"/>
      <w:start w:val="1"/>
    </w:lvl>
  </w:abstractNum>
  <w:abstractNum w:abstractNumId="67">
    <w:nsid w:val="49DA307D"/>
    <w:multiLevelType w:val="hybridMultilevel"/>
    <w:lvl w:ilvl="0">
      <w:lvlJc w:val="left"/>
      <w:lvlText w:val="(%1)"/>
      <w:numFmt w:val="lowerLetter"/>
      <w:start w:val="1"/>
    </w:lvl>
  </w:abstractNum>
  <w:abstractNum w:abstractNumId="68">
    <w:nsid w:val="7055A5F5"/>
    <w:multiLevelType w:val="hybridMultilevel"/>
    <w:lvl w:ilvl="0">
      <w:lvlJc w:val="left"/>
      <w:lvlText w:val="(%1)"/>
      <w:numFmt w:val="lowerLetter"/>
      <w:start w:val="2"/>
    </w:lvl>
  </w:abstractNum>
  <w:abstractNum w:abstractNumId="69">
    <w:nsid w:val="5FB8370B"/>
    <w:multiLevelType w:val="hybridMultilevel"/>
    <w:lvl w:ilvl="0">
      <w:lvlJc w:val="left"/>
      <w:lvlText w:val="(%1)"/>
      <w:numFmt w:val="lowerLetter"/>
      <w:start w:val="3"/>
    </w:lvl>
  </w:abstractNum>
  <w:abstractNum w:abstractNumId="70">
    <w:nsid w:val="50801EE1"/>
    <w:multiLevelType w:val="hybridMultilevel"/>
    <w:lvl w:ilvl="0">
      <w:lvlJc w:val="left"/>
      <w:lvlText w:val="•"/>
      <w:numFmt w:val="bullet"/>
      <w:start w:val="1"/>
    </w:lvl>
  </w:abstractNum>
  <w:abstractNum w:abstractNumId="71">
    <w:nsid w:val="488AC1A"/>
    <w:multiLevelType w:val="hybridMultilevel"/>
    <w:lvl w:ilvl="0">
      <w:lvlJc w:val="left"/>
      <w:lvlText w:val="*"/>
      <w:numFmt w:val="bullet"/>
      <w:start w:val="1"/>
    </w:lvl>
  </w:abstractNum>
  <w:abstractNum w:abstractNumId="72">
    <w:nsid w:val="5FB8011C"/>
    <w:multiLevelType w:val="hybridMultilevel"/>
    <w:lvl w:ilvl="0">
      <w:lvlJc w:val="left"/>
      <w:lvlText w:val="(%1)"/>
      <w:numFmt w:val="lowerRoman"/>
      <w:start w:val="2"/>
    </w:lvl>
  </w:abstractNum>
  <w:abstractNum w:abstractNumId="73">
    <w:nsid w:val="6AA78F7F"/>
    <w:multiLevelType w:val="hybridMultilevel"/>
    <w:lvl w:ilvl="0">
      <w:lvlJc w:val="left"/>
      <w:lvlText w:val="(%1)"/>
      <w:numFmt w:val="lowerRoman"/>
      <w:start w:val="1"/>
    </w:lvl>
  </w:abstractNum>
  <w:abstractNum w:abstractNumId="74">
    <w:nsid w:val="7672BD23"/>
    <w:multiLevelType w:val="hybridMultilevel"/>
    <w:lvl w:ilvl="0">
      <w:lvlJc w:val="left"/>
      <w:lvlText w:val="(%1)"/>
      <w:numFmt w:val="lowerLetter"/>
      <w:start w:val="1"/>
    </w:lvl>
  </w:abstractNum>
  <w:abstractNum w:abstractNumId="75">
    <w:nsid w:val="6FC75AF8"/>
    <w:multiLevelType w:val="hybridMultilevel"/>
    <w:lvl w:ilvl="0">
      <w:lvlJc w:val="left"/>
      <w:lvlText w:val="(%1)"/>
      <w:numFmt w:val="lowerLetter"/>
      <w:start w:val="2"/>
    </w:lvl>
  </w:abstractNum>
  <w:abstractNum w:abstractNumId="76">
    <w:nsid w:val="6A5F7029"/>
    <w:multiLevelType w:val="hybridMultilevel"/>
    <w:lvl w:ilvl="0">
      <w:lvlJc w:val="left"/>
      <w:lvlText w:val="•"/>
      <w:numFmt w:val="bullet"/>
      <w:start w:val="1"/>
    </w:lvl>
  </w:abstractNum>
  <w:abstractNum w:abstractNumId="77">
    <w:nsid w:val="7D5E18F8"/>
    <w:multiLevelType w:val="hybridMultilevel"/>
    <w:lvl w:ilvl="0">
      <w:lvlJc w:val="left"/>
      <w:lvlText w:val="(%1)"/>
      <w:numFmt w:val="decimal"/>
      <w:start w:val="1"/>
    </w:lvl>
  </w:abstractNum>
  <w:abstractNum w:abstractNumId="78">
    <w:nsid w:val="5F3534A4"/>
    <w:multiLevelType w:val="hybridMultilevel"/>
    <w:lvl w:ilvl="0">
      <w:lvlJc w:val="left"/>
      <w:lvlText w:val="(%1)"/>
      <w:numFmt w:val="decimal"/>
      <w:start w:val="1"/>
    </w:lvl>
  </w:abstractNum>
  <w:abstractNum w:abstractNumId="79">
    <w:nsid w:val="73A1821B"/>
    <w:multiLevelType w:val="hybridMultilevel"/>
    <w:lvl w:ilvl="0">
      <w:lvlJc w:val="left"/>
      <w:lvlText w:val="(%1)"/>
      <w:numFmt w:val="decimal"/>
      <w:start w:val="1"/>
    </w:lvl>
  </w:abstractNum>
  <w:abstractNum w:abstractNumId="80">
    <w:nsid w:val="7DE67713"/>
    <w:multiLevelType w:val="hybridMultilevel"/>
    <w:lvl w:ilvl="0">
      <w:lvlJc w:val="left"/>
      <w:lvlText w:val="(%1)"/>
      <w:numFmt w:val="decimal"/>
      <w:start w:val="6"/>
    </w:lvl>
  </w:abstractNum>
  <w:abstractNum w:abstractNumId="81">
    <w:nsid w:val="555C55B5"/>
    <w:multiLevelType w:val="hybridMultilevel"/>
    <w:lvl w:ilvl="0">
      <w:lvlJc w:val="left"/>
      <w:lvlText w:val="(%1)"/>
      <w:numFmt w:val="lowerRoman"/>
      <w:start w:val="1"/>
    </w:lvl>
  </w:abstractNum>
  <w:abstractNum w:abstractNumId="82">
    <w:nsid w:val="3FA62ACA"/>
    <w:multiLevelType w:val="hybridMultilevel"/>
    <w:lvl w:ilvl="0">
      <w:lvlJc w:val="left"/>
      <w:lvlText w:val="(%1)"/>
      <w:numFmt w:val="lowerRoman"/>
      <w:start w:val="3"/>
    </w:lvl>
  </w:abstractNum>
  <w:abstractNum w:abstractNumId="83">
    <w:nsid w:val="14FCE74E"/>
    <w:multiLevelType w:val="hybridMultilevel"/>
    <w:lvl w:ilvl="0">
      <w:lvlJc w:val="left"/>
      <w:lvlText w:val="%1."/>
      <w:numFmt w:val="decimal"/>
      <w:start w:val="1"/>
    </w:lvl>
  </w:abstractNum>
  <w:abstractNum w:abstractNumId="84">
    <w:nsid w:val="6A3DD3E8"/>
    <w:multiLevelType w:val="hybridMultilevel"/>
    <w:lvl w:ilvl="0">
      <w:lvlJc w:val="left"/>
      <w:lvlText w:val="(%1)"/>
      <w:numFmt w:val="decimal"/>
      <w:start w:val="1"/>
    </w:lvl>
  </w:abstractNum>
  <w:abstractNum w:abstractNumId="85">
    <w:nsid w:val="71C91298"/>
    <w:multiLevelType w:val="hybridMultilevel"/>
    <w:lvl w:ilvl="0">
      <w:lvlJc w:val="left"/>
      <w:lvlText w:val="(%1)"/>
      <w:numFmt w:val="decimal"/>
      <w:start w:val="3"/>
    </w:lvl>
  </w:abstractNum>
  <w:abstractNum w:abstractNumId="86">
    <w:nsid w:val="9DAF632"/>
    <w:multiLevelType w:val="hybridMultilevel"/>
    <w:lvl w:ilvl="0">
      <w:lvlJc w:val="left"/>
      <w:lvlText w:val="(%1)"/>
      <w:numFmt w:val="lowerRoman"/>
      <w:start w:val="1"/>
    </w:lvl>
  </w:abstractNum>
  <w:abstractNum w:abstractNumId="87">
    <w:nsid w:val="53299938"/>
    <w:multiLevelType w:val="hybridMultilevel"/>
    <w:lvl w:ilvl="0">
      <w:lvlJc w:val="left"/>
      <w:lvlText w:val="•"/>
      <w:numFmt w:val="bullet"/>
      <w:start w:val="1"/>
    </w:lvl>
  </w:abstractNum>
  <w:abstractNum w:abstractNumId="88">
    <w:nsid w:val="1FBFE8E0"/>
    <w:multiLevelType w:val="hybridMultilevel"/>
    <w:lvl w:ilvl="0">
      <w:lvlJc w:val="left"/>
      <w:lvlText w:val="•"/>
      <w:numFmt w:val="bullet"/>
      <w:start w:val="1"/>
    </w:lvl>
  </w:abstractNum>
  <w:abstractNum w:abstractNumId="89">
    <w:nsid w:val="5092CA79"/>
    <w:multiLevelType w:val="hybridMultilevel"/>
    <w:lvl w:ilvl="0">
      <w:lvlJc w:val="left"/>
      <w:lvlText w:val="•"/>
      <w:numFmt w:val="bullet"/>
      <w:start w:val="1"/>
    </w:lvl>
  </w:abstractNum>
  <w:abstractNum w:abstractNumId="90">
    <w:nsid w:val="1D545C4D"/>
    <w:multiLevelType w:val="hybridMultilevel"/>
    <w:lvl w:ilvl="0">
      <w:lvlJc w:val="left"/>
      <w:lvlText w:val="(%1)"/>
      <w:numFmt w:val="lowerLetter"/>
      <w:start w:val="1"/>
    </w:lvl>
    <w:lvl w:ilvl="1">
      <w:lvlJc w:val="left"/>
      <w:lvlText w:val="%2."/>
      <w:numFmt w:val="decimal"/>
      <w:start w:val="1"/>
    </w:lvl>
  </w:abstractNum>
  <w:abstractNum w:abstractNumId="91">
    <w:nsid w:val="59ADEA3D"/>
    <w:multiLevelType w:val="hybridMultilevel"/>
    <w:lvl w:ilvl="0">
      <w:lvlJc w:val="left"/>
      <w:lvlText w:val="(*)"/>
      <w:numFmt w:val="bullet"/>
      <w:start w:val="1"/>
    </w:lvl>
  </w:abstractNum>
  <w:abstractNum w:abstractNumId="92">
    <w:nsid w:val="288F1A34"/>
    <w:multiLevelType w:val="hybridMultilevel"/>
    <w:lvl w:ilvl="0">
      <w:lvlJc w:val="left"/>
      <w:lvlText w:val="(%1)"/>
      <w:numFmt w:val="decimal"/>
      <w:start w:val="1"/>
    </w:lvl>
  </w:abstractNum>
  <w:abstractNum w:abstractNumId="93">
    <w:nsid w:val="2A155DBC"/>
    <w:multiLevelType w:val="hybridMultilevel"/>
    <w:lvl w:ilvl="0">
      <w:lvlJc w:val="left"/>
      <w:lvlText w:val="%1."/>
      <w:numFmt w:val="decimal"/>
      <w:start w:val="1"/>
    </w:lvl>
  </w:abstractNum>
  <w:abstractNum w:abstractNumId="94">
    <w:nsid w:val="1D9F6E5F"/>
    <w:multiLevelType w:val="hybridMultilevel"/>
    <w:lvl w:ilvl="0">
      <w:lvlJc w:val="left"/>
      <w:lvlText w:val="%1."/>
      <w:numFmt w:val="decimal"/>
      <w:start w:val="2"/>
    </w:lvl>
  </w:abstractNum>
  <w:abstractNum w:abstractNumId="95">
    <w:nsid w:val="97E1B4E"/>
    <w:multiLevelType w:val="hybridMultilevel"/>
    <w:lvl w:ilvl="0">
      <w:lvlJc w:val="left"/>
      <w:lvlText w:val="(%1)"/>
      <w:numFmt w:val="lowerLetter"/>
      <w:start w:val="1"/>
    </w:lvl>
  </w:abstractNum>
  <w:abstractNum w:abstractNumId="96">
    <w:nsid w:val="51088277"/>
    <w:multiLevelType w:val="hybridMultilevel"/>
    <w:lvl w:ilvl="0">
      <w:lvlJc w:val="left"/>
      <w:lvlText w:val="(%1)"/>
      <w:numFmt w:val="lowerLetter"/>
      <w:start w:val="2"/>
    </w:lvl>
  </w:abstractNum>
  <w:abstractNum w:abstractNumId="97">
    <w:nsid w:val="1CA0C5FA"/>
    <w:multiLevelType w:val="hybridMultilevel"/>
    <w:lvl w:ilvl="0">
      <w:lvlJc w:val="left"/>
      <w:lvlText w:val="(%1)"/>
      <w:numFmt w:val="lowerLetter"/>
      <w:start w:val="5"/>
    </w:lvl>
    <w:lvl w:ilvl="1">
      <w:lvlJc w:val="left"/>
      <w:lvlText w:val="(%2)"/>
      <w:numFmt w:val="lowerLetter"/>
      <w:start w:val="7"/>
    </w:lvl>
    <w:lvl w:ilvl="2">
      <w:lvlJc w:val="left"/>
      <w:lvlText w:val="(%3)"/>
      <w:numFmt w:val="lowerLetter"/>
      <w:start w:val="9"/>
    </w:lvl>
  </w:abstractNum>
  <w:abstractNum w:abstractNumId="98">
    <w:nsid w:val="53584BCB"/>
    <w:multiLevelType w:val="hybridMultilevel"/>
    <w:lvl w:ilvl="0">
      <w:lvlJc w:val="left"/>
      <w:lvlText w:val="%1"/>
      <w:numFmt w:val="lowerLetter"/>
      <w:start w:val="1"/>
    </w:lvl>
    <w:lvl w:ilvl="1">
      <w:lvlJc w:val="left"/>
      <w:lvlText w:val="(%2)"/>
      <w:numFmt w:val="lowerLetter"/>
      <w:start w:val="35"/>
    </w:lvl>
  </w:abstractNum>
  <w:abstractNum w:abstractNumId="99">
    <w:nsid w:val="415E286C"/>
    <w:multiLevelType w:val="hybridMultilevel"/>
    <w:lvl w:ilvl="0">
      <w:lvlJc w:val="left"/>
      <w:lvlText w:val="(%1)"/>
      <w:numFmt w:val="lowerLetter"/>
      <w:start w:val="23"/>
    </w:lvl>
    <w:lvl w:ilvl="1">
      <w:lvlJc w:val="left"/>
      <w:lvlText w:val="%2"/>
      <w:numFmt w:val="lowerLetter"/>
      <w:start w:val="1"/>
    </w:lvl>
  </w:abstractNum>
  <w:abstractNum w:abstractNumId="100">
    <w:nsid w:val="7C58FD05"/>
    <w:multiLevelType w:val="hybridMultilevel"/>
    <w:lvl w:ilvl="0">
      <w:lvlJc w:val="left"/>
      <w:lvlText w:val="(%1)"/>
      <w:numFmt w:val="lowerRoman"/>
      <w:start w:val="3"/>
    </w:lvl>
  </w:abstractNum>
  <w:abstractNum w:abstractNumId="101">
    <w:nsid w:val="23D86AAC"/>
    <w:multiLevelType w:val="hybridMultilevel"/>
    <w:lvl w:ilvl="0">
      <w:lvlJc w:val="left"/>
      <w:lvlText w:val="(%1)"/>
      <w:numFmt w:val="lowerLetter"/>
      <w:start w:val="8"/>
    </w:lvl>
  </w:abstractNum>
  <w:abstractNum w:abstractNumId="102">
    <w:nsid w:val="45E6D486"/>
    <w:multiLevelType w:val="hybridMultilevel"/>
    <w:lvl w:ilvl="0">
      <w:lvlJc w:val="left"/>
      <w:lvlText w:val="%1."/>
      <w:numFmt w:val="decimal"/>
      <w:start w:val="3"/>
    </w:lvl>
  </w:abstractNum>
  <w:abstractNum w:abstractNumId="103">
    <w:nsid w:val="5C10FE21"/>
    <w:multiLevelType w:val="hybridMultilevel"/>
    <w:lvl w:ilvl="0">
      <w:lvlJc w:val="left"/>
      <w:lvlText w:val="(%1)"/>
      <w:numFmt w:val="lowerLetter"/>
      <w:start w:val="2"/>
    </w:lvl>
  </w:abstractNum>
  <w:abstractNum w:abstractNumId="104">
    <w:nsid w:val="E7FFA2B"/>
    <w:multiLevelType w:val="hybridMultilevel"/>
    <w:lvl w:ilvl="0">
      <w:lvlJc w:val="left"/>
      <w:lvlText w:val="(%1)"/>
      <w:numFmt w:val="lowerLetter"/>
      <w:start w:val="3"/>
    </w:lvl>
  </w:abstractNum>
  <w:abstractNum w:abstractNumId="105">
    <w:nsid w:val="3C5991AA"/>
    <w:multiLevelType w:val="hybridMultilevel"/>
    <w:lvl w:ilvl="0">
      <w:lvlJc w:val="left"/>
      <w:lvlText w:val="%1"/>
      <w:numFmt w:val="lowerLetter"/>
      <w:start w:val="1"/>
    </w:lvl>
    <w:lvl w:ilvl="1">
      <w:lvlJc w:val="left"/>
      <w:lvlText w:val="(%2)"/>
      <w:numFmt w:val="lowerRoman"/>
      <w:start w:val="2"/>
    </w:lvl>
  </w:abstractNum>
  <w:abstractNum w:abstractNumId="106">
    <w:nsid w:val="4BD8591A"/>
    <w:multiLevelType w:val="hybridMultilevel"/>
    <w:lvl w:ilvl="0">
      <w:lvlJc w:val="left"/>
      <w:lvlText w:val="(%1)"/>
      <w:numFmt w:val="lowerLetter"/>
      <w:start w:val="4"/>
    </w:lvl>
    <w:lvl w:ilvl="1">
      <w:lvlJc w:val="left"/>
      <w:lvlText w:val="%2"/>
      <w:numFmt w:val="lowerRoman"/>
      <w:start w:val="1"/>
    </w:lvl>
  </w:abstractNum>
  <w:abstractNum w:abstractNumId="107">
    <w:nsid w:val="78DF6A55"/>
    <w:multiLevelType w:val="hybridMultilevel"/>
    <w:lvl w:ilvl="0">
      <w:lvlJc w:val="left"/>
      <w:lvlText w:val="%1."/>
      <w:numFmt w:val="decimal"/>
      <w:start w:val="4"/>
    </w:lvl>
  </w:abstractNum>
  <w:abstractNum w:abstractNumId="108">
    <w:nsid w:val="39B7AAA2"/>
    <w:multiLevelType w:val="hybridMultilevel"/>
    <w:lvl w:ilvl="0">
      <w:lvlJc w:val="left"/>
      <w:lvlText w:val="(%1)"/>
      <w:numFmt w:val="lowerLetter"/>
      <w:start w:val="2"/>
    </w:lvl>
  </w:abstractNum>
  <w:abstractNum w:abstractNumId="109">
    <w:nsid w:val="2B0D8DBE"/>
    <w:multiLevelType w:val="hybridMultilevel"/>
    <w:lvl w:ilvl="0">
      <w:lvlJc w:val="left"/>
      <w:lvlText w:val="%1."/>
      <w:numFmt w:val="decimal"/>
      <w:start w:val="6"/>
    </w:lvl>
  </w:abstractNum>
  <w:abstractNum w:abstractNumId="110">
    <w:nsid w:val="6C80EC70"/>
    <w:multiLevelType w:val="hybridMultilevel"/>
    <w:lvl w:ilvl="0">
      <w:lvlJc w:val="left"/>
      <w:lvlText w:val="%1"/>
      <w:numFmt w:val="lowerLetter"/>
      <w:start w:val="1"/>
    </w:lvl>
    <w:lvl w:ilvl="1">
      <w:lvlJc w:val="left"/>
      <w:lvlText w:val="%2."/>
      <w:numFmt w:val="decimal"/>
      <w:start w:val="7"/>
    </w:lvl>
  </w:abstractNum>
  <w:abstractNum w:abstractNumId="111">
    <w:nsid w:val="379E21B5"/>
    <w:multiLevelType w:val="hybridMultilevel"/>
    <w:lvl w:ilvl="0">
      <w:lvlJc w:val="left"/>
      <w:lvlText w:val="(%1)"/>
      <w:numFmt w:val="lowerLetter"/>
      <w:start w:val="2"/>
    </w:lvl>
    <w:lvl w:ilvl="1">
      <w:lvlJc w:val="left"/>
      <w:lvlText w:val="%2"/>
      <w:numFmt w:val="decimal"/>
      <w:start w:val="1"/>
    </w:lvl>
  </w:abstractNum>
  <w:abstractNum w:abstractNumId="112">
    <w:nsid w:val="69E373"/>
    <w:multiLevelType w:val="hybridMultilevel"/>
    <w:lvl w:ilvl="0">
      <w:lvlJc w:val="left"/>
      <w:lvlText w:val="(%1)"/>
      <w:numFmt w:val="lowerLetter"/>
      <w:start w:val="3"/>
    </w:lvl>
    <w:lvl w:ilvl="1">
      <w:lvlJc w:val="left"/>
      <w:lvlText w:val="%2."/>
      <w:numFmt w:val="decimal"/>
      <w:start w:val="11"/>
    </w:lvl>
  </w:abstractNum>
  <w:abstractNum w:abstractNumId="113">
    <w:nsid w:val="2C27173B"/>
    <w:multiLevelType w:val="hybridMultilevel"/>
    <w:lvl w:ilvl="0">
      <w:lvlJc w:val="left"/>
      <w:lvlText w:val="(%1)"/>
      <w:numFmt w:val="lowerLetter"/>
      <w:start w:val="2"/>
    </w:lvl>
  </w:abstractNum>
  <w:abstractNum w:abstractNumId="114">
    <w:nsid w:val="4C9B0904"/>
    <w:multiLevelType w:val="hybridMultilevel"/>
    <w:lvl w:ilvl="0">
      <w:lvlJc w:val="left"/>
      <w:lvlText w:val="%1"/>
      <w:numFmt w:val="lowerLetter"/>
      <w:start w:val="1"/>
    </w:lvl>
    <w:lvl w:ilvl="1">
      <w:lvlJc w:val="left"/>
      <w:lvlText w:val="%2."/>
      <w:numFmt w:val="decimal"/>
      <w:start w:val="12"/>
    </w:lvl>
  </w:abstractNum>
  <w:abstractNum w:abstractNumId="115">
    <w:nsid w:val="6AA7B75C"/>
    <w:multiLevelType w:val="hybridMultilevel"/>
    <w:lvl w:ilvl="0">
      <w:lvlJc w:val="left"/>
      <w:lvlText w:val="(%1)"/>
      <w:numFmt w:val="lowerLetter"/>
      <w:start w:val="2"/>
    </w:lvl>
    <w:lvl w:ilvl="1">
      <w:lvlJc w:val="left"/>
      <w:lvlText w:val="%2"/>
      <w:numFmt w:val="decimal"/>
      <w:start w:val="1"/>
    </w:lvl>
  </w:abstractNum>
  <w:abstractNum w:abstractNumId="116">
    <w:nsid w:val="1DF029D3"/>
    <w:multiLevelType w:val="hybridMultilevel"/>
    <w:lvl w:ilvl="0">
      <w:lvlJc w:val="left"/>
      <w:lvlText w:val="%1"/>
      <w:numFmt w:val="lowerLetter"/>
      <w:start w:val="1"/>
    </w:lvl>
    <w:lvl w:ilvl="1">
      <w:lvlJc w:val="left"/>
      <w:lvlText w:val="%2."/>
      <w:numFmt w:val="decimal"/>
      <w:start w:val="15"/>
    </w:lvl>
  </w:abstractNum>
  <w:abstractNum w:abstractNumId="117">
    <w:nsid w:val="5675FF36"/>
    <w:multiLevelType w:val="hybridMultilevel"/>
    <w:lvl w:ilvl="0">
      <w:lvlJc w:val="left"/>
      <w:lvlText w:val="(%1)"/>
      <w:numFmt w:val="lowerLetter"/>
      <w:start w:val="2"/>
    </w:lvl>
    <w:lvl w:ilvl="1">
      <w:lvlJc w:val="left"/>
      <w:lvlText w:val="%2"/>
      <w:numFmt w:val="decimal"/>
      <w:start w:val="1"/>
    </w:lvl>
  </w:abstractNum>
  <w:abstractNum w:abstractNumId="118">
    <w:nsid w:val="3DD15094"/>
    <w:multiLevelType w:val="hybridMultilevel"/>
    <w:lvl w:ilvl="0">
      <w:lvlJc w:val="left"/>
      <w:lvlText w:val="(%1)"/>
      <w:numFmt w:val="lowerLetter"/>
      <w:start w:val="5"/>
    </w:lvl>
  </w:abstractNum>
  <w:abstractNum w:abstractNumId="119">
    <w:nsid w:val="3DB012B3"/>
    <w:multiLevelType w:val="hybridMultilevel"/>
    <w:lvl w:ilvl="0">
      <w:lvlJc w:val="left"/>
      <w:lvlText w:val="(%1)"/>
      <w:numFmt w:val="lowerLetter"/>
      <w:start w:val="1"/>
    </w:lvl>
    <w:lvl w:ilvl="1">
      <w:lvlJc w:val="left"/>
      <w:lvlText w:val="•"/>
      <w:numFmt w:val="bullet"/>
      <w:start w:val="1"/>
    </w:lvl>
  </w:abstractNum>
  <w:abstractNum w:abstractNumId="120">
    <w:nsid w:val="2708C9AF"/>
    <w:multiLevelType w:val="hybridMultilevel"/>
    <w:lvl w:ilvl="0">
      <w:lvlJc w:val="left"/>
      <w:lvlText w:val="(%1)"/>
      <w:numFmt w:val="lowerLetter"/>
      <w:start w:val="6"/>
    </w:lvl>
  </w:abstractNum>
  <w:abstractNum w:abstractNumId="121">
    <w:nsid w:val="5B25ACE2"/>
    <w:multiLevelType w:val="hybridMultilevel"/>
    <w:lvl w:ilvl="0">
      <w:lvlJc w:val="left"/>
      <w:lvlText w:val="%1."/>
      <w:numFmt w:val="decimal"/>
      <w:start w:val="1"/>
    </w:lvl>
    <w:lvl w:ilvl="1">
      <w:lvlJc w:val="left"/>
      <w:lvlText w:val="(%2)"/>
      <w:numFmt w:val="lowerLetter"/>
      <w:start w:val="1"/>
    </w:lvl>
  </w:abstractNum>
  <w:abstractNum w:abstractNumId="122">
    <w:nsid w:val="175DFCF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2019-12-11T02:04:44Z</dcterms:created>
  <dcterms:modified xsi:type="dcterms:W3CDTF">2019-12-11T02:04:44Z</dcterms:modified>
</cp:coreProperties>
</file>