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58"/>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90"/>
        </w:trPr>
        <w:tc>
          <w:tcPr>
            <w:tcW w:w="290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84"/>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80" w:firstLine="342"/>
        <w:spacing w:after="0" w:line="268" w:lineRule="auto"/>
        <w:rPr>
          <w:sz w:val="20"/>
          <w:szCs w:val="20"/>
          <w:color w:val="auto"/>
        </w:rPr>
      </w:pPr>
      <w:r>
        <w:rPr>
          <w:rFonts w:ascii="Arial" w:cs="Arial" w:eastAsia="Arial" w:hAnsi="Arial"/>
          <w:sz w:val="18"/>
          <w:szCs w:val="18"/>
          <w:color w:val="auto"/>
        </w:rPr>
        <w:t>As of October 24, 2011, there were 122,871,152 shares of the Registrant’s Class A common stock (including 4,815,788 shares held by subsidiaries)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operating assets other than indirect ownership as of September 30, 2011 of approximately 94.7% of the common membership interests in Lazard Group and its controlling interest in Lazard Group.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0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040" w:type="dxa"/>
            <w:vAlign w:val="bottom"/>
            <w:gridSpan w:val="1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Item 2. Management’s Discussion and Analysis of Financial Condition and Results of Operations</w:t>
              </w:r>
            </w:hyperlink>
          </w:p>
        </w:tc>
        <w:tc>
          <w:tcPr>
            <w:tcW w:w="3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3. Quantitative and Qualitative Disclosures About Market Risk</w:t>
              </w:r>
            </w:hyperlink>
          </w:p>
        </w:tc>
        <w:tc>
          <w:tcPr>
            <w:tcW w:w="58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0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7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4. (Removed and Reserved)</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5. Other Information</w:t>
              </w:r>
            </w:hyperlink>
          </w:p>
        </w:tc>
        <w:tc>
          <w:tcPr>
            <w:tcW w:w="82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6. Exhibits</w:t>
              </w:r>
            </w:hyperlink>
          </w:p>
        </w:tc>
        <w:tc>
          <w:tcPr>
            <w:tcW w:w="87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40" w:type="dxa"/>
            <w:vAlign w:val="bottom"/>
            <w:gridSpan w:val="14"/>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6"/>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40" w:type="dxa"/>
            <w:vAlign w:val="bottom"/>
          </w:tcPr>
          <w:p>
            <w:pPr>
              <w:spacing w:after="0"/>
              <w:rPr>
                <w:sz w:val="24"/>
                <w:szCs w:val="24"/>
                <w:color w:val="auto"/>
              </w:rPr>
            </w:pPr>
          </w:p>
        </w:tc>
        <w:tc>
          <w:tcPr>
            <w:tcW w:w="7800" w:type="dxa"/>
            <w:vAlign w:val="bottom"/>
            <w:gridSpan w:val="3"/>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September 30, 2011 and December 31, 2010</w:t>
              </w:r>
            </w:hyperlink>
          </w:p>
        </w:tc>
        <w:tc>
          <w:tcPr>
            <w:tcW w:w="2800" w:type="dxa"/>
            <w:vAlign w:val="bottom"/>
            <w:gridSpan w:val="4"/>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440" w:type="dxa"/>
            <w:vAlign w:val="bottom"/>
          </w:tcPr>
          <w:p>
            <w:pPr>
              <w:spacing w:after="0"/>
              <w:rPr>
                <w:sz w:val="13"/>
                <w:szCs w:val="13"/>
                <w:color w:val="auto"/>
              </w:rPr>
            </w:pPr>
          </w:p>
        </w:tc>
        <w:tc>
          <w:tcPr>
            <w:tcW w:w="7800" w:type="dxa"/>
            <w:vAlign w:val="bottom"/>
            <w:tcBorders>
              <w:bottom w:val="single" w:sz="8" w:color="0000EE"/>
            </w:tcBorders>
            <w:gridSpan w:val="3"/>
            <w:vMerge w:val="continue"/>
          </w:tcPr>
          <w:p>
            <w:pPr>
              <w:spacing w:after="0"/>
              <w:rPr>
                <w:sz w:val="13"/>
                <w:szCs w:val="13"/>
                <w:color w:val="auto"/>
              </w:rPr>
            </w:pPr>
          </w:p>
        </w:tc>
        <w:tc>
          <w:tcPr>
            <w:tcW w:w="2800" w:type="dxa"/>
            <w:vAlign w:val="bottom"/>
            <w:gridSpan w:val="4"/>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600" w:type="dxa"/>
            <w:vAlign w:val="bottom"/>
            <w:gridSpan w:val="7"/>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Operations for the three month and nine month periods ended September 30,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81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nine month periods ended September 30, 2011 and 2010</w:t>
              </w:r>
            </w:hyperlink>
          </w:p>
        </w:tc>
        <w:tc>
          <w:tcPr>
            <w:tcW w:w="1080" w:type="dxa"/>
            <w:vAlign w:val="bottom"/>
            <w:tcBorders>
              <w:top w:val="single" w:sz="8" w:color="0000EE"/>
            </w:tcBorders>
          </w:tcPr>
          <w:p>
            <w:pPr>
              <w:spacing w:after="0"/>
              <w:rPr>
                <w:sz w:val="24"/>
                <w:szCs w:val="24"/>
                <w:color w:val="auto"/>
              </w:rPr>
            </w:pPr>
          </w:p>
        </w:tc>
        <w:tc>
          <w:tcPr>
            <w:tcW w:w="13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7"/>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Condensed Consolidated Statements of Changes in Stockholders’ Equity for the nine month periods ended September 30,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Condensed Consolidated Financial Statements</w:t>
              </w:r>
            </w:hyperlink>
          </w:p>
        </w:tc>
        <w:tc>
          <w:tcPr>
            <w:tcW w:w="5720" w:type="dxa"/>
            <w:vAlign w:val="bottom"/>
            <w:tcBorders>
              <w:top w:val="single" w:sz="8" w:color="0000EE"/>
            </w:tcBorders>
            <w:gridSpan w:val="4"/>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60" w:type="dxa"/>
            <w:vAlign w:val="bottom"/>
            <w:gridSpan w:val="2"/>
          </w:tcPr>
          <w:p>
            <w:pPr>
              <w:jc w:val="right"/>
              <w:ind w:right="248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 AND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4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989,894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$1,209,695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267,906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66,219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92,911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Receivables-net: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Fees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439,857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480,340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14,248</w:t>
            </w:r>
          </w:p>
        </w:tc>
        <w:tc>
          <w:tcPr>
            <w:tcW w:w="5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595,351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346,912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417,410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6"/>
              </w:rPr>
              <w:t>Property (net of accumulated amortization and depreciation of $268,374 and $250,898 at September 30, 2011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December 31, 2010, respectively)</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150,708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150,524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0"/>
              </w:rPr>
              <w:t>Goodwill and other intangible assets (net of accumulated amortization of $19,903 and $15,007 at September 30, 2011 and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2010, respectively)</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394,382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361,439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325,097</w:t>
            </w:r>
          </w:p>
        </w:tc>
        <w:tc>
          <w:tcPr>
            <w:tcW w:w="5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3,136,469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$ 3,422,532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 AND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September 30,</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342,704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250,252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498,880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1,076,850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1,076,850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21,576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523,023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513,410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2,218,487</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2,626,415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w w:val="94"/>
              </w:rPr>
              <w:t>Series A - 7,921 and 22,021 shares issued and outstanding at September 30, 2011 and December 31, 2010,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106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Class A, par value $.01 per share (500,000,000 shares authorized; 122,871,152 and 119,697,936 shares issued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7"/>
              </w:rPr>
              <w:t>at September 30, 2011 and December 31, 2010, respectively, including shares held by a subsidiary as</w:t>
            </w:r>
          </w:p>
        </w:tc>
        <w:tc>
          <w:tcPr>
            <w:tcW w:w="1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indicated below)</w:t>
            </w: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w w:val="96"/>
              </w:rPr>
              <w:t>Class B, par value $.01 per share (1 share authorized, issued and outstanding at September 30, 2011 and</w:t>
            </w:r>
          </w:p>
        </w:tc>
        <w:tc>
          <w:tcPr>
            <w:tcW w:w="140" w:type="dxa"/>
            <w:vAlign w:val="bottom"/>
          </w:tcPr>
          <w:p>
            <w:pPr>
              <w:spacing w:after="0"/>
              <w:rPr>
                <w:sz w:val="18"/>
                <w:szCs w:val="18"/>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1060"/>
              <w:spacing w:after="0"/>
              <w:rPr>
                <w:sz w:val="20"/>
                <w:szCs w:val="20"/>
                <w:color w:val="auto"/>
              </w:rPr>
            </w:pPr>
            <w:r>
              <w:rPr>
                <w:rFonts w:ascii="Arial" w:cs="Arial" w:eastAsia="Arial" w:hAnsi="Arial"/>
                <w:sz w:val="18"/>
                <w:szCs w:val="18"/>
                <w:color w:val="auto"/>
              </w:rPr>
              <w:t>December 31, 2010)</w:t>
            </w: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285,575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(57,712)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914,892</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Class A common stock held by a subsidiary, at cost (4,098,431 and 6,847,508 shares at September 30, 2011 and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2010, respectively)</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(141,593)</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(227,950)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Total Lazard Ltd stockholders’ equity</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773,299</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144,683</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917,982</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3,136,469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3,422,532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360" w:type="dxa"/>
            <w:vAlign w:val="bottom"/>
          </w:tcPr>
          <w:p>
            <w:pPr>
              <w:spacing w:after="0"/>
              <w:rPr>
                <w:sz w:val="14"/>
                <w:szCs w:val="14"/>
                <w:color w:val="auto"/>
              </w:rPr>
            </w:pPr>
          </w:p>
        </w:tc>
        <w:tc>
          <w:tcPr>
            <w:tcW w:w="20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360" w:type="dxa"/>
            <w:vAlign w:val="bottom"/>
          </w:tcPr>
          <w:p>
            <w:pPr>
              <w:spacing w:after="0"/>
              <w:rPr>
                <w:sz w:val="14"/>
                <w:szCs w:val="14"/>
                <w:color w:val="auto"/>
              </w:rPr>
            </w:pPr>
          </w:p>
        </w:tc>
        <w:tc>
          <w:tcPr>
            <w:tcW w:w="20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50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$248,358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245,294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711,781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213,276</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202,662</w:t>
            </w: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658,874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560,664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5,430</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19,531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23,924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64,601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47,785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477,310</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1,446,529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22,164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24,073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68,795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73,788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453,237</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1,377,734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273,532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282,528</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830,011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24,345</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22,414</w:t>
            </w: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70,030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19,844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17,503</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20,417</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18,904</w:t>
            </w: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60,566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11,434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10,731</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14,019</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12,037</w:t>
            </w: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40,777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1,719</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374,681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373,770</w:t>
            </w:r>
          </w:p>
        </w:tc>
        <w:tc>
          <w:tcPr>
            <w:tcW w:w="2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1,127,348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1,198,446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250,386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20,605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9,113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51,704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198,682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020" w:type="dxa"/>
            <w:vAlign w:val="bottom"/>
          </w:tcPr>
          <w:p>
            <w:pPr>
              <w:jc w:val="right"/>
              <w:spacing w:after="0"/>
              <w:rPr>
                <w:sz w:val="20"/>
                <w:szCs w:val="20"/>
                <w:color w:val="auto"/>
              </w:rPr>
            </w:pPr>
            <w:r>
              <w:rPr>
                <w:rFonts w:ascii="Arial" w:cs="Arial" w:eastAsia="Arial" w:hAnsi="Arial"/>
                <w:sz w:val="18"/>
                <w:szCs w:val="18"/>
                <w:color w:val="auto"/>
              </w:rPr>
              <w:t>4,434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6,263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18,972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7,859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$ 62,699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179,710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118,315,944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111,059,071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117,586,028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101,440,741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Diluted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136,857,956</w:t>
            </w: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138,094,101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138,265,494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135,554,131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vMerge w:val="continue"/>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$0.51</w:t>
            </w: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$0.125</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198,682</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incentive compensation and interest rate hedge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228,213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(Gain) loss on extinguishment of debt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(18,171)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Deposits with banks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96,193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(28,681)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(64,267)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(22,187)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(230,935)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(191,480)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281,620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Distributions relating to equity method investments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(16,924)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and subordinated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(131,829)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Class A common stock</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(158,617)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(106,316)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Class A common stock dividends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(51,409)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(92,337)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(33,386)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(484,734)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(225,775)</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(219,801)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1,209,695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917,329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EQUIVALENTS—September 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989,894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847,431</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Supplemental investing non-cash transaction: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Class A common stock issued/issuable in connection with business acquisitions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39,654</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80" w:type="dxa"/>
            <w:vAlign w:val="bottom"/>
            <w:gridSpan w:val="3"/>
            <w:vMerge w:val="restart"/>
          </w:tcPr>
          <w:p>
            <w:pPr>
              <w:jc w:val="center"/>
              <w:ind w:left="112"/>
              <w:spacing w:after="0"/>
              <w:rPr>
                <w:sz w:val="20"/>
                <w:szCs w:val="20"/>
                <w:color w:val="auto"/>
              </w:rPr>
            </w:pPr>
            <w:r>
              <w:rPr>
                <w:rFonts w:ascii="Arial" w:cs="Arial" w:eastAsia="Arial" w:hAnsi="Arial"/>
                <w:sz w:val="14"/>
                <w:szCs w:val="14"/>
                <w:b w:val="1"/>
                <w:bCs w:val="1"/>
                <w:color w:val="auto"/>
                <w:w w:val="82"/>
              </w:rPr>
              <w:t>Series A</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5"/>
              </w:rPr>
              <w:t>Class A</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980" w:type="dxa"/>
            <w:vAlign w:val="bottom"/>
            <w:gridSpan w:val="5"/>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Preferred</w:t>
            </w: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20" w:type="dxa"/>
            <w:vAlign w:val="bottom"/>
            <w:gridSpan w:val="5"/>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80" w:type="dxa"/>
            <w:vAlign w:val="bottom"/>
            <w:gridSpan w:val="5"/>
            <w:vMerge w:val="continue"/>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600" w:type="dxa"/>
            <w:vAlign w:val="bottom"/>
            <w:gridSpan w:val="2"/>
            <w:vMerge w:val="restart"/>
          </w:tcPr>
          <w:p>
            <w:pPr>
              <w:jc w:val="center"/>
              <w:ind w:left="192"/>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9"/>
              </w:rPr>
              <w:t>Held By a Subsidiary</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Paid-In-</w:t>
            </w:r>
          </w:p>
        </w:tc>
        <w:tc>
          <w:tcPr>
            <w:tcW w:w="40" w:type="dxa"/>
            <w:vAlign w:val="bottom"/>
          </w:tcPr>
          <w:p>
            <w:pPr>
              <w:spacing w:after="0"/>
              <w:rPr>
                <w:sz w:val="9"/>
                <w:szCs w:val="9"/>
                <w:color w:val="auto"/>
              </w:rPr>
            </w:pP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2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9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40" w:type="dxa"/>
            <w:vAlign w:val="bottom"/>
          </w:tcPr>
          <w:p>
            <w:pPr>
              <w:spacing w:after="0"/>
              <w:rPr>
                <w:sz w:val="9"/>
                <w:szCs w:val="9"/>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 (*)</w:t>
            </w:r>
          </w:p>
        </w:tc>
        <w:tc>
          <w:tcPr>
            <w:tcW w:w="4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Earnings</w:t>
            </w: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Interests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2011</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22,021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119,697,937</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$1,197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758,841</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$ 166,468</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(46,158)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6,847,508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$(227,950)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652,398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143,719</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796,117</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179,710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179,710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18,972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198,682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tcPr>
          <w:p>
            <w:pPr>
              <w:ind w:left="200"/>
              <w:spacing w:after="0" w:line="138" w:lineRule="exact"/>
              <w:rPr>
                <w:sz w:val="20"/>
                <w:szCs w:val="20"/>
                <w:color w:val="auto"/>
              </w:rPr>
            </w:pPr>
            <w:r>
              <w:rPr>
                <w:rFonts w:ascii="Arial" w:cs="Arial" w:eastAsia="Arial" w:hAnsi="Arial"/>
                <w:sz w:val="14"/>
                <w:szCs w:val="14"/>
                <w:color w:val="auto"/>
                <w:w w:val="90"/>
              </w:rPr>
              <w:t>Other comprehensive income (loss) -</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ind w:left="420"/>
              <w:spacing w:after="0" w:line="159" w:lineRule="exact"/>
              <w:rPr>
                <w:sz w:val="20"/>
                <w:szCs w:val="20"/>
                <w:color w:val="auto"/>
              </w:rPr>
            </w:pPr>
            <w:r>
              <w:rPr>
                <w:rFonts w:ascii="Arial" w:cs="Arial" w:eastAsia="Arial" w:hAnsi="Arial"/>
                <w:sz w:val="14"/>
                <w:szCs w:val="14"/>
                <w:color w:val="auto"/>
              </w:rPr>
              <w:t>net of tax:</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(5,866)</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(5,866)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(456)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(6,322)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tcPr>
          <w:p>
            <w:pPr>
              <w:ind w:left="640"/>
              <w:spacing w:after="0" w:line="138" w:lineRule="exact"/>
              <w:rPr>
                <w:sz w:val="20"/>
                <w:szCs w:val="20"/>
                <w:color w:val="auto"/>
              </w:rPr>
            </w:pPr>
            <w:r>
              <w:rPr>
                <w:rFonts w:ascii="Arial" w:cs="Arial" w:eastAsia="Arial" w:hAnsi="Arial"/>
                <w:sz w:val="14"/>
                <w:szCs w:val="14"/>
                <w:color w:val="auto"/>
                <w:w w:val="95"/>
              </w:rPr>
              <w:t>Amortization of interest rate</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749</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749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791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(7,778)</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(7,778)</w:t>
            </w: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w w:val="93"/>
              </w:rPr>
              <w:t>items reclassified</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to earnings</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1,585</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1,585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1,674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vMerge w:val="restart"/>
          </w:tcPr>
          <w:p>
            <w:pPr>
              <w:ind w:left="200"/>
              <w:spacing w:after="0"/>
              <w:rPr>
                <w:sz w:val="20"/>
                <w:szCs w:val="20"/>
                <w:color w:val="auto"/>
              </w:rPr>
            </w:pPr>
            <w:r>
              <w:rPr>
                <w:rFonts w:ascii="Arial" w:cs="Arial" w:eastAsia="Arial" w:hAnsi="Arial"/>
                <w:sz w:val="14"/>
                <w:szCs w:val="14"/>
                <w:color w:val="auto"/>
              </w:rPr>
              <w:t>Comprehensive income</w:t>
            </w: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168,400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18,210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186,610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acquisitions:</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420"/>
              <w:spacing w:after="0" w:line="149" w:lineRule="exact"/>
              <w:rPr>
                <w:sz w:val="20"/>
                <w:szCs w:val="20"/>
                <w:color w:val="auto"/>
              </w:rPr>
            </w:pPr>
            <w:r>
              <w:rPr>
                <w:rFonts w:ascii="Arial" w:cs="Arial" w:eastAsia="Arial" w:hAnsi="Arial"/>
                <w:sz w:val="14"/>
                <w:szCs w:val="14"/>
                <w:color w:val="auto"/>
              </w:rPr>
              <w:t>issued/issuable (including in</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420"/>
              <w:spacing w:after="0" w:line="149" w:lineRule="exact"/>
              <w:rPr>
                <w:sz w:val="20"/>
                <w:szCs w:val="20"/>
                <w:color w:val="auto"/>
              </w:rPr>
            </w:pPr>
            <w:r>
              <w:rPr>
                <w:rFonts w:ascii="Arial" w:cs="Arial" w:eastAsia="Arial" w:hAnsi="Arial"/>
                <w:sz w:val="14"/>
                <w:szCs w:val="14"/>
                <w:color w:val="auto"/>
              </w:rPr>
              <w:t>connection with LAM Merger</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ind w:left="420"/>
              <w:spacing w:after="0" w:line="159" w:lineRule="exact"/>
              <w:rPr>
                <w:sz w:val="20"/>
                <w:szCs w:val="20"/>
                <w:color w:val="auto"/>
              </w:rPr>
            </w:pPr>
            <w:r>
              <w:rPr>
                <w:rFonts w:ascii="Arial" w:cs="Arial" w:eastAsia="Arial" w:hAnsi="Arial"/>
                <w:sz w:val="14"/>
                <w:szCs w:val="14"/>
                <w:color w:val="auto"/>
              </w:rPr>
              <w:t>and related amortization)</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41,688</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41,688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3,115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44,803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Conversion of Series A preferred</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0"/>
              </w:rPr>
              <w:t>stock into Class A common stock</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1"/>
              </w:rPr>
              <w:t>(14,100)</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2,434,561</w:t>
            </w: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200"/>
              <w:spacing w:after="0" w:line="149" w:lineRule="exact"/>
              <w:rPr>
                <w:sz w:val="20"/>
                <w:szCs w:val="20"/>
                <w:color w:val="auto"/>
              </w:rPr>
            </w:pPr>
            <w:r>
              <w:rPr>
                <w:rFonts w:ascii="Arial" w:cs="Arial" w:eastAsia="Arial" w:hAnsi="Arial"/>
                <w:sz w:val="14"/>
                <w:szCs w:val="14"/>
                <w:color w:val="auto"/>
                <w:w w:val="97"/>
              </w:rPr>
              <w:t>Delivery of Class A common stock</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(45,935)</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2"/>
              </w:rPr>
              <w:t>(1,247,555)</w:t>
            </w: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45,147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(788)</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Amortization of share-based incentive</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200,230</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200,230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11,236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211,466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9,140</w:t>
            </w: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(9,194)</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(51,409)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(51,409)</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(51,409)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4,318,916</w:t>
            </w:r>
          </w:p>
        </w:tc>
        <w:tc>
          <w:tcPr>
            <w:tcW w:w="8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(158,617)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(158,617)</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(158,617)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Delivery of Class A common stock in</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incentive compensation and related</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 benefits of $2,178</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6"/>
              </w:rPr>
              <w:t>(290,059)</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2"/>
              </w:rPr>
              <w:t>(5,820,438)</w:t>
            </w:r>
          </w:p>
        </w:tc>
        <w:tc>
          <w:tcPr>
            <w:tcW w:w="7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199,827</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(90,232)</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(90,159)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tcPr>
          <w:p>
            <w:pPr>
              <w:spacing w:after="0" w:line="138" w:lineRule="exact"/>
              <w:rPr>
                <w:sz w:val="20"/>
                <w:szCs w:val="20"/>
                <w:color w:val="auto"/>
              </w:rPr>
            </w:pPr>
            <w:r>
              <w:rPr>
                <w:rFonts w:ascii="Arial" w:cs="Arial" w:eastAsia="Arial" w:hAnsi="Arial"/>
                <w:sz w:val="14"/>
                <w:szCs w:val="14"/>
                <w:color w:val="auto"/>
                <w:w w:val="99"/>
              </w:rPr>
              <w:t>Repurchase of common membership</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200"/>
              <w:spacing w:after="0" w:line="149" w:lineRule="exact"/>
              <w:rPr>
                <w:sz w:val="20"/>
                <w:szCs w:val="20"/>
                <w:color w:val="auto"/>
              </w:rPr>
            </w:pPr>
            <w:r>
              <w:rPr>
                <w:rFonts w:ascii="Arial" w:cs="Arial" w:eastAsia="Arial" w:hAnsi="Arial"/>
                <w:sz w:val="14"/>
                <w:szCs w:val="14"/>
                <w:color w:val="auto"/>
              </w:rPr>
              <w:t>interests from</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ind w:left="200"/>
              <w:spacing w:after="0" w:line="159" w:lineRule="exact"/>
              <w:rPr>
                <w:sz w:val="20"/>
                <w:szCs w:val="20"/>
                <w:color w:val="auto"/>
              </w:rPr>
            </w:pPr>
            <w:r>
              <w:rPr>
                <w:rFonts w:ascii="Arial" w:cs="Arial" w:eastAsia="Arial" w:hAnsi="Arial"/>
                <w:sz w:val="14"/>
                <w:szCs w:val="14"/>
                <w:color w:val="auto"/>
              </w:rPr>
              <w:t>LAZ-MD Holdings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(751)</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(751)</w:t>
            </w: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exchange for Lazard Group common</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membership interests</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738,655</w:t>
            </w: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tcPr>
          <w:p>
            <w:pPr>
              <w:spacing w:after="0" w:line="138" w:lineRule="exact"/>
              <w:rPr>
                <w:sz w:val="20"/>
                <w:szCs w:val="20"/>
                <w:color w:val="auto"/>
              </w:rPr>
            </w:pPr>
            <w:r>
              <w:rPr>
                <w:rFonts w:ascii="Arial" w:cs="Arial" w:eastAsia="Arial" w:hAnsi="Arial"/>
                <w:sz w:val="14"/>
                <w:szCs w:val="14"/>
                <w:color w:val="auto"/>
              </w:rPr>
              <w:t>Adjustment related to the change in</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200"/>
              <w:spacing w:after="0" w:line="149" w:lineRule="exact"/>
              <w:rPr>
                <w:sz w:val="20"/>
                <w:szCs w:val="20"/>
                <w:color w:val="auto"/>
              </w:rPr>
            </w:pPr>
            <w:r>
              <w:rPr>
                <w:rFonts w:ascii="Arial" w:cs="Arial" w:eastAsia="Arial" w:hAnsi="Arial"/>
                <w:sz w:val="14"/>
                <w:szCs w:val="14"/>
                <w:color w:val="auto"/>
              </w:rPr>
              <w:t>Lazard Ltd’s ownership in Lazard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00" w:type="dxa"/>
            <w:vAlign w:val="bottom"/>
          </w:tcPr>
          <w:p>
            <w:pPr>
              <w:ind w:left="200"/>
              <w:spacing w:after="0"/>
              <w:rPr>
                <w:sz w:val="20"/>
                <w:szCs w:val="20"/>
                <w:color w:val="auto"/>
              </w:rPr>
            </w:pPr>
            <w:r>
              <w:rPr>
                <w:rFonts w:ascii="Arial" w:cs="Arial" w:eastAsia="Arial" w:hAnsi="Arial"/>
                <w:sz w:val="14"/>
                <w:szCs w:val="14"/>
                <w:color w:val="auto"/>
              </w:rPr>
              <w:t>Group</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(1,580)</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(1,580)</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Distributions to noncontrolling interests,</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(17,610)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(17,610)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tcPr>
          <w:p>
            <w:pPr>
              <w:spacing w:after="0" w:line="138" w:lineRule="exact"/>
              <w:rPr>
                <w:sz w:val="20"/>
                <w:szCs w:val="20"/>
                <w:color w:val="auto"/>
              </w:rPr>
            </w:pPr>
            <w:r>
              <w:rPr>
                <w:rFonts w:ascii="Arial" w:cs="Arial" w:eastAsia="Arial" w:hAnsi="Arial"/>
                <w:sz w:val="14"/>
                <w:szCs w:val="14"/>
                <w:color w:val="auto"/>
              </w:rPr>
              <w:t>Other adjustments related to</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ind w:left="200"/>
              <w:spacing w:after="0" w:line="159" w:lineRule="exact"/>
              <w:rPr>
                <w:sz w:val="20"/>
                <w:szCs w:val="20"/>
                <w:color w:val="auto"/>
              </w:rPr>
            </w:pPr>
            <w:r>
              <w:rPr>
                <w:rFonts w:ascii="Arial" w:cs="Arial" w:eastAsia="Arial" w:hAnsi="Arial"/>
                <w:sz w:val="14"/>
                <w:szCs w:val="14"/>
                <w:color w:val="auto"/>
              </w:rPr>
              <w:t>noncontrolling interests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14,258</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(244)</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14,014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(14,014)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September 30, 2011</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122,871,153</w:t>
            </w: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1,229</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685,800</w:t>
            </w: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$ 285,575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(57,712)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4,098,431</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(141,593)</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773,299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144,683</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917,982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40" w:right="260" w:hanging="332"/>
        <w:spacing w:after="0" w:line="186"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Includes 119,697,936 and 122,871,152 shares of the Company’s Class A common stock issued at January 1, 2011 and September 30, 2011,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00" w:type="dxa"/>
            <w:vAlign w:val="bottom"/>
            <w:gridSpan w:val="3"/>
            <w:vMerge w:val="restart"/>
          </w:tcPr>
          <w:p>
            <w:pPr>
              <w:jc w:val="center"/>
              <w:ind w:left="152"/>
              <w:spacing w:after="0"/>
              <w:rPr>
                <w:sz w:val="20"/>
                <w:szCs w:val="20"/>
                <w:color w:val="auto"/>
              </w:rPr>
            </w:pPr>
            <w:r>
              <w:rPr>
                <w:rFonts w:ascii="Arial" w:cs="Arial" w:eastAsia="Arial" w:hAnsi="Arial"/>
                <w:sz w:val="14"/>
                <w:szCs w:val="14"/>
                <w:b w:val="1"/>
                <w:bCs w:val="1"/>
                <w:color w:val="auto"/>
                <w:w w:val="85"/>
              </w:rPr>
              <w:t>Series A</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15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5"/>
              </w:rPr>
              <w:t>Class A</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Other</w:t>
            </w:r>
          </w:p>
        </w:tc>
        <w:tc>
          <w:tcPr>
            <w:tcW w:w="1560" w:type="dxa"/>
            <w:vAlign w:val="bottom"/>
            <w:gridSpan w:val="4"/>
            <w:vMerge w:val="continue"/>
          </w:tcPr>
          <w:p>
            <w:pPr>
              <w:spacing w:after="0"/>
              <w:rPr>
                <w:sz w:val="8"/>
                <w:szCs w:val="8"/>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92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56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60" w:type="dxa"/>
            <w:vAlign w:val="bottom"/>
            <w:gridSpan w:val="4"/>
            <w:vMerge w:val="continue"/>
          </w:tcPr>
          <w:p>
            <w:pPr>
              <w:spacing w:after="0"/>
              <w:rPr>
                <w:sz w:val="8"/>
                <w:szCs w:val="8"/>
                <w:color w:val="auto"/>
              </w:rPr>
            </w:pPr>
          </w:p>
        </w:tc>
        <w:tc>
          <w:tcPr>
            <w:tcW w:w="92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Lazard Ltd</w:t>
            </w: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700" w:type="dxa"/>
            <w:vAlign w:val="bottom"/>
            <w:gridSpan w:val="3"/>
            <w:vMerge w:val="restart"/>
          </w:tcPr>
          <w:p>
            <w:pPr>
              <w:jc w:val="center"/>
              <w:ind w:left="152"/>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5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8"/>
              </w:rPr>
              <w:t>Held by a Subsidiary</w:t>
            </w:r>
          </w:p>
        </w:tc>
        <w:tc>
          <w:tcPr>
            <w:tcW w:w="92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Paid-In-</w:t>
            </w: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60" w:type="dxa"/>
            <w:vAlign w:val="bottom"/>
            <w:gridSpan w:val="4"/>
            <w:vMerge w:val="continue"/>
          </w:tcPr>
          <w:p>
            <w:pPr>
              <w:spacing w:after="0"/>
              <w:rPr>
                <w:sz w:val="9"/>
                <w:szCs w:val="9"/>
                <w:color w:val="auto"/>
              </w:rPr>
            </w:pP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02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8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Shares (*)</w:t>
            </w:r>
          </w:p>
        </w:tc>
        <w:tc>
          <w:tcPr>
            <w:tcW w:w="42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Earnings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Net of Tax</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Interests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2010</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26,883</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92,165,913</w:t>
            </w: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$922</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$549,931</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$52,726</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$(57,048)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5,850,775</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$(191,140)</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$355,391</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$167,706</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$523,097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6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75,129</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75,129</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82,988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tcPr>
          <w:p>
            <w:pPr>
              <w:ind w:left="200"/>
              <w:spacing w:after="0" w:line="138" w:lineRule="exact"/>
              <w:rPr>
                <w:sz w:val="20"/>
                <w:szCs w:val="20"/>
                <w:color w:val="auto"/>
              </w:rPr>
            </w:pPr>
            <w:r>
              <w:rPr>
                <w:rFonts w:ascii="Arial" w:cs="Arial" w:eastAsia="Arial" w:hAnsi="Arial"/>
                <w:sz w:val="14"/>
                <w:szCs w:val="14"/>
                <w:color w:val="auto"/>
              </w:rPr>
              <w:t>Other comprehensive income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tcPr>
          <w:p>
            <w:pPr>
              <w:ind w:left="420"/>
              <w:spacing w:after="0" w:line="159" w:lineRule="exact"/>
              <w:rPr>
                <w:sz w:val="20"/>
                <w:szCs w:val="20"/>
                <w:color w:val="auto"/>
              </w:rPr>
            </w:pPr>
            <w:r>
              <w:rPr>
                <w:rFonts w:ascii="Arial" w:cs="Arial" w:eastAsia="Arial" w:hAnsi="Arial"/>
                <w:sz w:val="14"/>
                <w:szCs w:val="14"/>
                <w:color w:val="auto"/>
              </w:rPr>
              <w:t>(loss) - net of tax:</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Currency translation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adjustments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(3,829)</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(3,829)</w:t>
            </w:r>
          </w:p>
        </w:tc>
        <w:tc>
          <w:tcPr>
            <w:tcW w:w="10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(292)</w:t>
            </w:r>
          </w:p>
        </w:tc>
        <w:tc>
          <w:tcPr>
            <w:tcW w:w="8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(4,121)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tcPr>
          <w:p>
            <w:pPr>
              <w:ind w:left="420"/>
              <w:spacing w:after="0" w:line="138" w:lineRule="exact"/>
              <w:rPr>
                <w:sz w:val="20"/>
                <w:szCs w:val="20"/>
                <w:color w:val="auto"/>
              </w:rPr>
            </w:pPr>
            <w:r>
              <w:rPr>
                <w:rFonts w:ascii="Arial" w:cs="Arial" w:eastAsia="Arial" w:hAnsi="Arial"/>
                <w:sz w:val="14"/>
                <w:szCs w:val="14"/>
                <w:color w:val="auto"/>
                <w:w w:val="99"/>
              </w:rPr>
              <w:t>Amortization of interest rate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tcPr>
          <w:p>
            <w:pPr>
              <w:ind w:left="640"/>
              <w:spacing w:after="0" w:line="159" w:lineRule="exact"/>
              <w:rPr>
                <w:sz w:val="20"/>
                <w:szCs w:val="20"/>
                <w:color w:val="auto"/>
              </w:rPr>
            </w:pPr>
            <w:r>
              <w:rPr>
                <w:rFonts w:ascii="Arial" w:cs="Arial" w:eastAsia="Arial" w:hAnsi="Arial"/>
                <w:sz w:val="14"/>
                <w:szCs w:val="14"/>
                <w:color w:val="auto"/>
              </w:rPr>
              <w:t>hedge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823</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823</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76</w:t>
            </w: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Available-for-sale securities: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640"/>
              <w:spacing w:after="0" w:line="149" w:lineRule="exact"/>
              <w:rPr>
                <w:sz w:val="20"/>
                <w:szCs w:val="20"/>
                <w:color w:val="auto"/>
              </w:rPr>
            </w:pPr>
            <w:r>
              <w:rPr>
                <w:rFonts w:ascii="Arial" w:cs="Arial" w:eastAsia="Arial" w:hAnsi="Arial"/>
                <w:sz w:val="14"/>
                <w:szCs w:val="14"/>
                <w:color w:val="auto"/>
              </w:rPr>
              <w:t>Net unrealized gain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2,272</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2,272</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211</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Adjustments for items</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reclassified to</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earnings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2,372</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2,372</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219</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420"/>
              <w:spacing w:after="0" w:line="149" w:lineRule="exact"/>
              <w:rPr>
                <w:sz w:val="20"/>
                <w:szCs w:val="20"/>
                <w:color w:val="auto"/>
              </w:rPr>
            </w:pPr>
            <w:r>
              <w:rPr>
                <w:rFonts w:ascii="Arial" w:cs="Arial" w:eastAsia="Arial" w:hAnsi="Arial"/>
                <w:sz w:val="14"/>
                <w:szCs w:val="14"/>
                <w:color w:val="auto"/>
              </w:rPr>
              <w:t>Employee benefit plans: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actuarial loss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(5,999)</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(5,999)</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(556)</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(6,555)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tcPr>
          <w:p>
            <w:pPr>
              <w:ind w:left="640"/>
              <w:spacing w:after="0" w:line="138" w:lineRule="exact"/>
              <w:rPr>
                <w:sz w:val="20"/>
                <w:szCs w:val="20"/>
                <w:color w:val="auto"/>
              </w:rPr>
            </w:pPr>
            <w:r>
              <w:rPr>
                <w:rFonts w:ascii="Arial" w:cs="Arial" w:eastAsia="Arial" w:hAnsi="Arial"/>
                <w:sz w:val="14"/>
                <w:szCs w:val="14"/>
                <w:color w:val="auto"/>
              </w:rPr>
              <w:t>Adjustments for items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860"/>
              <w:spacing w:after="0" w:line="149" w:lineRule="exact"/>
              <w:rPr>
                <w:sz w:val="20"/>
                <w:szCs w:val="20"/>
                <w:color w:val="auto"/>
              </w:rPr>
            </w:pPr>
            <w:r>
              <w:rPr>
                <w:rFonts w:ascii="Arial" w:cs="Arial" w:eastAsia="Arial" w:hAnsi="Arial"/>
                <w:sz w:val="14"/>
                <w:szCs w:val="14"/>
                <w:color w:val="auto"/>
              </w:rPr>
              <w:t>reclassified to</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40" w:type="dxa"/>
            <w:vAlign w:val="bottom"/>
          </w:tcPr>
          <w:p>
            <w:pPr>
              <w:ind w:left="860"/>
              <w:spacing w:after="0" w:line="159" w:lineRule="exact"/>
              <w:rPr>
                <w:sz w:val="20"/>
                <w:szCs w:val="20"/>
                <w:color w:val="auto"/>
              </w:rPr>
            </w:pPr>
            <w:r>
              <w:rPr>
                <w:rFonts w:ascii="Arial" w:cs="Arial" w:eastAsia="Arial" w:hAnsi="Arial"/>
                <w:sz w:val="14"/>
                <w:szCs w:val="14"/>
                <w:color w:val="auto"/>
              </w:rPr>
              <w:t>earnings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888</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888</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82</w:t>
            </w: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71,656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79,255</w:t>
            </w:r>
          </w:p>
        </w:tc>
        <w:tc>
          <w:tcPr>
            <w:tcW w:w="0" w:type="dxa"/>
            <w:vAlign w:val="bottom"/>
          </w:tcPr>
          <w:p>
            <w:pPr>
              <w:spacing w:after="0"/>
              <w:rPr>
                <w:sz w:val="1"/>
                <w:szCs w:val="1"/>
                <w:color w:val="auto"/>
              </w:rPr>
            </w:pPr>
          </w:p>
        </w:tc>
      </w:tr>
      <w:tr>
        <w:trPr>
          <w:trHeight w:val="156"/>
        </w:trPr>
        <w:tc>
          <w:tcPr>
            <w:tcW w:w="2160" w:type="dxa"/>
            <w:vAlign w:val="bottom"/>
            <w:gridSpan w:val="2"/>
          </w:tcPr>
          <w:p>
            <w:pPr>
              <w:spacing w:after="0" w:line="155" w:lineRule="exact"/>
              <w:rPr>
                <w:sz w:val="20"/>
                <w:szCs w:val="20"/>
                <w:color w:val="auto"/>
              </w:rPr>
            </w:pPr>
            <w:r>
              <w:rPr>
                <w:rFonts w:ascii="Arial" w:cs="Arial" w:eastAsia="Arial" w:hAnsi="Arial"/>
                <w:sz w:val="14"/>
                <w:szCs w:val="14"/>
                <w:color w:val="auto"/>
              </w:rPr>
              <w:t>Business acquisitions: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Class A common stock</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issued/issuable (including in</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5"/>
              </w:rPr>
              <w:t>connection with LAM Merger</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and related amortization)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315,617</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2,064</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2,067</w:t>
            </w:r>
          </w:p>
        </w:tc>
        <w:tc>
          <w:tcPr>
            <w:tcW w:w="10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2,119</w:t>
            </w: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4,186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tcPr>
          <w:p>
            <w:pPr>
              <w:ind w:left="200"/>
              <w:spacing w:after="0" w:line="138" w:lineRule="exact"/>
              <w:rPr>
                <w:sz w:val="20"/>
                <w:szCs w:val="20"/>
                <w:color w:val="auto"/>
              </w:rPr>
            </w:pPr>
            <w:r>
              <w:rPr>
                <w:rFonts w:ascii="Arial" w:cs="Arial" w:eastAsia="Arial" w:hAnsi="Arial"/>
                <w:sz w:val="14"/>
                <w:szCs w:val="14"/>
                <w:color w:val="auto"/>
                <w:w w:val="94"/>
              </w:rPr>
              <w:t>Conversion of Series A preferred</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420"/>
              <w:spacing w:after="0" w:line="149" w:lineRule="exact"/>
              <w:rPr>
                <w:sz w:val="20"/>
                <w:szCs w:val="20"/>
                <w:color w:val="auto"/>
              </w:rPr>
            </w:pPr>
            <w:r>
              <w:rPr>
                <w:rFonts w:ascii="Arial" w:cs="Arial" w:eastAsia="Arial" w:hAnsi="Arial"/>
                <w:sz w:val="14"/>
                <w:szCs w:val="14"/>
                <w:color w:val="auto"/>
              </w:rPr>
              <w:t>stock into Class A common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tcPr>
          <w:p>
            <w:pPr>
              <w:ind w:left="420"/>
              <w:spacing w:after="0" w:line="159" w:lineRule="exact"/>
              <w:rPr>
                <w:sz w:val="20"/>
                <w:szCs w:val="20"/>
                <w:color w:val="auto"/>
              </w:rPr>
            </w:pPr>
            <w:r>
              <w:rPr>
                <w:rFonts w:ascii="Arial" w:cs="Arial" w:eastAsia="Arial" w:hAnsi="Arial"/>
                <w:sz w:val="14"/>
                <w:szCs w:val="14"/>
                <w:color w:val="auto"/>
              </w:rPr>
              <w:t>stock</w:t>
            </w:r>
          </w:p>
        </w:tc>
        <w:tc>
          <w:tcPr>
            <w:tcW w:w="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9"/>
              </w:rPr>
              <w:t>(4,862)</w:t>
            </w:r>
          </w:p>
        </w:tc>
        <w:tc>
          <w:tcPr>
            <w:tcW w:w="160" w:type="dxa"/>
            <w:vAlign w:val="bottom"/>
          </w:tcPr>
          <w:p>
            <w:pPr>
              <w:spacing w:after="0"/>
              <w:rPr>
                <w:sz w:val="13"/>
                <w:szCs w:val="13"/>
                <w:color w:val="auto"/>
              </w:rPr>
            </w:pPr>
          </w:p>
        </w:tc>
        <w:tc>
          <w:tcPr>
            <w:tcW w:w="22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572,988</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Amortization of share-based incentive</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228,668</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228,668</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21,185</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249,853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7,758</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(7,793)</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(36,714)</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(36,714)</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(36,714)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w w:val="95"/>
              </w:rPr>
              <w:t>Purchase of Class A 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3,466,178</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(106,316)</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(106,316)</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(106,316)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Delivery of Class A common stock in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incentive compensation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(276,374)</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2"/>
              </w:rPr>
              <w:t>(6,451,373)</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221,427</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(54,947)</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(54,947)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tcPr>
          <w:p>
            <w:pPr>
              <w:spacing w:after="0" w:line="138" w:lineRule="exact"/>
              <w:rPr>
                <w:sz w:val="20"/>
                <w:szCs w:val="20"/>
                <w:color w:val="auto"/>
              </w:rPr>
            </w:pPr>
            <w:r>
              <w:rPr>
                <w:rFonts w:ascii="Arial" w:cs="Arial" w:eastAsia="Arial" w:hAnsi="Arial"/>
                <w:sz w:val="14"/>
                <w:szCs w:val="14"/>
                <w:color w:val="auto"/>
                <w:w w:val="92"/>
              </w:rPr>
              <w:t>Repurchase of common membership</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tcPr>
          <w:p>
            <w:pPr>
              <w:ind w:left="200"/>
              <w:spacing w:after="0" w:line="159" w:lineRule="exact"/>
              <w:rPr>
                <w:sz w:val="20"/>
                <w:szCs w:val="20"/>
                <w:color w:val="auto"/>
              </w:rPr>
            </w:pPr>
            <w:r>
              <w:rPr>
                <w:rFonts w:ascii="Arial" w:cs="Arial" w:eastAsia="Arial" w:hAnsi="Arial"/>
                <w:sz w:val="14"/>
                <w:szCs w:val="14"/>
                <w:color w:val="auto"/>
                <w:w w:val="96"/>
              </w:rPr>
              <w:t>interests from LAZ-MD Holdings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(4,642)</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(4,642)</w:t>
            </w:r>
          </w:p>
        </w:tc>
        <w:tc>
          <w:tcPr>
            <w:tcW w:w="10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(430)</w:t>
            </w:r>
          </w:p>
        </w:tc>
        <w:tc>
          <w:tcPr>
            <w:tcW w:w="8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Issuance of Class A common stock</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3,000,000</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116,070</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3,000,000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(116,100)</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200"/>
              <w:spacing w:after="0" w:line="149" w:lineRule="exact"/>
              <w:rPr>
                <w:sz w:val="20"/>
                <w:szCs w:val="20"/>
                <w:color w:val="auto"/>
              </w:rPr>
            </w:pPr>
            <w:r>
              <w:rPr>
                <w:rFonts w:ascii="Arial" w:cs="Arial" w:eastAsia="Arial" w:hAnsi="Arial"/>
                <w:sz w:val="14"/>
                <w:szCs w:val="14"/>
                <w:color w:val="auto"/>
              </w:rPr>
              <w:t>exchange for Lazard Group</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200"/>
              <w:spacing w:after="0" w:line="149" w:lineRule="exact"/>
              <w:rPr>
                <w:sz w:val="20"/>
                <w:szCs w:val="20"/>
                <w:color w:val="auto"/>
              </w:rPr>
            </w:pPr>
            <w:r>
              <w:rPr>
                <w:rFonts w:ascii="Arial" w:cs="Arial" w:eastAsia="Arial" w:hAnsi="Arial"/>
                <w:sz w:val="14"/>
                <w:szCs w:val="14"/>
                <w:color w:val="auto"/>
                <w:w w:val="98"/>
              </w:rPr>
              <w:t>common membership interests,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200"/>
              <w:spacing w:after="0" w:line="149" w:lineRule="exact"/>
              <w:rPr>
                <w:sz w:val="20"/>
                <w:szCs w:val="20"/>
                <w:color w:val="auto"/>
              </w:rPr>
            </w:pPr>
            <w:r>
              <w:rPr>
                <w:rFonts w:ascii="Arial" w:cs="Arial" w:eastAsia="Arial" w:hAnsi="Arial"/>
                <w:sz w:val="14"/>
                <w:szCs w:val="14"/>
                <w:color w:val="auto"/>
              </w:rPr>
              <w:t>including in connection with</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tcPr>
          <w:p>
            <w:pPr>
              <w:ind w:left="200"/>
              <w:spacing w:after="0" w:line="159" w:lineRule="exact"/>
              <w:rPr>
                <w:sz w:val="20"/>
                <w:szCs w:val="20"/>
                <w:color w:val="auto"/>
              </w:rPr>
            </w:pPr>
            <w:r>
              <w:rPr>
                <w:rFonts w:ascii="Arial" w:cs="Arial" w:eastAsia="Arial" w:hAnsi="Arial"/>
                <w:sz w:val="14"/>
                <w:szCs w:val="14"/>
                <w:color w:val="auto"/>
              </w:rPr>
              <w:t>secondary offerings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20,549,950</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205</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(205)</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 net</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(17,310)</w:t>
            </w:r>
          </w:p>
        </w:tc>
        <w:tc>
          <w:tcPr>
            <w:tcW w:w="8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(17,310)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tcPr>
          <w:p>
            <w:pPr>
              <w:spacing w:after="0" w:line="138" w:lineRule="exact"/>
              <w:rPr>
                <w:sz w:val="20"/>
                <w:szCs w:val="20"/>
                <w:color w:val="auto"/>
              </w:rPr>
            </w:pPr>
            <w:r>
              <w:rPr>
                <w:rFonts w:ascii="Arial" w:cs="Arial" w:eastAsia="Arial" w:hAnsi="Arial"/>
                <w:sz w:val="14"/>
                <w:szCs w:val="14"/>
                <w:color w:val="auto"/>
                <w:w w:val="92"/>
              </w:rPr>
              <w:t>Adjustments related to noncontrolling</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43,441</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(9,998)</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33,443</w:t>
            </w:r>
          </w:p>
        </w:tc>
        <w:tc>
          <w:tcPr>
            <w:tcW w:w="10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(33,443)</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September 30, 2010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22,021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116,604,468</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1,166</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$666,705</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$83,348</w:t>
            </w: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$(70,519)</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5,865,580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$(192,129)</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$488,571</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$147,423</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$635,994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340" w:right="32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92,165,912 and 116,604,467 shares of the Company’s Class A common stock issued at January 1, 2010 and September 30, 2010,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6"/>
          <w:szCs w:val="16"/>
          <w:b w:val="1"/>
          <w:bCs w:val="1"/>
          <w:i w:val="1"/>
          <w:iCs w:val="1"/>
          <w:color w:val="auto"/>
        </w:rPr>
        <w:t>ORGANIZATION AND BASIS OF PRESENTATION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Organization</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Lazard Ltd indirectly held approximately 94.7% and 94.0% of all outstanding Lazard Group common membership interests as of September 30, 2011 and December 31, 2010, respectively. Lazard Ltd, through its control of the managing members of Lazard Group, controls Lazard Group. LAZ-MD Holdings LLC (“LAZ-MD Holdings”), an entity owned by Lazard Group’s current and former managing directors, held approximately 5.3% and 6.0% of the outstanding Lazard Group common membership interests as of September 30, 2011 and December 31, 2010, respectively. Additionally, LAZ-MD Holdings was the sole owner of the one issued and outstanding share of Lazard Ltd’s Class B common stock (the “Class B common stock”) which provided LAZ-MD Holdings with approximately 5.3% and 6.0% of the voting power but no economic rights in the Company as of such respective dates. Subject to certain limitations, LAZ-MD Holdings’ interests in Lazard Group are exchangeable for Lazard Ltd Class A common stock, par value $0.01 per share (“Class A common stock”). Lazard Group is governed by an Operating Agreement dated as of May 10, 2005, as amended (the “Operating Agreement”).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sole operating asset is its indirect ownership of common membership interests of Lazard Group and its managing member interest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Group, whose principal operating activities are included in two business segments:</w:t>
      </w:r>
    </w:p>
    <w:p>
      <w:pPr>
        <w:spacing w:after="0" w:line="70" w:lineRule="exact"/>
        <w:rPr>
          <w:sz w:val="20"/>
          <w:szCs w:val="20"/>
          <w:color w:val="auto"/>
        </w:rPr>
      </w:pPr>
    </w:p>
    <w:p>
      <w:pPr>
        <w:ind w:left="780" w:right="540" w:hanging="326"/>
        <w:spacing w:after="0" w:line="325"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 LFB also provides support services for certain European subsidiaries of Lazard Group.</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of Lazard Ltd have been prepared pursuant to the rules and regulations of the U.S. Securities and Exchange Commission (the “SEC”) regarding interim financial reporting. Accordingly, they do not include all of the information and notes required by accounting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2010 (the “Form 10-K”). The accompanying December 31, 2010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and nine month periods ended September 30, 2011 are not necessarily indicative of the results to be expected for any future interim or annual period.</w:t>
      </w:r>
    </w:p>
    <w:p>
      <w:pPr>
        <w:spacing w:after="0" w:line="10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LFG, and Maison Lazard SAS and its subsidiaries; and Lazard &amp; Co., Limited (“LCL”), through Lazard &amp; Co., Holdings Limited, an English private limited company (“LCH”), together with their jointly owned affiliates and subsidiaries.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6"/>
          <w:szCs w:val="16"/>
          <w:b w:val="1"/>
          <w:bCs w:val="1"/>
          <w:i w:val="1"/>
          <w:iCs w:val="1"/>
          <w:color w:val="auto"/>
        </w:rPr>
        <w:t>RECENT ACCOUNTING DEVELOPMENTS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January 1, 2011, the Company adopted the fair value measurement disclosure guidance regarding presenting purchases, sales, issuances and settlements on a gross basis in the roll forward of activities in Level 3 of the hierarchy of fair value measurements, which did not have a material impact on the Company’s condensed consolidated financial statements.</w:t>
      </w:r>
    </w:p>
    <w:p>
      <w:pPr>
        <w:spacing w:after="0" w:line="127" w:lineRule="exact"/>
        <w:rPr>
          <w:sz w:val="20"/>
          <w:szCs w:val="20"/>
          <w:color w:val="auto"/>
        </w:rPr>
      </w:pPr>
    </w:p>
    <w:p>
      <w:pPr>
        <w:ind w:right="80" w:firstLine="456"/>
        <w:spacing w:after="0" w:line="303" w:lineRule="auto"/>
        <w:rPr>
          <w:sz w:val="20"/>
          <w:szCs w:val="20"/>
          <w:color w:val="auto"/>
        </w:rPr>
      </w:pPr>
      <w:r>
        <w:rPr>
          <w:rFonts w:ascii="Arial" w:cs="Arial" w:eastAsia="Arial" w:hAnsi="Arial"/>
          <w:sz w:val="15"/>
          <w:szCs w:val="15"/>
          <w:color w:val="auto"/>
        </w:rPr>
        <w:t>During May 2011, the FASB amended its fair value measurement guidance, which it states was designed to achieve common 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would be required, including</w:t>
      </w:r>
    </w:p>
    <w:p>
      <w:pPr>
        <w:spacing w:after="0" w:line="1" w:lineRule="exact"/>
        <w:rPr>
          <w:sz w:val="20"/>
          <w:szCs w:val="20"/>
          <w:color w:val="auto"/>
        </w:rPr>
      </w:pPr>
    </w:p>
    <w:p>
      <w:pPr>
        <w:ind w:right="40" w:firstLine="8"/>
        <w:spacing w:after="0" w:line="261" w:lineRule="auto"/>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quantitative disclosure of the unobservable inputs and assumptions used in the measurement, (ii) the valuation processes used and the sensitivity of fair value measurements related to investments categorized within Level 3 of the hierarchy of fair value measurements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will become effective for interim and annual periods beginning after December 15, 2011 and is to be applied prospectively. Early application is not permitted. The Company does not anticipate that the adoption of the amended fair value measurement guidance will have a material impact on the Company’s consolidated financial statements.</w:t>
      </w:r>
    </w:p>
    <w:p>
      <w:pPr>
        <w:spacing w:after="0" w:line="129"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During June 2011, the FASB amended its guidance regarding the presentation of comprehensive income, which it states was designed to improve comparability, consistency and transparency. The amendment requires that all changes in comprehensive income be presented either in a single continuous statement of comprehensive income or in two separate but consecutive statements. In the one-statement approach, the Company would present total net income, including its components, followed by other comprehensive income, including its components, and a total of comprehensive income. In the two-statement approach, the first statement would present total net income and its components as currently presented by the Company in its consolidated statement of operations, followed consecutively by a second statement that would present the components of other comprehensive income, total other comprehensive income and the total of comprehensive income. The amendment is to be applied retrospectively and is effective with interim and annual periods beginning after December 15, 2011, with early adoption permitted. The Company has not yet determined whether it will adopt the amendment prior to its effective date.</w:t>
      </w:r>
    </w:p>
    <w:p>
      <w:pPr>
        <w:spacing w:after="0" w:line="9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During September 2011, the FASB amended its guidance regarding goodwill impairment testing and the amount of impairment loss, if any, by allowing an entity the option to make a qualitative evaluation about whether it is more likely than not that the fair value of a reporting unit is less than its carrying amount in lieu of actually calculating the fair value of a reporting unit. The amendment is effective for annual and interim goodwill impairment tests performed for fiscal years beginning after December 15, 2011. Early adoption is permitted. The Company has not yet determined whether it will adopt the amendment prior to its effective date. The Company does not anticipate that the adoption of the amended guidance regarding goodwill impairment testing will have a material impact on the Company’s consolidated financial statements.</w:t>
      </w:r>
    </w:p>
    <w:p>
      <w:pPr>
        <w:spacing w:after="0" w:line="1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6"/>
          <w:szCs w:val="16"/>
          <w:b w:val="1"/>
          <w:bCs w:val="1"/>
          <w:i w:val="1"/>
          <w:iCs w:val="1"/>
          <w:color w:val="auto"/>
        </w:rPr>
        <w:t>RECEIVABLES -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Receivables are stated net of an allowance for doubtful accounts of $17,457 and $15,017 at September 30, 2011 and December 31, 2010, respectively, for accounts deemed past due and for specific accounts deemed uncollectible, which may include situations where a fee is in dispute. The Company recorded bad debt expense of $1,445 and $4,875 for the three month and nine month periods ended September 30, 2011, respectively, and $226 and $9,416 for the three month and nine month periods ended September 30, 2010, respectively. In addition, the Company recorded charge-offs, foreign currency translation and other adjustments, resulting in a net decrease to the allowance for doubtful accounts of $513 and $2,435 for the three month and nine month periods ended September 30, 2011, respectively, and $2,097 and $3,991 for the three month and nine month periods ended September 30, 2010, respectively. At September 30, 2011 and December 31, 2010, the Company had receivables deemed past due or uncollectible of $21,255 and $17,101, respectively.</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Customers and other receivables at September 30, 2011 and December 31, 2010 include $1,433 and $2,121, respectively, of loans to managing directors and employees of the Company that are made in the ordinary course of business at market terms.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4.</w:t>
      </w:r>
      <w:r>
        <w:rPr>
          <w:sz w:val="20"/>
          <w:szCs w:val="20"/>
          <w:color w:val="auto"/>
        </w:rPr>
        <w:tab/>
      </w:r>
      <w:r>
        <w:rPr>
          <w:rFonts w:ascii="Arial" w:cs="Arial" w:eastAsia="Arial" w:hAnsi="Arial"/>
          <w:sz w:val="16"/>
          <w:szCs w:val="16"/>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investments and securities sold, not yet purchased, consist of the following at September 30, 2011 and December 31, 2010: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8"/>
              </w:rPr>
              <w:t>September</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30,</w:t>
            </w:r>
          </w:p>
        </w:tc>
        <w:tc>
          <w:tcPr>
            <w:tcW w:w="660" w:type="dxa"/>
            <w:vAlign w:val="bottom"/>
          </w:tcPr>
          <w:p>
            <w:pPr>
              <w:spacing w:after="0"/>
              <w:rPr>
                <w:sz w:val="12"/>
                <w:szCs w:val="12"/>
                <w:color w:val="auto"/>
              </w:rPr>
            </w:pPr>
          </w:p>
        </w:tc>
        <w:tc>
          <w:tcPr>
            <w:tcW w:w="70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U.S. Government and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1,017</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  31,900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income funds (a)</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36,097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Corporate and other debt and interest-bearing deposits</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21,874</w:t>
            </w:r>
          </w:p>
        </w:tc>
        <w:tc>
          <w:tcPr>
            <w:tcW w:w="700" w:type="dxa"/>
            <w:vAlign w:val="bottom"/>
          </w:tcPr>
          <w:p>
            <w:pPr>
              <w:jc w:val="right"/>
              <w:spacing w:after="0"/>
              <w:rPr>
                <w:sz w:val="20"/>
                <w:szCs w:val="20"/>
                <w:color w:val="auto"/>
              </w:rPr>
            </w:pPr>
            <w:r>
              <w:rPr>
                <w:rFonts w:ascii="Arial" w:cs="Arial" w:eastAsia="Arial" w:hAnsi="Arial"/>
                <w:sz w:val="18"/>
                <w:szCs w:val="18"/>
                <w:color w:val="auto"/>
              </w:rPr>
              <w:t>29,693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58,988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Equities (a)</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4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89,326</w:t>
            </w:r>
          </w:p>
        </w:tc>
        <w:tc>
          <w:tcPr>
            <w:tcW w:w="700" w:type="dxa"/>
            <w:vAlign w:val="bottom"/>
          </w:tcPr>
          <w:p>
            <w:pPr>
              <w:jc w:val="right"/>
              <w:spacing w:after="0"/>
              <w:rPr>
                <w:sz w:val="20"/>
                <w:szCs w:val="20"/>
                <w:color w:val="auto"/>
              </w:rPr>
            </w:pPr>
            <w:r>
              <w:rPr>
                <w:rFonts w:ascii="Arial" w:cs="Arial" w:eastAsia="Arial" w:hAnsi="Arial"/>
                <w:sz w:val="18"/>
                <w:szCs w:val="18"/>
                <w:color w:val="auto"/>
              </w:rPr>
              <w:t>88,437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Interests in alternative asset management funds (a)</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44,737</w:t>
            </w:r>
          </w:p>
        </w:tc>
        <w:tc>
          <w:tcPr>
            <w:tcW w:w="700" w:type="dxa"/>
            <w:vAlign w:val="bottom"/>
          </w:tcPr>
          <w:p>
            <w:pPr>
              <w:jc w:val="right"/>
              <w:spacing w:after="0"/>
              <w:rPr>
                <w:sz w:val="20"/>
                <w:szCs w:val="20"/>
                <w:color w:val="auto"/>
              </w:rPr>
            </w:pPr>
            <w:r>
              <w:rPr>
                <w:rFonts w:ascii="Arial" w:cs="Arial" w:eastAsia="Arial" w:hAnsi="Arial"/>
                <w:sz w:val="18"/>
                <w:szCs w:val="18"/>
                <w:color w:val="auto"/>
              </w:rPr>
              <w:t>58,656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142,778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investments</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11,083</w:t>
            </w:r>
          </w:p>
        </w:tc>
        <w:tc>
          <w:tcPr>
            <w:tcW w:w="700" w:type="dxa"/>
            <w:vAlign w:val="bottom"/>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198,598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346,912</w:t>
            </w:r>
          </w:p>
        </w:tc>
        <w:tc>
          <w:tcPr>
            <w:tcW w:w="700" w:type="dxa"/>
            <w:vAlign w:val="bottom"/>
          </w:tcPr>
          <w:p>
            <w:pPr>
              <w:jc w:val="right"/>
              <w:spacing w:after="0"/>
              <w:rPr>
                <w:sz w:val="20"/>
                <w:szCs w:val="20"/>
                <w:color w:val="auto"/>
              </w:rPr>
            </w:pPr>
            <w:r>
              <w:rPr>
                <w:rFonts w:ascii="Arial" w:cs="Arial" w:eastAsia="Arial" w:hAnsi="Arial"/>
                <w:sz w:val="18"/>
                <w:szCs w:val="18"/>
                <w:color w:val="auto"/>
              </w:rPr>
              <w:t>417,410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4,437</w:t>
            </w:r>
          </w:p>
        </w:tc>
        <w:tc>
          <w:tcPr>
            <w:tcW w:w="70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Investments, at fair value</w:t>
            </w:r>
          </w:p>
        </w:tc>
        <w:tc>
          <w:tcPr>
            <w:tcW w:w="72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gridSpan w:val="3"/>
            <w:vMerge w:val="continue"/>
          </w:tcPr>
          <w:p>
            <w:pPr>
              <w:spacing w:after="0"/>
              <w:rPr>
                <w:sz w:val="19"/>
                <w:szCs w:val="19"/>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w w:val="87"/>
              </w:rPr>
              <w:t>$ 331,392</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$ 398,365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September 30, 2011, fixed income funds, equities and interests in alternative asset management funds include investments with fair values of $5,128,</w:t>
      </w:r>
    </w:p>
    <w:p>
      <w:pPr>
        <w:spacing w:after="0" w:line="38" w:lineRule="exact"/>
        <w:rPr>
          <w:rFonts w:ascii="Arial" w:cs="Arial" w:eastAsia="Arial" w:hAnsi="Arial"/>
          <w:sz w:val="16"/>
          <w:szCs w:val="16"/>
          <w:color w:val="auto"/>
        </w:rPr>
      </w:pPr>
    </w:p>
    <w:p>
      <w:pPr>
        <w:ind w:left="460" w:right="80"/>
        <w:spacing w:after="0" w:line="302" w:lineRule="auto"/>
        <w:rPr>
          <w:rFonts w:ascii="Arial" w:cs="Arial" w:eastAsia="Arial" w:hAnsi="Arial"/>
          <w:sz w:val="16"/>
          <w:szCs w:val="16"/>
          <w:color w:val="auto"/>
        </w:rPr>
      </w:pPr>
      <w:r>
        <w:rPr>
          <w:rFonts w:ascii="Arial" w:cs="Arial" w:eastAsia="Arial" w:hAnsi="Arial"/>
          <w:sz w:val="16"/>
          <w:szCs w:val="16"/>
          <w:color w:val="auto"/>
        </w:rPr>
        <w:t>$18,999 and $4,861, respectively, held in order to satisfy the Company’s liability upon vesting of previously granted Lazard Fund Interest awards (“Lazard Fund Interests”) and other similar arrangements. Lazard Fund Interests represent grants by the Company to eligible employees of actual or notional interests in several Lazard-managed funds (see Note 13 of Notes to Condensed Consolidated Financial Statements).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Company’s debt securities included in the table above are categorized as trading securities. Fixed income funds primarily consist of amounts seeding products of our Asset Management segment. Corporate and other debt primarily consist of United Kingdom (the “U.K.”) government and U.S. state and municipal debt securities.</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Interests in alternative asset management funds represent (i) GP interests owned by Lazard in various Lazard-managed alternative asset management funds and (ii) GP interests consolidated by the Company pertaining to noncontrolling interests in such alternative asset management funds, the latter of which aggregated $7,037 and $8,219 at September 30, 2011 and December 31, 2010, respectively. Such noncontrolling interests, which represent GP interests held directly by certain of our asset management managing directors or employees of the Company, are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40"/>
        <w:spacing w:after="0" w:line="370" w:lineRule="auto"/>
        <w:rPr>
          <w:sz w:val="20"/>
          <w:szCs w:val="20"/>
          <w:color w:val="auto"/>
        </w:rPr>
      </w:pPr>
      <w:r>
        <w:rPr>
          <w:rFonts w:ascii="Arial" w:cs="Arial" w:eastAsia="Arial" w:hAnsi="Arial"/>
          <w:sz w:val="15"/>
          <w:szCs w:val="15"/>
          <w:color w:val="auto"/>
        </w:rPr>
        <w:t>deemed to be controlled by, and therefore consolidated by, the Company in accordance with U.S. GAAP. Noncontrolling interests are presented within “stockholders’ equity” on the consolidated statements of financial condition (see Note 12 of Notes to Condensed Consolidated Financial Statements).</w:t>
      </w:r>
    </w:p>
    <w:p>
      <w:pPr>
        <w:spacing w:after="0" w:line="4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and (ii) Corporate Partners II Limited (“CP II”), a private equity fund targeting significant noncontrolling-stake investments in established public and private companies. Private equity investments also include investments consolidated but not owned by Lazard which relate solely to Lazard’s establishment of a private equity business with the Edgewater Funds (“Edgewater”), a Chicago-based private equity firm, through the acquisition of Edgewater’s management vehicles on July 15, 2009, and aggregated $37,610 and $67,206 at September 30, 2011 and December 31, 2010, respectively. The economic interests that the Company does not own are owned by the leadership team and other investors in the Edgewater management vehicles (see Note 8 of Notes to Condensed Consolidated Financial Statements).</w:t>
      </w:r>
    </w:p>
    <w:p>
      <w:pPr>
        <w:spacing w:after="0" w:line="10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January 24, 2008, Sapphire Industrials Corp. (“Sapphire”), a then newly-organized special purpose acquisition company formed by the Company, completed an initial public offering (the “Sapphire IPO”). Sapphire had been included in equity method investments prior to its dissolution discussed below. Sapphire was formed for the purpose of effecting a business combination within a 24-month period (the “Business Combination”) and net 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 The Company’s investment in Sapphire had been accounted for using the equity method of accounting. On January 6, 2010, Sapphire announced it had not completed the Business Combination and it would dissolve and distribute the funds in the Trust Account to all of its public shareholders, to the extent they were holders of shares issued in the Sapphire IPO. Pursuant to such dissolution, on January 26, 2010, Sapphire made an initial distribution to the Company aggregating $50,319. All Sapphire warrants expired without value.</w:t>
      </w:r>
    </w:p>
    <w:p>
      <w:pPr>
        <w:spacing w:after="0" w:line="10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During the three month and nine month periods ended September 30, 2011 and 2010, the Company recognized gross investment gains and losses in “revenue-other” on its condensed consolidated statements of operations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7"/>
              </w:rPr>
              <w:t>Three Month Period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 Period Ended</w:t>
            </w:r>
          </w:p>
        </w:tc>
      </w:tr>
      <w:tr>
        <w:trPr>
          <w:trHeight w:val="161"/>
        </w:trPr>
        <w:tc>
          <w:tcPr>
            <w:tcW w:w="36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5"/>
              </w:rPr>
              <w:t>September 30,</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2011</w:t>
            </w: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investment gains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17,306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12,226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26,690</w:t>
            </w:r>
          </w:p>
        </w:tc>
        <w:tc>
          <w:tcPr>
            <w:tcW w:w="100" w:type="dxa"/>
            <w:vAlign w:val="bottom"/>
            <w:shd w:val="clear" w:color="auto" w:fill="CCEEFF"/>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23,873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24,145</w:t>
            </w:r>
          </w:p>
        </w:tc>
        <w:tc>
          <w:tcPr>
            <w:tcW w:w="7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7,031</w:t>
            </w:r>
          </w:p>
        </w:tc>
        <w:tc>
          <w:tcPr>
            <w:tcW w:w="100" w:type="dxa"/>
            <w:vAlign w:val="bottom"/>
          </w:tcPr>
          <w:p>
            <w:pPr>
              <w:spacing w:after="0"/>
              <w:rPr>
                <w:sz w:val="19"/>
                <w:szCs w:val="19"/>
                <w:color w:val="auto"/>
              </w:rPr>
            </w:pPr>
          </w:p>
        </w:tc>
      </w:tr>
      <w:tr>
        <w:trPr>
          <w:trHeight w:val="356"/>
        </w:trPr>
        <w:tc>
          <w:tcPr>
            <w:tcW w:w="3660" w:type="dxa"/>
            <w:vAlign w:val="bottom"/>
          </w:tcPr>
          <w:p>
            <w:pPr>
              <w:spacing w:after="0"/>
              <w:rPr>
                <w:sz w:val="24"/>
                <w:szCs w:val="24"/>
                <w:color w:val="auto"/>
              </w:rPr>
            </w:pPr>
          </w:p>
        </w:tc>
        <w:tc>
          <w:tcPr>
            <w:tcW w:w="2840" w:type="dxa"/>
            <w:vAlign w:val="bottom"/>
          </w:tcPr>
          <w:p>
            <w:pPr>
              <w:jc w:val="right"/>
              <w:ind w:right="612"/>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8"/>
              </w:rPr>
              <w:t>Three Month Period Ended</w:t>
            </w:r>
          </w:p>
        </w:tc>
        <w:tc>
          <w:tcPr>
            <w:tcW w:w="340" w:type="dxa"/>
            <w:vAlign w:val="bottom"/>
          </w:tcPr>
          <w:p>
            <w:pPr>
              <w:spacing w:after="0"/>
              <w:rPr>
                <w:sz w:val="14"/>
                <w:szCs w:val="14"/>
                <w:color w:val="auto"/>
              </w:rPr>
            </w:pPr>
          </w:p>
        </w:tc>
        <w:tc>
          <w:tcPr>
            <w:tcW w:w="220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 Period Ended</w:t>
            </w:r>
          </w:p>
        </w:tc>
      </w:tr>
      <w:tr>
        <w:trPr>
          <w:trHeight w:val="161"/>
        </w:trPr>
        <w:tc>
          <w:tcPr>
            <w:tcW w:w="6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4"/>
                <w:szCs w:val="14"/>
                <w:b w:val="1"/>
                <w:bCs w:val="1"/>
                <w:color w:val="auto"/>
                <w:w w:val="87"/>
              </w:rPr>
              <w:t>September 30,</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2011</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2011</w:t>
            </w: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r>
      <w:tr>
        <w:trPr>
          <w:trHeight w:val="210"/>
        </w:trPr>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138</w:t>
            </w:r>
          </w:p>
        </w:tc>
      </w:tr>
    </w:tbl>
    <w:p>
      <w:pPr>
        <w:spacing w:after="0" w:line="13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During the nine month period ended September 30, 2010, the Company recorded within “accumulated other comprehensive loss, net of tax” (“AOCI”) gross pre-tax unrealized investment gains of $8,672 and gross pre-tax unrealized investment losses of $1,950 pertaining to debt securities held at LFB that were designated as “available-for-sale.” With respect to adjustments for items reclassified to earnings, the average cost basis was utilized for purposes of calculating realized investment gains and losses. There were no other-than-temporary impairment charges recognized during the nine month period ended September 30, 2010.</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fourth quarter of 2010, the Company sold its remaining “available-for-sale” debt securities. Accordingly, there were no gross pre-tax investment gains or losses recorded within AOCI during the nine month period ended September 30, 2011.</w:t>
      </w:r>
    </w:p>
    <w:p>
      <w:pPr>
        <w:spacing w:after="0" w:line="1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5.</w:t>
      </w:r>
      <w:r>
        <w:rPr>
          <w:sz w:val="20"/>
          <w:szCs w:val="20"/>
          <w:color w:val="auto"/>
        </w:rPr>
        <w:tab/>
      </w:r>
      <w:r>
        <w:rPr>
          <w:rFonts w:ascii="Arial" w:cs="Arial" w:eastAsia="Arial" w:hAnsi="Arial"/>
          <w:sz w:val="16"/>
          <w:szCs w:val="16"/>
          <w:b w:val="1"/>
          <w:bCs w:val="1"/>
          <w:i w:val="1"/>
          <w:iCs w:val="1"/>
          <w:color w:val="auto"/>
        </w:rPr>
        <w:t>FAIR VALUE MEASUREMENTS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assets valued based on net asset value (“NAV”) redeemable at the measurement date or within the near term without redemption restrictions, or inputs other than quoted prices that are directly observable or derived principally from, or corroborated by, market data.</w:t>
      </w:r>
    </w:p>
    <w:p>
      <w:pPr>
        <w:spacing w:after="0" w:line="49" w:lineRule="exact"/>
        <w:rPr>
          <w:sz w:val="20"/>
          <w:szCs w:val="20"/>
          <w:color w:val="auto"/>
        </w:rPr>
      </w:pPr>
    </w:p>
    <w:p>
      <w:pPr>
        <w:ind w:left="920" w:hanging="904"/>
        <w:spacing w:after="0" w:line="294"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not redeemable within the near term.</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Company’s investments in U.S. Government and agency debt securities as well as its corporate and other debt securities are considered Level 1 assets with the respective fair values based on unadjusted quoted prices in active markets. The Company’s investments in fixed income funds are considered Level 1 assets when their fair values are based on the reported closing price for the fund or Level 2 assets when their fair values are primarily based on broker quotes as provided by external pricing services.</w:t>
      </w:r>
    </w:p>
    <w:p>
      <w:pPr>
        <w:spacing w:after="0" w:line="13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equities is principally classified as Level 1 or Level 2 as follows: marketable equity securities are classified as Level 1 and are valued based on the last trade price on the primary exchange for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fair value of interests in alternative asset management funds is classified as either Level 2 or Level 3 depending on the time frame of any applicable redemption restrictions, and is based on information provided by external pricing services.</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the financial statements of the underlying fund provided by fund managers, appraisals and internal valuations.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2011 and December 31, 2010 into the three-level fair value hierarchy in accordance with fair value measurement disclosure requirements: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September 30, 2011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9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Investments: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1,017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36,097</w:t>
            </w: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Corporate and other debt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17,437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17,437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71,287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89,326</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 alternative asset management funds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36,209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44,737</w:t>
            </w: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142,778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142,778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93,914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105,649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151,432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350,995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1,281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8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1,281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29,654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30,935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60" w:type="dxa"/>
            <w:vAlign w:val="bottom"/>
            <w:vMerge w:val="restart"/>
          </w:tcPr>
          <w:p>
            <w:pPr>
              <w:jc w:val="right"/>
              <w:ind w:right="185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2010</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9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7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31,900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31,900</w:t>
            </w: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33,951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33,951</w:t>
            </w: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Corporate and other debt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21,939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21,939</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21,852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88,437</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 alternative asset management funds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58,656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58,656</w:t>
            </w: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163,482</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163,482</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120,108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116,333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163,798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400,239</w:t>
            </w: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2,897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2,897</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2,897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6,127</w:t>
            </w: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2011 and 2010.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and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and 2010: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1"/>
          </w:tcPr>
          <w:p>
            <w:pPr>
              <w:jc w:val="right"/>
              <w:ind w:right="220"/>
              <w:spacing w:after="0"/>
              <w:rPr>
                <w:sz w:val="20"/>
                <w:szCs w:val="20"/>
                <w:color w:val="auto"/>
              </w:rPr>
            </w:pPr>
            <w:r>
              <w:rPr>
                <w:rFonts w:ascii="Arial" w:cs="Arial" w:eastAsia="Arial" w:hAnsi="Arial"/>
                <w:sz w:val="14"/>
                <w:szCs w:val="14"/>
                <w:b w:val="1"/>
                <w:bCs w:val="1"/>
                <w:color w:val="auto"/>
                <w:w w:val="88"/>
              </w:rPr>
              <w:t>Three Months Ended September 30, 2011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gridSpan w:val="6"/>
          </w:tcPr>
          <w:p>
            <w:pPr>
              <w:jc w:val="center"/>
              <w:ind w:right="346"/>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jc w:val="center"/>
              <w:ind w:right="466"/>
              <w:spacing w:after="0" w:line="149" w:lineRule="exact"/>
              <w:rPr>
                <w:sz w:val="20"/>
                <w:szCs w:val="20"/>
                <w:color w:val="auto"/>
              </w:rPr>
            </w:pPr>
            <w:r>
              <w:rPr>
                <w:rFonts w:ascii="Arial" w:cs="Arial" w:eastAsia="Arial" w:hAnsi="Arial"/>
                <w:sz w:val="14"/>
                <w:szCs w:val="14"/>
                <w:b w:val="1"/>
                <w:bCs w:val="1"/>
                <w:color w:val="auto"/>
                <w:w w:val="87"/>
              </w:rPr>
              <w:t>Realized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6"/>
          </w:tcPr>
          <w:p>
            <w:pPr>
              <w:jc w:val="center"/>
              <w:ind w:right="326"/>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jc w:val="center"/>
              <w:ind w:right="446"/>
              <w:spacing w:after="0" w:line="149" w:lineRule="exact"/>
              <w:rPr>
                <w:sz w:val="20"/>
                <w:szCs w:val="20"/>
                <w:color w:val="auto"/>
              </w:rPr>
            </w:pPr>
            <w:r>
              <w:rPr>
                <w:rFonts w:ascii="Arial" w:cs="Arial" w:eastAsia="Arial" w:hAnsi="Arial"/>
                <w:sz w:val="14"/>
                <w:szCs w:val="14"/>
                <w:b w:val="1"/>
                <w:bCs w:val="1"/>
                <w:color w:val="auto"/>
                <w:w w:val="90"/>
              </w:rPr>
              <w:t>Included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80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0"/>
              </w:rPr>
              <w:t>Beginning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jc w:val="center"/>
              <w:ind w:right="466"/>
              <w:spacing w:after="0" w:line="149" w:lineRule="exact"/>
              <w:rPr>
                <w:sz w:val="20"/>
                <w:szCs w:val="20"/>
                <w:color w:val="auto"/>
              </w:rPr>
            </w:pPr>
            <w:r>
              <w:rPr>
                <w:rFonts w:ascii="Arial" w:cs="Arial" w:eastAsia="Arial" w:hAnsi="Arial"/>
                <w:sz w:val="14"/>
                <w:szCs w:val="14"/>
                <w:b w:val="1"/>
                <w:bCs w:val="1"/>
                <w:color w:val="auto"/>
                <w:w w:val="88"/>
              </w:rPr>
              <w:t>In Revenue-</w:t>
            </w:r>
          </w:p>
        </w:tc>
        <w:tc>
          <w:tcPr>
            <w:tcW w:w="112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Purchases/</w:t>
            </w:r>
          </w:p>
        </w:tc>
        <w:tc>
          <w:tcPr>
            <w:tcW w:w="112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Sales/</w:t>
            </w:r>
          </w:p>
        </w:tc>
        <w:tc>
          <w:tcPr>
            <w:tcW w:w="11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1"/>
              </w:rPr>
              <w:t>Balance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jc w:val="center"/>
              <w:ind w:right="466"/>
              <w:spacing w:after="0"/>
              <w:rPr>
                <w:sz w:val="20"/>
                <w:szCs w:val="20"/>
                <w:color w:val="auto"/>
              </w:rPr>
            </w:pPr>
            <w:r>
              <w:rPr>
                <w:rFonts w:ascii="Arial" w:cs="Arial" w:eastAsia="Arial" w:hAnsi="Arial"/>
                <w:sz w:val="14"/>
                <w:szCs w:val="14"/>
                <w:b w:val="1"/>
                <w:bCs w:val="1"/>
                <w:color w:val="auto"/>
                <w:w w:val="90"/>
              </w:rPr>
              <w:t>Other</w:t>
            </w:r>
          </w:p>
        </w:tc>
        <w:tc>
          <w:tcPr>
            <w:tcW w:w="11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5"/>
              </w:rPr>
              <w:t>Acquisitions</w:t>
            </w: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Dispositions</w:t>
            </w: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6"/>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8"/>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6"/>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174,704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86"/>
              <w:spacing w:after="0"/>
              <w:rPr>
                <w:sz w:val="20"/>
                <w:szCs w:val="20"/>
                <w:color w:val="auto"/>
              </w:rPr>
            </w:pPr>
            <w:r>
              <w:rPr>
                <w:rFonts w:ascii="Arial" w:cs="Arial" w:eastAsia="Arial" w:hAnsi="Arial"/>
                <w:sz w:val="18"/>
                <w:szCs w:val="18"/>
                <w:color w:val="auto"/>
              </w:rPr>
              <w:t>(963)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17,158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72"/>
              <w:spacing w:after="0"/>
              <w:rPr>
                <w:sz w:val="20"/>
                <w:szCs w:val="20"/>
                <w:color w:val="auto"/>
              </w:rPr>
            </w:pPr>
            <w:r>
              <w:rPr>
                <w:rFonts w:ascii="Arial" w:cs="Arial" w:eastAsia="Arial" w:hAnsi="Arial"/>
                <w:sz w:val="18"/>
                <w:szCs w:val="18"/>
                <w:color w:val="auto"/>
              </w:rPr>
              <w:t>(45,058)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(3,063)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142,778</w:t>
            </w:r>
          </w:p>
        </w:tc>
        <w:tc>
          <w:tcPr>
            <w:tcW w:w="100" w:type="dxa"/>
            <w:vAlign w:val="bottom"/>
          </w:tcPr>
          <w:p>
            <w:pPr>
              <w:spacing w:after="0"/>
              <w:rPr>
                <w:sz w:val="18"/>
                <w:szCs w:val="18"/>
                <w:color w:val="auto"/>
              </w:rPr>
            </w:pPr>
          </w:p>
        </w:tc>
      </w:tr>
      <w:tr>
        <w:trPr>
          <w:trHeight w:val="27"/>
        </w:trPr>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174,839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6"/>
              <w:spacing w:after="0"/>
              <w:rPr>
                <w:sz w:val="20"/>
                <w:szCs w:val="20"/>
                <w:color w:val="auto"/>
              </w:rPr>
            </w:pPr>
            <w:r>
              <w:rPr>
                <w:rFonts w:ascii="Arial" w:cs="Arial" w:eastAsia="Arial" w:hAnsi="Arial"/>
                <w:sz w:val="18"/>
                <w:szCs w:val="18"/>
                <w:color w:val="auto"/>
              </w:rPr>
              <w:t>(963)</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25,686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w w:val="90"/>
              </w:rPr>
              <w:t>$ (45,058)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151,432</w:t>
            </w:r>
          </w:p>
        </w:tc>
        <w:tc>
          <w:tcPr>
            <w:tcW w:w="100" w:type="dxa"/>
            <w:vAlign w:val="bottom"/>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1"/>
          </w:tcPr>
          <w:p>
            <w:pPr>
              <w:jc w:val="right"/>
              <w:ind w:right="20"/>
              <w:spacing w:after="0"/>
              <w:rPr>
                <w:sz w:val="20"/>
                <w:szCs w:val="20"/>
                <w:color w:val="auto"/>
              </w:rPr>
            </w:pPr>
            <w:r>
              <w:rPr>
                <w:rFonts w:ascii="Arial" w:cs="Arial" w:eastAsia="Arial" w:hAnsi="Arial"/>
                <w:sz w:val="14"/>
                <w:szCs w:val="14"/>
                <w:b w:val="1"/>
                <w:bCs w:val="1"/>
                <w:color w:val="auto"/>
                <w:w w:val="98"/>
              </w:rPr>
              <w:t>Nine Months Ended September 30, 2011</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46"/>
              <w:spacing w:after="0" w:line="149" w:lineRule="exact"/>
              <w:rPr>
                <w:sz w:val="20"/>
                <w:szCs w:val="20"/>
                <w:color w:val="auto"/>
              </w:rPr>
            </w:pPr>
            <w:r>
              <w:rPr>
                <w:rFonts w:ascii="Arial" w:cs="Arial" w:eastAsia="Arial" w:hAnsi="Arial"/>
                <w:sz w:val="14"/>
                <w:szCs w:val="14"/>
                <w:b w:val="1"/>
                <w:bCs w:val="1"/>
                <w:color w:val="auto"/>
                <w:w w:val="84"/>
              </w:rPr>
              <w:t>Realized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Included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Beginning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6"/>
              <w:spacing w:after="0" w:line="149" w:lineRule="exact"/>
              <w:rPr>
                <w:sz w:val="20"/>
                <w:szCs w:val="20"/>
                <w:color w:val="auto"/>
              </w:rPr>
            </w:pPr>
            <w:r>
              <w:rPr>
                <w:rFonts w:ascii="Arial" w:cs="Arial" w:eastAsia="Arial" w:hAnsi="Arial"/>
                <w:sz w:val="14"/>
                <w:szCs w:val="14"/>
                <w:b w:val="1"/>
                <w:bCs w:val="1"/>
                <w:color w:val="auto"/>
                <w:w w:val="88"/>
              </w:rPr>
              <w:t>In Revenue-</w:t>
            </w:r>
          </w:p>
        </w:tc>
        <w:tc>
          <w:tcPr>
            <w:tcW w:w="300" w:type="dxa"/>
            <w:vAlign w:val="bottom"/>
          </w:tcPr>
          <w:p>
            <w:pPr>
              <w:spacing w:after="0"/>
              <w:rPr>
                <w:sz w:val="12"/>
                <w:szCs w:val="12"/>
                <w:color w:val="auto"/>
              </w:rPr>
            </w:pPr>
          </w:p>
        </w:tc>
        <w:tc>
          <w:tcPr>
            <w:tcW w:w="8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Purchases/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88"/>
              </w:rPr>
              <w:t>Sales/</w:t>
            </w:r>
          </w:p>
        </w:tc>
        <w:tc>
          <w:tcPr>
            <w:tcW w:w="120" w:type="dxa"/>
            <w:vAlign w:val="bottom"/>
          </w:tcPr>
          <w:p>
            <w:pPr>
              <w:spacing w:after="0"/>
              <w:rPr>
                <w:sz w:val="12"/>
                <w:szCs w:val="12"/>
                <w:color w:val="auto"/>
              </w:rPr>
            </w:pPr>
          </w:p>
        </w:tc>
        <w:tc>
          <w:tcPr>
            <w:tcW w:w="10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1"/>
              </w:rPr>
              <w:t>Balance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6"/>
              <w:spacing w:after="0"/>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4"/>
                <w:szCs w:val="14"/>
                <w:color w:val="auto"/>
              </w:rPr>
            </w:pPr>
          </w:p>
        </w:tc>
        <w:tc>
          <w:tcPr>
            <w:tcW w:w="8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Acquisitions</w:t>
            </w:r>
          </w:p>
        </w:tc>
        <w:tc>
          <w:tcPr>
            <w:tcW w:w="220" w:type="dxa"/>
            <w:vAlign w:val="bottom"/>
          </w:tcPr>
          <w:p>
            <w:pPr>
              <w:spacing w:after="0"/>
              <w:rPr>
                <w:sz w:val="14"/>
                <w:szCs w:val="14"/>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0"/>
              </w:rPr>
              <w:t>Dispositions</w:t>
            </w:r>
          </w:p>
        </w:tc>
        <w:tc>
          <w:tcPr>
            <w:tcW w:w="1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316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center"/>
              <w:ind w:left="158"/>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163,482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2,861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30,233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w w:val="92"/>
              </w:rPr>
              <w:t>(54,218)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142,778</w:t>
            </w:r>
          </w:p>
        </w:tc>
        <w:tc>
          <w:tcPr>
            <w:tcW w:w="100" w:type="dxa"/>
            <w:vAlign w:val="bottom"/>
          </w:tcPr>
          <w:p>
            <w:pPr>
              <w:spacing w:after="0"/>
              <w:rPr>
                <w:sz w:val="18"/>
                <w:szCs w:val="18"/>
                <w:color w:val="auto"/>
              </w:rPr>
            </w:pP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163,798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38,761</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(54,413)</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151,432</w:t>
            </w:r>
          </w:p>
        </w:tc>
        <w:tc>
          <w:tcPr>
            <w:tcW w:w="100" w:type="dxa"/>
            <w:vAlign w:val="bottom"/>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12"/>
          </w:tcPr>
          <w:p>
            <w:pPr>
              <w:jc w:val="right"/>
              <w:ind w:right="140"/>
              <w:spacing w:after="0"/>
              <w:rPr>
                <w:sz w:val="20"/>
                <w:szCs w:val="20"/>
                <w:color w:val="auto"/>
              </w:rPr>
            </w:pPr>
            <w:r>
              <w:rPr>
                <w:rFonts w:ascii="Arial" w:cs="Arial" w:eastAsia="Arial" w:hAnsi="Arial"/>
                <w:sz w:val="14"/>
                <w:szCs w:val="14"/>
                <w:b w:val="1"/>
                <w:bCs w:val="1"/>
                <w:color w:val="auto"/>
                <w:w w:val="90"/>
              </w:rPr>
              <w:t>Three Months Ended September 30, 2010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Realized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7"/>
              </w:rPr>
              <w:t>Beginning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8"/>
              </w:rPr>
              <w:t>Purchases/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3"/>
              </w:rPr>
              <w:t>Sales/</w:t>
            </w:r>
          </w:p>
        </w:tc>
        <w:tc>
          <w:tcPr>
            <w:tcW w:w="4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Balance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Revenue-Other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3"/>
              </w:rPr>
              <w:t>Acquisitions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3"/>
          </w:tcPr>
          <w:p>
            <w:pPr>
              <w:ind w:left="3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138,409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4,188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138,708</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617</w:t>
            </w: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1,488</w:t>
            </w:r>
          </w:p>
        </w:tc>
        <w:tc>
          <w:tcPr>
            <w:tcW w:w="500" w:type="dxa"/>
            <w:vAlign w:val="bottom"/>
            <w:gridSpan w:val="3"/>
          </w:tcPr>
          <w:p>
            <w:pPr>
              <w:ind w:left="3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(869)</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4,182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3"/>
          </w:tcPr>
          <w:p>
            <w:pPr>
              <w:jc w:val="right"/>
              <w:ind w:right="800"/>
              <w:spacing w:after="0"/>
              <w:rPr>
                <w:sz w:val="20"/>
                <w:szCs w:val="20"/>
                <w:color w:val="auto"/>
              </w:rPr>
            </w:pPr>
            <w:r>
              <w:rPr>
                <w:rFonts w:ascii="Arial" w:cs="Arial" w:eastAsia="Arial" w:hAnsi="Arial"/>
                <w:sz w:val="14"/>
                <w:szCs w:val="14"/>
                <w:b w:val="1"/>
                <w:bCs w:val="1"/>
                <w:color w:val="auto"/>
                <w:w w:val="96"/>
              </w:rPr>
              <w:t>Nine Months Ended September 30, 2010</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5"/>
          </w:tcPr>
          <w:p>
            <w:pPr>
              <w:jc w:val="center"/>
              <w:ind w:right="260"/>
              <w:spacing w:after="0" w:line="136" w:lineRule="exact"/>
              <w:rPr>
                <w:sz w:val="20"/>
                <w:szCs w:val="20"/>
                <w:color w:val="auto"/>
              </w:rPr>
            </w:pPr>
            <w:r>
              <w:rPr>
                <w:rFonts w:ascii="Arial" w:cs="Arial" w:eastAsia="Arial" w:hAnsi="Arial"/>
                <w:sz w:val="14"/>
                <w:szCs w:val="14"/>
                <w:b w:val="1"/>
                <w:bCs w:val="1"/>
                <w:color w:val="auto"/>
                <w:w w:val="92"/>
              </w:rPr>
              <w:t>Net Unrealized/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Realized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0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Beginning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40" w:type="dxa"/>
            <w:vAlign w:val="bottom"/>
          </w:tcPr>
          <w:p>
            <w:pPr>
              <w:spacing w:after="0"/>
              <w:rPr>
                <w:sz w:val="12"/>
                <w:szCs w:val="12"/>
                <w:color w:val="auto"/>
              </w:rPr>
            </w:pPr>
          </w:p>
        </w:tc>
        <w:tc>
          <w:tcPr>
            <w:tcW w:w="80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Purchases/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78"/>
              </w:rPr>
              <w:t>Sales/</w:t>
            </w:r>
          </w:p>
        </w:tc>
        <w:tc>
          <w:tcPr>
            <w:tcW w:w="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4"/>
                <w:szCs w:val="14"/>
                <w:color w:val="auto"/>
              </w:rPr>
            </w:pPr>
          </w:p>
        </w:tc>
        <w:tc>
          <w:tcPr>
            <w:tcW w:w="12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Revenue-Other</w:t>
            </w:r>
          </w:p>
        </w:tc>
        <w:tc>
          <w:tcPr>
            <w:tcW w:w="14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2"/>
              </w:rPr>
              <w:t>Acquisitions</w:t>
            </w:r>
          </w:p>
        </w:tc>
        <w:tc>
          <w:tcPr>
            <w:tcW w:w="3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Dispositions</w:t>
            </w: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135,914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136,219</w:t>
            </w: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7,048</w:t>
            </w:r>
          </w:p>
        </w:tc>
        <w:tc>
          <w:tcPr>
            <w:tcW w:w="80" w:type="dxa"/>
            <w:vAlign w:val="bottom"/>
          </w:tcPr>
          <w:p>
            <w:pPr>
              <w:spacing w:after="0"/>
              <w:rPr>
                <w:sz w:val="19"/>
                <w:szCs w:val="19"/>
                <w:color w:val="auto"/>
              </w:rPr>
            </w:pPr>
          </w:p>
        </w:tc>
        <w:tc>
          <w:tcPr>
            <w:tcW w:w="5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(2,062)</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(2,437)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Sales/dispositions of private equity investments for the three month and nine month periods ended September 30, 2011 include $42,800 and $49,500, respectively, in connection with a reduction of interests in certain funds of Edgewater as such funds are no longer consolidated by Lazard.</w:t>
      </w:r>
    </w:p>
    <w:p>
      <w:pPr>
        <w:spacing w:after="0" w:line="7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With respect to Level 3 assets held at September 30, 2011 and 2010, net gains (losses) included in earnings for the three month and nine month periods ended September 30, 2011 and the three month and nine month periods ended September 30, 2010 in connection with the change in unrealized gains and losses relating to such assets were $(829), $2,988, $617 and $5,358, respectively.</w:t>
      </w:r>
    </w:p>
    <w:p>
      <w:pPr>
        <w:spacing w:after="0" w:line="12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and fixed income swaps and other derivative contracts to hedge exposures to fluctuations in interest rates, currency exchange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 “available-for-sale” debt securities, which were sold in the fourth quarter of 2010 (see Note 4 of Notes to Condensed Consolidated Financial Statements), the Company elected to not apply hedge accounting to its other derivative instruments held. Gains and losses on the Company’s derivatives not designated as hedging instruments, as well as gains and losses on derivatives then accounted for as fair value hedges, are included in “interest income” and “interest expense”, respectively, or “revenue-other”, depending on the nature of the underlying item, on the consolidated statements of operations. Furthermore, with respect to derivatives then designated as fair value hedges, the hedged item was required to be adjusted for changes in fair value of the risk being hedged, with such adjustment accounted for in the consolidated statements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the derivative instruments above, the Company has recognized a derivative liability relating to its obligation pertaining to Lazard Fund Interests and other similar arrangements, the fair value of which is based on the value of the underlying investments and is included in “accrued compensation and benefits” on the consolidated statement of financial condition as of September 30, 2011. Changes in the fair value of the derivative liability are included in “compensation and benefits” expense on the condensed consolidated statements of operations for the three month and nine month periods ended September 30, 2011, the impact of which directly offsets the changes in the fair value of the underlying investments owned and is reported in “revenue-other” in the condensed consolidated statements of operations.</w:t>
      </w:r>
    </w:p>
    <w:p>
      <w:pPr>
        <w:spacing w:after="0" w:line="131"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As a result of the sale of the Company’s “available-for-sale” debt securities during the fourth quarter of 2010 as discussed above, there were no derivatives designated as hedging instruments for the three month and nine month periods ended September 30, 2011. During the three month and nine month periods ended September 30, 2010, the Company recognized pre-tax losses pertaining to interest rate swaps designated as hedging instruments of $332 and $4,088, respectively. These losses were substantially offset by gains recognized on the hedged risk portion of such “available-for-sale” securities.</w:t>
      </w:r>
    </w:p>
    <w:p>
      <w:pPr>
        <w:spacing w:after="0" w:line="9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table below represents the fair values of the Company’s derivative instruments reported within “other assets” and “other liabilities” and the Company’s derivative liability relating to its obligation pertaining to Lazard Fund Interests and other similar arrangements reported within “accrued compensation and benefits” on the accompanying condensed consolidated statements of financial condition as of September 30, 2011 and December 31, 2010:</w:t>
      </w:r>
    </w:p>
    <w:tbl>
      <w:tblPr>
        <w:tblLayout w:type="fixed"/>
        <w:tblInd w:w="0" w:type="dxa"/>
        <w:tblCellMar>
          <w:top w:w="0" w:type="dxa"/>
          <w:left w:w="0" w:type="dxa"/>
          <w:bottom w:w="0" w:type="dxa"/>
          <w:right w:w="0" w:type="dxa"/>
        </w:tblCellMar>
      </w:tblPr>
      <w:tr>
        <w:trPr>
          <w:trHeight w:val="156"/>
        </w:trPr>
        <w:tc>
          <w:tcPr>
            <w:tcW w:w="49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8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w w:val="85"/>
              </w:rPr>
              <w:t>September 30,</w:t>
            </w:r>
          </w:p>
        </w:tc>
        <w:tc>
          <w:tcPr>
            <w:tcW w:w="700" w:type="dxa"/>
            <w:vAlign w:val="bottom"/>
          </w:tcPr>
          <w:p>
            <w:pPr>
              <w:spacing w:after="0"/>
              <w:rPr>
                <w:sz w:val="13"/>
                <w:szCs w:val="13"/>
                <w:color w:val="auto"/>
              </w:rPr>
            </w:pPr>
          </w:p>
        </w:tc>
        <w:tc>
          <w:tcPr>
            <w:tcW w:w="90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4920" w:type="dxa"/>
            <w:vAlign w:val="bottom"/>
            <w:tcBorders>
              <w:bottom w:val="single" w:sz="8" w:color="CCEEFF"/>
            </w:tcBorders>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4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4260" w:type="dxa"/>
            <w:vAlign w:val="bottom"/>
            <w:gridSpan w:val="2"/>
          </w:tcPr>
          <w:p>
            <w:pPr>
              <w:ind w:left="40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7,963</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4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Arial" w:cs="Arial" w:eastAsia="Arial" w:hAnsi="Arial"/>
                <w:sz w:val="18"/>
                <w:szCs w:val="18"/>
                <w:color w:val="auto"/>
              </w:rPr>
              <w:t>Equity and fixed income swaps and other</w:t>
            </w:r>
          </w:p>
        </w:tc>
        <w:tc>
          <w:tcPr>
            <w:tcW w:w="4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19,603</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4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vMerge w:val="continue"/>
          </w:tcPr>
          <w:p>
            <w:pPr>
              <w:spacing w:after="0"/>
              <w:rPr>
                <w:sz w:val="18"/>
                <w:szCs w:val="18"/>
                <w:color w:val="auto"/>
              </w:rPr>
            </w:pPr>
          </w:p>
        </w:tc>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4260" w:type="dxa"/>
            <w:vAlign w:val="bottom"/>
            <w:gridSpan w:val="2"/>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w:t>
            </w:r>
          </w:p>
        </w:tc>
        <w:tc>
          <w:tcPr>
            <w:tcW w:w="4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Arial" w:cs="Arial" w:eastAsia="Arial" w:hAnsi="Arial"/>
                <w:sz w:val="18"/>
                <w:szCs w:val="18"/>
                <w:color w:val="auto"/>
              </w:rPr>
              <w:t>Lazard Fund Interests and other similar arrangements</w:t>
            </w:r>
          </w:p>
        </w:tc>
        <w:tc>
          <w:tcPr>
            <w:tcW w:w="4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28,988</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29,654</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060" w:type="dxa"/>
            <w:vAlign w:val="bottom"/>
            <w:vMerge w:val="restart"/>
          </w:tcPr>
          <w:p>
            <w:pPr>
              <w:jc w:val="right"/>
              <w:ind w:right="3092"/>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92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80" w:firstLine="456"/>
        <w:spacing w:after="0" w:line="322" w:lineRule="auto"/>
        <w:rPr>
          <w:sz w:val="20"/>
          <w:szCs w:val="20"/>
          <w:color w:val="auto"/>
        </w:rPr>
      </w:pPr>
      <w:r>
        <w:rPr>
          <w:rFonts w:ascii="Arial" w:cs="Arial" w:eastAsia="Arial" w:hAnsi="Arial"/>
          <w:sz w:val="15"/>
          <w:szCs w:val="15"/>
          <w:color w:val="auto"/>
        </w:rPr>
        <w:t>Net gains (losses) with respect to derivative instruments not designated as hedging instruments (predominantly reflected in “revenue-other”) and the Company’s derivative liability relating to its obligation pertaining to Lazard Fund Interests and other similar arrangements (reported in “compensation and benefits” expense, which directly offsets corresponding amounts reported in “revenue-other” as described above) as reflected on the accompanying condensed consolidated statements of operations for the three month and nine month periods ended September 30, 2011 and 2010, by type of derivative, were as follows:</w:t>
      </w:r>
    </w:p>
    <w:tbl>
      <w:tblPr>
        <w:tblLayout w:type="fixed"/>
        <w:tblInd w:w="0" w:type="dxa"/>
        <w:tblCellMar>
          <w:top w:w="0" w:type="dxa"/>
          <w:left w:w="0" w:type="dxa"/>
          <w:bottom w:w="0" w:type="dxa"/>
          <w:right w:w="0" w:type="dxa"/>
        </w:tblCellMar>
      </w:tblPr>
      <w:tr>
        <w:trPr>
          <w:trHeight w:val="150"/>
        </w:trPr>
        <w:tc>
          <w:tcPr>
            <w:tcW w:w="57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4"/>
          </w:tcPr>
          <w:p>
            <w:pPr>
              <w:jc w:val="right"/>
              <w:ind w:right="660"/>
              <w:spacing w:after="0" w:line="151" w:lineRule="exact"/>
              <w:rPr>
                <w:sz w:val="20"/>
                <w:szCs w:val="20"/>
                <w:color w:val="auto"/>
              </w:rPr>
            </w:pPr>
            <w:r>
              <w:rPr>
                <w:rFonts w:ascii="Arial" w:cs="Arial" w:eastAsia="Arial" w:hAnsi="Arial"/>
                <w:sz w:val="14"/>
                <w:szCs w:val="14"/>
                <w:b w:val="1"/>
                <w:bCs w:val="1"/>
                <w:color w:val="auto"/>
                <w:w w:val="95"/>
              </w:rPr>
              <w:t>Three Months Ended</w:t>
            </w:r>
          </w:p>
        </w:tc>
        <w:tc>
          <w:tcPr>
            <w:tcW w:w="1640" w:type="dxa"/>
            <w:vAlign w:val="bottom"/>
            <w:gridSpan w:val="6"/>
          </w:tcPr>
          <w:p>
            <w:pPr>
              <w:jc w:val="right"/>
              <w:ind w:right="300"/>
              <w:spacing w:after="0" w:line="151" w:lineRule="exact"/>
              <w:rPr>
                <w:sz w:val="20"/>
                <w:szCs w:val="20"/>
                <w:color w:val="auto"/>
              </w:rPr>
            </w:pPr>
            <w:r>
              <w:rPr>
                <w:rFonts w:ascii="Arial" w:cs="Arial" w:eastAsia="Arial" w:hAnsi="Arial"/>
                <w:sz w:val="14"/>
                <w:szCs w:val="14"/>
                <w:b w:val="1"/>
                <w:bCs w:val="1"/>
                <w:color w:val="auto"/>
              </w:rPr>
              <w:t>Nine Months Ended</w:t>
            </w:r>
          </w:p>
        </w:tc>
      </w:tr>
      <w:tr>
        <w:trPr>
          <w:trHeight w:val="161"/>
        </w:trPr>
        <w:tc>
          <w:tcPr>
            <w:tcW w:w="5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72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(11,884)</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$(2,856)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Interest rate swaps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 and 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12,014</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(2,850)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Lazard Fund Interests and other similar arrangements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(3,961)</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14,610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(18,782)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$ 2,492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(2,347)</w:t>
            </w:r>
          </w:p>
        </w:tc>
      </w:tr>
      <w:tr>
        <w:trPr>
          <w:trHeight w:val="20"/>
        </w:trPr>
        <w:tc>
          <w:tcPr>
            <w:tcW w:w="5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7.</w:t>
      </w:r>
      <w:r>
        <w:rPr>
          <w:sz w:val="20"/>
          <w:szCs w:val="20"/>
          <w:color w:val="auto"/>
        </w:rPr>
        <w:tab/>
      </w:r>
      <w:r>
        <w:rPr>
          <w:rFonts w:ascii="Arial" w:cs="Arial" w:eastAsia="Arial" w:hAnsi="Arial"/>
          <w:sz w:val="16"/>
          <w:szCs w:val="16"/>
          <w:b w:val="1"/>
          <w:bCs w:val="1"/>
          <w:i w:val="1"/>
          <w:iCs w:val="1"/>
          <w:color w:val="auto"/>
        </w:rPr>
        <w:t>LAM MERGER TRANSACTION</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9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aggregate non-contingent consideration relating to the equity interests of LAM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related liabilities for the present value of the unpaid cash consideration have been recorded in the accompanying condensed consolidated statements of financial condition in “accrued compensation and benefits” and “other liabilities”, and amounted to $15,649 and $74,930, respectively, as of September 30, 2011, and $15,152 and $71,394, respectively, as of December 31, 2010.</w:t>
      </w:r>
    </w:p>
    <w:p>
      <w:pPr>
        <w:spacing w:after="0" w:line="1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8.</w:t>
      </w:r>
      <w:r>
        <w:rPr>
          <w:sz w:val="20"/>
          <w:szCs w:val="20"/>
          <w:color w:val="auto"/>
        </w:rPr>
        <w:tab/>
      </w:r>
      <w:r>
        <w:rPr>
          <w:rFonts w:ascii="Arial" w:cs="Arial" w:eastAsia="Arial" w:hAnsi="Arial"/>
          <w:sz w:val="16"/>
          <w:szCs w:val="16"/>
          <w:b w:val="1"/>
          <w:bCs w:val="1"/>
          <w:i w:val="1"/>
          <w:iCs w:val="1"/>
          <w:color w:val="auto"/>
        </w:rPr>
        <w:t>BUSINESS ACQUISITIONS</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current leadership team retained a substantial economic interest in such entities.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w:t>
      </w:r>
    </w:p>
    <w:p>
      <w:pPr>
        <w:spacing w:after="0" w:line="1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prior years, the Company made certain other business acquisitions.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September 30, 2011 and December 31, 2010, 47,474 and 1,295,029 shares of Class A common stock, respectively, were issuable on a non-contingent basis. Additionally, at December 31, 2010, 4,862 shares of Series A preferred stock were convertible into Class A common shares on a non-contingent basis, with the number of Class A common shares dependent on certain variables (see Note 12 of Notes to Condensed Consolidated Financial Statements). During the nine month period ended September 30, 2011, an additional 9,238 shares became convertible, with the total of 14,100 shares of Series A preferred stock converting into 2,434,561 shares of Class A common stock during the period. Depending upon the future performance of such businesses acquired, at September 30, 2011 and December 31, 2010, 7,921 and 17,159 shares of Series A preferred stock were contingently convertible into shares of Class A common stock.</w:t>
      </w:r>
    </w:p>
    <w:p>
      <w:pPr>
        <w:spacing w:after="0" w:line="1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9.</w:t>
      </w:r>
      <w:r>
        <w:rPr>
          <w:sz w:val="20"/>
          <w:szCs w:val="20"/>
          <w:color w:val="auto"/>
        </w:rPr>
        <w:tab/>
      </w:r>
      <w:r>
        <w:rPr>
          <w:rFonts w:ascii="Arial" w:cs="Arial" w:eastAsia="Arial" w:hAnsi="Arial"/>
          <w:sz w:val="16"/>
          <w:szCs w:val="16"/>
          <w:b w:val="1"/>
          <w:bCs w:val="1"/>
          <w:i w:val="1"/>
          <w:iCs w:val="1"/>
          <w:color w:val="auto"/>
        </w:rPr>
        <w:t>GOODWILL AND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goodwill and other intangible assets as of September 30, 2011 and December 31, 2010 are presented below:</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260" w:type="dxa"/>
            <w:vAlign w:val="bottom"/>
            <w:gridSpan w:val="3"/>
          </w:tcPr>
          <w:p>
            <w:pPr>
              <w:ind w:left="1440"/>
              <w:spacing w:after="0"/>
              <w:rPr>
                <w:sz w:val="20"/>
                <w:szCs w:val="20"/>
                <w:color w:val="auto"/>
              </w:rPr>
            </w:pPr>
            <w:r>
              <w:rPr>
                <w:rFonts w:ascii="Arial" w:cs="Arial" w:eastAsia="Arial" w:hAnsi="Arial"/>
                <w:sz w:val="14"/>
                <w:szCs w:val="14"/>
                <w:b w:val="1"/>
                <w:bCs w:val="1"/>
                <w:color w:val="auto"/>
                <w:w w:val="83"/>
              </w:rPr>
              <w:t>September 30,</w:t>
            </w:r>
          </w:p>
        </w:tc>
        <w:tc>
          <w:tcPr>
            <w:tcW w:w="1420" w:type="dxa"/>
            <w:vAlign w:val="bottom"/>
            <w:gridSpan w:val="4"/>
          </w:tcPr>
          <w:p>
            <w:pPr>
              <w:ind w:left="54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44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350,921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313,229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43,461</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394,382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361,439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At September 30, 2011 and December 31, 2010, goodwill of $286,380 and $251,599, respectively, was attributable to the Company’s Financial Advisory segment and, at such respective dates, $64,541 and $61,630 of goodwill was attributable to the Company’s Asset Management segment.</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nine month periods ended September 30, 2011 and 2010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$313,229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$261,703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4"/>
              </w:rPr>
              <w:t>Business acquisitions, including $39,654 of additional contingent consideration earned relating to</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prior year business acquisitions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42,566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Balance, September 30</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350,921</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267,722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September 30, 2011 and December 31, 2010,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September 30, 2011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$29,290</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32,624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18,453</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14,171</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32,477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14,117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63,364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43,461</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63,217</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48,210</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Amortization expense of intangible assets for the three month and nine month periods ended September 30, 2011 was $1,716 and $4,896, respectively, and for the three month and nine month periods ended September 30, 2010 was $1,719 and $5,258, respectively. Estimated future amortization expense is as follows:</w:t>
      </w:r>
    </w:p>
    <w:p>
      <w:pPr>
        <w:spacing w:after="0" w:line="3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3620" w:type="dxa"/>
            <w:vAlign w:val="bottom"/>
            <w:gridSpan w:val="4"/>
          </w:tcPr>
          <w:p>
            <w:pPr>
              <w:ind w:left="27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740" w:type="dxa"/>
            <w:vAlign w:val="bottom"/>
            <w:gridSpan w:val="4"/>
            <w:vMerge w:val="continue"/>
          </w:tcPr>
          <w:p>
            <w:pPr>
              <w:spacing w:after="0"/>
              <w:rPr>
                <w:sz w:val="12"/>
                <w:szCs w:val="12"/>
                <w:color w:val="auto"/>
              </w:rPr>
            </w:pPr>
          </w:p>
        </w:tc>
        <w:tc>
          <w:tcPr>
            <w:tcW w:w="2740" w:type="dxa"/>
            <w:vAlign w:val="bottom"/>
          </w:tcPr>
          <w:p>
            <w:pPr>
              <w:spacing w:after="0"/>
              <w:rPr>
                <w:sz w:val="12"/>
                <w:szCs w:val="12"/>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2011 (October 1 through December 31)</w:t>
            </w:r>
          </w:p>
        </w:tc>
        <w:tc>
          <w:tcPr>
            <w:tcW w:w="2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1,399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2012</w:t>
            </w:r>
          </w:p>
        </w:tc>
        <w:tc>
          <w:tcPr>
            <w:tcW w:w="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9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260" w:hanging="4707"/>
        <w:spacing w:after="0" w:line="440" w:lineRule="auto"/>
        <w:tabs>
          <w:tab w:leader="none" w:pos="1474"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48% of intangible asset amortization is attributable to a noncontrolling interest. 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10.</w:t>
      </w:r>
      <w:r>
        <w:rPr>
          <w:sz w:val="20"/>
          <w:szCs w:val="20"/>
          <w:color w:val="auto"/>
        </w:rPr>
        <w:tab/>
      </w:r>
      <w:r>
        <w:rPr>
          <w:rFonts w:ascii="Arial" w:cs="Arial" w:eastAsia="Arial" w:hAnsi="Arial"/>
          <w:sz w:val="16"/>
          <w:szCs w:val="16"/>
          <w:b w:val="1"/>
          <w:bCs w:val="1"/>
          <w:i w:val="1"/>
          <w:iCs w:val="1"/>
          <w:color w:val="auto"/>
        </w:rPr>
        <w:t>SENIOR AND SUBORDINATED DEBT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b w:val="1"/>
          <w:bCs w:val="1"/>
          <w:color w:val="auto"/>
        </w:rPr>
        <w:t>—</w:t>
      </w:r>
      <w:r>
        <w:rPr>
          <w:rFonts w:ascii="Arial" w:cs="Arial" w:eastAsia="Arial" w:hAnsi="Arial"/>
          <w:sz w:val="18"/>
          <w:szCs w:val="18"/>
          <w:color w:val="auto"/>
        </w:rPr>
        <w:t>Senior debt is comprised of the following as of September 30, 2011 and December 31, 2010:</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Initial</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Annual</w:t>
            </w:r>
          </w:p>
        </w:tc>
        <w:tc>
          <w:tcPr>
            <w:tcW w:w="100" w:type="dxa"/>
            <w:vAlign w:val="bottom"/>
          </w:tcPr>
          <w:p>
            <w:pPr>
              <w:spacing w:after="0"/>
              <w:rPr>
                <w:sz w:val="14"/>
                <w:szCs w:val="14"/>
                <w:color w:val="auto"/>
              </w:rPr>
            </w:pPr>
          </w:p>
        </w:tc>
        <w:tc>
          <w:tcPr>
            <w:tcW w:w="22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Outstanding As Of</w:t>
            </w:r>
          </w:p>
        </w:tc>
      </w:tr>
      <w:tr>
        <w:trPr>
          <w:trHeight w:val="129"/>
        </w:trPr>
        <w:tc>
          <w:tcPr>
            <w:tcW w:w="39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1"/>
              </w:rPr>
              <w:t>Principal</w:t>
            </w:r>
          </w:p>
        </w:tc>
        <w:tc>
          <w:tcPr>
            <w:tcW w:w="12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Maturity</w:t>
            </w:r>
          </w:p>
        </w:tc>
        <w:tc>
          <w:tcPr>
            <w:tcW w:w="122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0"/>
              </w:rPr>
              <w:t>Interest</w:t>
            </w:r>
          </w:p>
        </w:tc>
        <w:tc>
          <w:tcPr>
            <w:tcW w:w="8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39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Date</w:t>
            </w:r>
          </w:p>
        </w:tc>
        <w:tc>
          <w:tcPr>
            <w:tcW w:w="6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w:t>
            </w:r>
          </w:p>
        </w:tc>
        <w:tc>
          <w:tcPr>
            <w:tcW w:w="1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$550,000</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5/15/15</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7.125%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Lazard Group 6.85% Senior Notes</w:t>
            </w:r>
          </w:p>
        </w:tc>
        <w:tc>
          <w:tcPr>
            <w:tcW w:w="2700" w:type="dxa"/>
            <w:vAlign w:val="bottom"/>
            <w:gridSpan w:val="3"/>
          </w:tcPr>
          <w:p>
            <w:pPr>
              <w:jc w:val="right"/>
              <w:ind w:right="640"/>
              <w:spacing w:after="0"/>
              <w:rPr>
                <w:sz w:val="20"/>
                <w:szCs w:val="20"/>
                <w:color w:val="auto"/>
              </w:rPr>
            </w:pPr>
            <w:r>
              <w:rPr>
                <w:rFonts w:ascii="Arial" w:cs="Arial" w:eastAsia="Arial" w:hAnsi="Arial"/>
                <w:sz w:val="18"/>
                <w:szCs w:val="18"/>
                <w:color w:val="auto"/>
              </w:rPr>
              <w:t>600,000</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96"/>
              </w:rPr>
              <w:t>6/15/17</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548,350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7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150,000</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6"/>
              </w:rPr>
              <w:t>4/29/13</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3900" w:type="dxa"/>
            <w:vAlign w:val="bottom"/>
          </w:tcPr>
          <w:p>
            <w:pPr>
              <w:ind w:left="44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1,076,850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April 29, 2010, Lazard Group entered into a $150,000, three-year senior revolving credit facility with a group of lenders (the “Credit Facility”). The Credit Facility, as amended, replaced the prior revolving credit facility, which was terminated as a condition to effectiveness of the Credit Facility. Interest rates under the Credit Facility vary and are based on either a Federal Funds rate or a Eurodollar rate, in each case plus an applicable margin. As of September 30, 2011, the annual interest rate for a loan accruing interest (based on the Federal Funds overnight rate), including the applicable margin, was 1.90%. As of September 30, 2011 and December 31, 2010, no amounts were outstanding under the Credit Facility.</w:t>
      </w:r>
    </w:p>
    <w:p>
      <w:pPr>
        <w:spacing w:after="0" w:line="102"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Credit Facility contains customary terms and conditions, including certain financial covenants. In addition, the Credit Facility, the indenture and supplemental indentures relating to Lazard Group’s senior notes, contain certain covenants (none of which relate to financial condition), events of default and other customary provisions, including a customary make-whole provision in the event of early redemption where applicable. As of September 30, 2011, the Company was in compliance with all of these provisions. All of the Company’s senior debt obligations are unsecured.</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September 30, 2011, the Company had approximately $322,000 in unused lines of credit available to it, including the Credit Facility, and unused lines of credit available to LFB of approximately $100,000 (at September 30, 2011 exchange rates) and Edgewater of $65,000. In addition, LFB has access to the Eurosystem Covered Bond Purchase Program of the Banque de France.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b w:val="1"/>
          <w:bCs w:val="1"/>
          <w:color w:val="auto"/>
        </w:rPr>
        <w:t>—</w:t>
      </w:r>
      <w:r>
        <w:rPr>
          <w:rFonts w:ascii="Arial" w:cs="Arial" w:eastAsia="Arial" w:hAnsi="Arial"/>
          <w:sz w:val="16"/>
          <w:szCs w:val="16"/>
          <w:color w:val="auto"/>
        </w:rPr>
        <w:t>Subordinated debt at December 31, 2010 represented a promissory note amounting to $150,000. The note had a maturity date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2016 and had a fixed interest rate of 3.25% per annum. Until June 30, 2011, the note had a conversion feature which permitted the holder to convert the note into a maximum of 2,631,570 shares of Class A common stock at an effective conversion price of $57 per share. No conversions had occurred through that date and the note was no longer convertible. On July 22, 2011, the Company repurchased its outstanding subordinated promissory note, at a cost, excluding accrued interest, of $131,829. Such repurchase resulted in a pre-tax gain of $18,171, which was recognized by the Company in the third quarter of 2011 and included in “revenue-other” on the accompanying Condensed Consolidated Statements of Operations.</w:t>
      </w:r>
    </w:p>
    <w:p>
      <w:pPr>
        <w:spacing w:after="0" w:line="10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Company’s debt at September 30, 2011 and December 31, 2010 are recorded at historical amounts. At September 30, 2011 and December 31, 2010, the fair value of the Company’s senior and subordinated debt outstanding was approximately $1,174,000 and $1,271,000, respectively, and exceeded the aggregate carrying value by approximately $97,000 and $44,000, respectively. The fair value of the Company’s debt was estimated using a discounted cash flow analysis based on the Company’s current borrowing rates for similar types of borrowing arrangements or based on market quotations, where available.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w:t>
      </w:r>
      <w:r>
        <w:rPr>
          <w:rFonts w:ascii="Arial" w:cs="Arial" w:eastAsia="Arial" w:hAnsi="Arial"/>
          <w:sz w:val="18"/>
          <w:szCs w:val="18"/>
          <w:color w:val="auto"/>
        </w:rPr>
        <w:t>Lazard has various leases and other contractual commitments arising in the ordinary course of business. At September 30, 2011, minimum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under non-cancelable operating leases, net of sublease income, are approximately as follows:</w:t>
      </w:r>
    </w:p>
    <w:p>
      <w:pPr>
        <w:spacing w:after="0" w:line="1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(October 1 through December 31)</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2014</w:t>
            </w:r>
          </w:p>
        </w:tc>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1,080,135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520" w:type="dxa"/>
            <w:vAlign w:val="bottom"/>
            <w:gridSpan w:val="3"/>
          </w:tcPr>
          <w:p>
            <w:pPr>
              <w:spacing w:after="0"/>
              <w:rPr>
                <w:sz w:val="20"/>
                <w:szCs w:val="20"/>
                <w:color w:val="auto"/>
              </w:rPr>
            </w:pPr>
            <w:r>
              <w:rPr>
                <w:rFonts w:ascii="Arial" w:cs="Arial" w:eastAsia="Arial" w:hAnsi="Arial"/>
                <w:sz w:val="18"/>
                <w:szCs w:val="18"/>
                <w:color w:val="auto"/>
              </w:rPr>
              <w:t>Sublease proceeds</w:t>
            </w:r>
          </w:p>
        </w:tc>
        <w:tc>
          <w:tcPr>
            <w:tcW w:w="2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180,647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40" w:firstLine="456"/>
        <w:spacing w:after="0" w:line="258"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b w:val="1"/>
          <w:bCs w:val="1"/>
          <w:color w:val="auto"/>
        </w:rPr>
        <w:t>—</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2011, LFB had $4,143 of such indemnifications and held $2,828 of collateral/counter-guarantees to secure these commitments. The Company believes the likelihood of loss with respect to these indemnities is remote. Accordingly, no liability is recorded in the consolidated statement of financial condition.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b w:val="1"/>
          <w:bCs w:val="1"/>
          <w:color w:val="auto"/>
        </w:rPr>
        <w:t>—</w:t>
      </w:r>
      <w:r>
        <w:rPr>
          <w:rFonts w:ascii="Arial" w:cs="Arial" w:eastAsia="Arial" w:hAnsi="Arial"/>
          <w:sz w:val="16"/>
          <w:szCs w:val="16"/>
          <w:color w:val="auto"/>
        </w:rPr>
        <w:t>At September 30, 2011, the maximum principal unfunded commitments by the Company for capital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contributions to investment funds related to (i) CP II, amounting to $2,692 for potential “follow-on investments” and/or for CP II expenses through the earlier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2017 or the liquidation of the fund, (ii) Edgewater Growth Capital Partners III, L.P. (“EGCP III”), an Edgewater private equity fund, amounting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$41,753, through the earlier of October 12, 2016 (i.e., the end of the investment period) for investments and/or expenses (with a portion of the undrawn amount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such commitment as of that date remaining committed until October 12, 2023 in respect of “follow-on investments” and/or EGCP III expenses) or the liquidation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fund and (iii) a $25,000 investment commitment to develop certain real estate investment funds until the earliest of (a) the date on which third-party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management in such funds reach $250,000, (b) December 31, 2013 or (c) the date on which the principal manager of such funds is no longer employed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Lazard.</w:t>
      </w:r>
    </w:p>
    <w:p>
      <w:pPr>
        <w:spacing w:after="0" w:line="145"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b w:val="1"/>
          <w:bCs w:val="1"/>
          <w:color w:val="auto"/>
        </w:rPr>
        <w:t>—</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September 30, 2011 aggregated $16,718.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2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See Notes 7, 8 and 14 of Notes to Condensed Consolidated Financial Statements for information regarding commitments relating to the LAM Merger, business acquisitions and obligations to fund our pension plans, respectively.</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12"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b w:val="1"/>
          <w:bCs w:val="1"/>
          <w:color w:val="auto"/>
        </w:rPr>
        <w:t>—</w:t>
      </w:r>
      <w:r>
        <w:rPr>
          <w:rFonts w:ascii="Arial" w:cs="Arial" w:eastAsia="Arial" w:hAnsi="Arial"/>
          <w:sz w:val="16"/>
          <w:szCs w:val="16"/>
          <w:color w:val="auto"/>
        </w:rPr>
        <w:t>The Company is involved from time to time in a number of judicial, regulatory and arbitration proceedings and inquiries concerning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12.</w:t>
      </w:r>
      <w:r>
        <w:rPr>
          <w:sz w:val="20"/>
          <w:szCs w:val="20"/>
          <w:color w:val="auto"/>
        </w:rPr>
        <w:tab/>
      </w:r>
      <w:r>
        <w:rPr>
          <w:rFonts w:ascii="Arial" w:cs="Arial" w:eastAsia="Arial" w:hAnsi="Arial"/>
          <w:sz w:val="16"/>
          <w:szCs w:val="16"/>
          <w:b w:val="1"/>
          <w:bCs w:val="1"/>
          <w:i w:val="1"/>
          <w:iCs w:val="1"/>
          <w:color w:val="auto"/>
        </w:rPr>
        <w:t>STOCKHOLDERS’ EQUITY</w:t>
      </w:r>
    </w:p>
    <w:p>
      <w:pPr>
        <w:spacing w:after="0" w:line="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Issuance of Class A Common Shares</w:t>
      </w:r>
      <w:r>
        <w:rPr>
          <w:rFonts w:ascii="Arial" w:cs="Arial" w:eastAsia="Arial" w:hAnsi="Arial"/>
          <w:sz w:val="16"/>
          <w:szCs w:val="16"/>
          <w:b w:val="1"/>
          <w:bCs w:val="1"/>
          <w:color w:val="auto"/>
        </w:rPr>
        <w:t>—</w:t>
      </w:r>
      <w:r>
        <w:rPr>
          <w:rFonts w:ascii="Arial" w:cs="Arial" w:eastAsia="Arial" w:hAnsi="Arial"/>
          <w:sz w:val="16"/>
          <w:szCs w:val="16"/>
          <w:color w:val="auto"/>
        </w:rPr>
        <w:t>During the three month period ended March 31, 2010, 3,000,000 shares of Class A common stock were newly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by Lazard Ltd to Lazard Group in connection with the settlement of vested restricted stock unit grants denominated in shares of Class A common stock (“RSUs”). Such shares were authorized as part of the 25,000,000 shares of Class A common stock that may be issued under the Lazard Ltd 2005 Equity Incentive Plan (the “2005 Plan”). In addition, during the third quarters of 2011 and 2010, the Company issued an aggregate of 3,682,116 shares (including 1,247,555 shares delivered from Class A common stock held by a subsidiary) and 888,605 shares of Class A common stock, respectively, in connection with certain prior year business acquisitions (see Note 8 of Notes to Condensed Consolidated Financial Statements).</w:t>
      </w:r>
    </w:p>
    <w:p>
      <w:pPr>
        <w:spacing w:after="0" w:line="97"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b w:val="1"/>
          <w:bCs w:val="1"/>
          <w:color w:val="auto"/>
        </w:rPr>
        <w:t>—</w:t>
      </w:r>
      <w:r>
        <w:rPr>
          <w:rFonts w:ascii="Arial" w:cs="Arial" w:eastAsia="Arial" w:hAnsi="Arial"/>
          <w:sz w:val="16"/>
          <w:szCs w:val="16"/>
          <w:color w:val="auto"/>
        </w:rPr>
        <w:t>Pursuant to the applicable Prospectus Supplements, certain selling shareholders of Lazard Ltd (which include current and former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managing directors of Lazard (and, from time to time, certain of our directors, executive officers or former executive officers) and their permitted transferees (collectively, the “Selling Shareholders”) who hold LAZ-MD Holdings exchangeable interests and/or Class A common stock), may offer to sell shares of Class A common stock pursuant to applicable underwriting and pricing agreements. During the nine month period ended September 30, 2010 two such secondary offerings occurred, which are described below (no secondary offerings occurred during the nine month period ended September 30, 2011).</w:t>
      </w:r>
    </w:p>
    <w:p>
      <w:pPr>
        <w:spacing w:after="0" w:line="10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March 2010, certain Selling Shareholders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“March 2010 Secondary Offering”).</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2010, certain Selling Shareholders (the “August 2010 Selling Shareholders”) sold 7,397,837 shares of Class A common stock at a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$30.32 per share (the “August 2010 Secondary Offering”, and together with the March 2010 Secondary Offering, the “2010 Secondary Offerings”). Separately,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August 2010 Secondary Offering, Lazard Group agreed to purchase from the August 2010 Selling Shareholders 2,500,000 shares of Class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for an aggregate cost of $75,800 ($30.32 per share), with such purchase being part of the share repurchase program in effect during 2010.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aggregate, the August 2010 Selling Shareholders sold a total of 9,897,837 shares of Class A common stock (including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7,194,144 shares of Class A common stock previously received upon the exchange of a like number of LAZ-MD Holdings exchangeable interests and 2,703,693 shares of Class A common stock received upon a simultaneous exchange of a like number of LAZ-MD Holdings exchangeable interests).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Ltd did not receive any net proceeds from the sales of Class A common stock from the 2010 Secondary Offerings.</w:t>
      </w:r>
    </w:p>
    <w:p>
      <w:pPr>
        <w:spacing w:after="0" w:line="15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b w:val="1"/>
          <w:bCs w:val="1"/>
          <w:color w:val="auto"/>
        </w:rPr>
        <w:t>—</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3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nine month periods ended September 30, 2011 and 2010, Lazard Group distributed the following amounts to LAZ-MD Holdings and the subsidiaries of Lazard Ltd (none of which related to tax distributions):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02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100" w:type="dxa"/>
            <w:vAlign w:val="bottom"/>
            <w:shd w:val="clear" w:color="auto" w:fill="CCEEFF"/>
          </w:tcPr>
          <w:p>
            <w:pPr>
              <w:spacing w:after="0"/>
              <w:rPr>
                <w:sz w:val="18"/>
                <w:szCs w:val="18"/>
                <w:color w:val="auto"/>
              </w:rPr>
            </w:pPr>
          </w:p>
        </w:tc>
      </w:tr>
      <w:tr>
        <w:trPr>
          <w:trHeight w:val="223"/>
        </w:trPr>
        <w:tc>
          <w:tcPr>
            <w:tcW w:w="602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3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51,409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36,714</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54,689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45,167</w:t>
            </w:r>
          </w:p>
        </w:tc>
        <w:tc>
          <w:tcPr>
            <w:tcW w:w="100" w:type="dxa"/>
            <w:vAlign w:val="bottom"/>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6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b w:val="1"/>
          <w:bCs w:val="1"/>
          <w:color w:val="auto"/>
        </w:rPr>
        <w:t>—</w:t>
      </w:r>
      <w:r>
        <w:rPr>
          <w:rFonts w:ascii="Arial" w:cs="Arial" w:eastAsia="Arial" w:hAnsi="Arial"/>
          <w:sz w:val="16"/>
          <w:szCs w:val="16"/>
          <w:color w:val="auto"/>
        </w:rPr>
        <w:t>In addition to the simultaneous exchanges that occurred in connection with the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Secondary Offerings discussed above, during the nine month periods ended September 30, 2011 and 2010, Lazard Ltd issued 738,655 and 11,665,618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b w:val="1"/>
          <w:bCs w:val="1"/>
          <w:color w:val="auto"/>
        </w:rPr>
        <w:t>—</w:t>
      </w:r>
      <w:r>
        <w:rPr>
          <w:rFonts w:ascii="Arial" w:cs="Arial" w:eastAsia="Arial" w:hAnsi="Arial"/>
          <w:sz w:val="16"/>
          <w:szCs w:val="16"/>
          <w:color w:val="auto"/>
        </w:rPr>
        <w:t>In January 2010, the Board of Directors of Lazard Ltd authorized, on a cumulative basis, the repurchase of up to $200,000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aggregate cost of its Class A common stock and Lazard Group common membership interests through December 31, 2011. The Company’s prior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 program expired on December 31, 2009. In February 2011, the Board of Directors of Lazard Ltd authorized the repurchase of up to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 in aggregate cost of Class A common stock and Lazard Group common membership interests through December 31, 2012. The Company expects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share repurchase program, with respect to the Class A common stock, will continue to be used primarily to offset a portion of the shares that have been or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issued under the 2005 Plan and the Lazard Ltd 2008 Incentive Compensation Plan (the “2008 Plan”). Pursuant to such authorizations, purchases have been made in the open market or through privately negotiated transactions, and since the inception of the program in February 2006 through September 30, 2011, purchases by Lazard Group with respect to such program are set forth in the table below (including, in the nine month period ended September 30, 2011, purchases of 4,318,916 Class A common shares, at an aggregate cost of $158,617, and the purchase of 19,032 Lazard Group common membership interests, at an aggregate cost of $794):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2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Average Price Per</w:t>
            </w:r>
          </w:p>
        </w:tc>
      </w:tr>
      <w:tr>
        <w:trPr>
          <w:trHeight w:val="149"/>
        </w:trPr>
        <w:tc>
          <w:tcPr>
            <w:tcW w:w="8000" w:type="dxa"/>
            <w:vAlign w:val="bottom"/>
          </w:tcPr>
          <w:p>
            <w:pPr>
              <w:spacing w:after="0"/>
              <w:rPr>
                <w:sz w:val="12"/>
                <w:szCs w:val="12"/>
                <w:color w:val="auto"/>
              </w:rPr>
            </w:pPr>
          </w:p>
        </w:tc>
        <w:tc>
          <w:tcPr>
            <w:tcW w:w="22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11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8000" w:type="dxa"/>
            <w:vAlign w:val="bottom"/>
          </w:tcPr>
          <w:p>
            <w:pPr>
              <w:spacing w:after="0"/>
              <w:rPr>
                <w:sz w:val="12"/>
                <w:szCs w:val="12"/>
                <w:color w:val="auto"/>
              </w:rPr>
            </w:pPr>
          </w:p>
        </w:tc>
        <w:tc>
          <w:tcPr>
            <w:tcW w:w="22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Membership</w:t>
            </w:r>
          </w:p>
        </w:tc>
        <w:tc>
          <w:tcPr>
            <w:tcW w:w="1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8000" w:type="dxa"/>
            <w:vAlign w:val="bottom"/>
          </w:tcPr>
          <w:p>
            <w:pPr>
              <w:spacing w:after="0"/>
              <w:rPr>
                <w:sz w:val="14"/>
                <w:szCs w:val="14"/>
                <w:color w:val="auto"/>
              </w:rPr>
            </w:pPr>
          </w:p>
        </w:tc>
        <w:tc>
          <w:tcPr>
            <w:tcW w:w="22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5"/>
              </w:rPr>
              <w:t>Interests Purchased</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Interest</w:t>
            </w:r>
          </w:p>
        </w:tc>
      </w:tr>
      <w:tr>
        <w:trPr>
          <w:trHeight w:val="210"/>
        </w:trPr>
        <w:tc>
          <w:tcPr>
            <w:tcW w:w="8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21,092,575</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Lazard Group common membership interests</w:t>
            </w:r>
          </w:p>
        </w:tc>
        <w:tc>
          <w:tcPr>
            <w:tcW w:w="1160" w:type="dxa"/>
            <w:vAlign w:val="bottom"/>
          </w:tcPr>
          <w:p>
            <w:pPr>
              <w:jc w:val="right"/>
              <w:spacing w:after="0"/>
              <w:rPr>
                <w:sz w:val="20"/>
                <w:szCs w:val="20"/>
                <w:color w:val="auto"/>
              </w:rPr>
            </w:pPr>
            <w:r>
              <w:rPr>
                <w:rFonts w:ascii="Arial" w:cs="Arial" w:eastAsia="Arial" w:hAnsi="Arial"/>
                <w:sz w:val="18"/>
                <w:szCs w:val="18"/>
                <w:color w:val="auto"/>
              </w:rPr>
              <w:t>1,400,089</w:t>
            </w:r>
          </w:p>
        </w:tc>
        <w:tc>
          <w:tcPr>
            <w:tcW w:w="1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a result of Lazard Group’s delivery of shares of Class A common stock during the four year and nine month period ended September 30, 2011 relating to (i) the settlement of vested RSUs and deferred stock unit grants (“DSUs”), (ii) the incentive plan share awards of shares of restricted Class A common stock and (iii) the issuance of shares of restricted Class A common stock in exchange for RSUs and (iv) the delivery of shares of Class A common stock in connection with business acquisitions, there were 4,098,431 and 6,847,508 shares of Class A common stock held by Lazard Group at September 30, 2011 and December 31, 2010, respectively. Such Class A common shares are reported, at cost, as “Class A common stock held by a subsidiary” on the accompanying condensed consolidated statements of financial condition.</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September 30, 2011, $133,360 of the $450,000 share repurchase amount authorized as of such date remained available under the share repurchase program, which authorization expires on December 31, 2012. On October 26, 2011, Lazard Ltd’s Board of Directors authorized, on a cumulative basis, the repurchase of up to an additional $125,000 in aggregate cost of its Class A common stock and Lazard Group common membership interests, which authorization expires on December 31, 2013, and brings the total remaining repurchase authorization to $258,360, subject to expiration as set forth above. In addition, under the terms of the 2005 Plan and the 2008 Plan, upon the vesting of RSUs, shares of Class A common stock may be withheld by the Company to cover estimated income taxes (see Note 13 of Notes to Condensed Consolidated Financial Statements).</w:t>
      </w:r>
    </w:p>
    <w:p>
      <w:pPr>
        <w:spacing w:after="0" w:line="101"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b w:val="1"/>
          <w:bCs w:val="1"/>
          <w:color w:val="auto"/>
        </w:rPr>
        <w:t>—</w:t>
      </w:r>
      <w:r>
        <w:rPr>
          <w:rFonts w:ascii="Arial" w:cs="Arial" w:eastAsia="Arial" w:hAnsi="Arial"/>
          <w:sz w:val="16"/>
          <w:szCs w:val="16"/>
          <w:color w:val="auto"/>
        </w:rPr>
        <w:t>Lazard Ltd has 15,000,000 authorized shares of preferred stock, par value $0.01 per share, inclusive of its Series A preferred stock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Series B preferred stock. The Series A and Series B preferred shares are each non-participating securities that are or were each convertible into Class A common stock, and have no voting or dividend rights. As of September 30, 2011 and December 31, 2010, 7,921 and 22,021 shares of Series A preferred stock, respectively, were outstanding, and no shares of Series B preferred stock were outstanding at such dates.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At December 31, 2010, 4,862 shares of the Series A preferred shares outstanding were convertible into shares of Class A common stock. During the nine month period ended September 30, 2011, an additional 9,238 shares became convertible, with the total of 14,100 shares of Series A preferred stock converting into shares of Class A common stock during the period. The remaining 7,921 and 17,159 shares of Series A preferred stock outstanding at September 30, 2011 and December 31, 2010, respectively, may become convertible into shares of Class A common stock upon completion or satisfaction of specified obligations in the applicable acquisition agreement. The Series A preferred stock conversion rate into shares of Class A common stock varies, with the ultimate conversion rate dependent on certain variables, including the value of the Class A common stock, as defined, and the currency exchange rate on the date of conversion.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Accumulated Other Comprehensive Income (Loss), Net of Tax</w:t>
      </w:r>
      <w:r>
        <w:rPr>
          <w:rFonts w:ascii="Arial" w:cs="Arial" w:eastAsia="Arial" w:hAnsi="Arial"/>
          <w:sz w:val="15"/>
          <w:szCs w:val="15"/>
          <w:b w:val="1"/>
          <w:bCs w:val="1"/>
          <w:color w:val="auto"/>
        </w:rPr>
        <w:t>—</w:t>
      </w:r>
      <w:r>
        <w:rPr>
          <w:rFonts w:ascii="Arial" w:cs="Arial" w:eastAsia="Arial" w:hAnsi="Arial"/>
          <w:sz w:val="15"/>
          <w:szCs w:val="15"/>
          <w:color w:val="auto"/>
        </w:rPr>
        <w:t>The components of AOCI at September 30, 2011 and December 31, 2010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940" w:type="dxa"/>
            <w:vAlign w:val="bottom"/>
          </w:tcPr>
          <w:p>
            <w:pPr>
              <w:spacing w:after="0"/>
              <w:rPr>
                <w:sz w:val="15"/>
                <w:szCs w:val="15"/>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23"/>
        </w:trPr>
        <w:tc>
          <w:tcPr>
            <w:tcW w:w="894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Interest rate hedge</w:t>
            </w:r>
          </w:p>
        </w:tc>
        <w:tc>
          <w:tcPr>
            <w:tcW w:w="1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(3,820)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(63,136)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(56,595)</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(60,085)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(48,013)</w:t>
            </w:r>
          </w:p>
        </w:tc>
        <w:tc>
          <w:tcPr>
            <w:tcW w:w="0" w:type="dxa"/>
            <w:vAlign w:val="bottom"/>
          </w:tcPr>
          <w:p>
            <w:pPr>
              <w:spacing w:after="0"/>
              <w:rPr>
                <w:sz w:val="1"/>
                <w:szCs w:val="1"/>
                <w:color w:val="auto"/>
              </w:rPr>
            </w:pPr>
          </w:p>
        </w:tc>
      </w:tr>
      <w:tr>
        <w:trPr>
          <w:trHeight w:val="218"/>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(2,373)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Total Lazard Ltd AOCI</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(57,712)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(46,158)</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56"/>
        <w:spacing w:after="0" w:line="378" w:lineRule="auto"/>
        <w:rPr>
          <w:sz w:val="20"/>
          <w:szCs w:val="20"/>
          <w:color w:val="auto"/>
        </w:rPr>
      </w:pPr>
      <w:r>
        <w:rPr>
          <w:rFonts w:ascii="Arial" w:cs="Arial" w:eastAsia="Arial" w:hAnsi="Arial"/>
          <w:sz w:val="15"/>
          <w:szCs w:val="15"/>
          <w:b w:val="1"/>
          <w:bCs w:val="1"/>
          <w:i w:val="1"/>
          <w:iCs w:val="1"/>
          <w:color w:val="auto"/>
        </w:rPr>
        <w:t>Noncontrolling Interests</w:t>
      </w:r>
      <w:r>
        <w:rPr>
          <w:rFonts w:ascii="Arial" w:cs="Arial" w:eastAsia="Arial" w:hAnsi="Arial"/>
          <w:sz w:val="15"/>
          <w:szCs w:val="15"/>
          <w:b w:val="1"/>
          <w:bCs w:val="1"/>
          <w:color w:val="auto"/>
        </w:rPr>
        <w:t>—</w:t>
      </w:r>
      <w:r>
        <w:rPr>
          <w:rFonts w:ascii="Arial" w:cs="Arial" w:eastAsia="Arial" w:hAnsi="Arial"/>
          <w:sz w:val="15"/>
          <w:szCs w:val="15"/>
          <w:color w:val="auto"/>
        </w:rPr>
        <w:t>Noncontrolling interests principally represent interests held in (i) Lazard Group by LAZ-MD Holdings, (ii) Edgewater’s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management vehicles that the Company is deemed to control, but does not own, and (iii) various GP interests which are deemed to be controlled by the Company.</w:t>
      </w:r>
    </w:p>
    <w:p>
      <w:pPr>
        <w:spacing w:after="0" w:line="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of September 30, 2011 and December 31, 2010, LAZ-MD Holdings held approximately 5.3% and 6.0%, respectively, of the outstanding Lazard Group common membership interests. Subject to certain limitations, LAZ-MD Holdings’ interests in Lazard Group are exchangeable for Class A common stock.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tables summarize the changes in ownership interests in Lazard Group held by Lazard Ltd and LAZ-MD Holdings during the nine month periods ended September 30, 2011 and 2010: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00" w:type="dxa"/>
            <w:vAlign w:val="bottom"/>
            <w:gridSpan w:val="4"/>
            <w:vMerge w:val="restart"/>
          </w:tcPr>
          <w:p>
            <w:pPr>
              <w:jc w:val="right"/>
              <w:ind w:right="1240"/>
              <w:spacing w:after="0"/>
              <w:rPr>
                <w:sz w:val="20"/>
                <w:szCs w:val="20"/>
                <w:color w:val="auto"/>
              </w:rPr>
            </w:pPr>
            <w:r>
              <w:rPr>
                <w:rFonts w:ascii="Arial" w:cs="Arial" w:eastAsia="Arial" w:hAnsi="Arial"/>
                <w:sz w:val="18"/>
                <w:szCs w:val="18"/>
                <w:b w:val="1"/>
                <w:bCs w:val="1"/>
                <w:color w:val="auto"/>
              </w:rPr>
              <w:t>Lazard Ltd</w:t>
            </w:r>
          </w:p>
        </w:tc>
        <w:tc>
          <w:tcPr>
            <w:tcW w:w="2820" w:type="dxa"/>
            <w:vAlign w:val="bottom"/>
            <w:gridSpan w:val="4"/>
            <w:vMerge w:val="restart"/>
          </w:tcPr>
          <w:p>
            <w:pPr>
              <w:jc w:val="right"/>
              <w:ind w:right="980"/>
              <w:spacing w:after="0"/>
              <w:rPr>
                <w:sz w:val="20"/>
                <w:szCs w:val="20"/>
                <w:color w:val="auto"/>
              </w:rPr>
            </w:pPr>
            <w:r>
              <w:rPr>
                <w:rFonts w:ascii="Arial" w:cs="Arial" w:eastAsia="Arial" w:hAnsi="Arial"/>
                <w:sz w:val="18"/>
                <w:szCs w:val="18"/>
                <w:b w:val="1"/>
                <w:bCs w:val="1"/>
                <w:color w:val="auto"/>
              </w:rPr>
              <w:t>LAZ-MD Holdings</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800" w:type="dxa"/>
            <w:vAlign w:val="bottom"/>
            <w:gridSpan w:val="4"/>
            <w:vMerge w:val="continue"/>
          </w:tcPr>
          <w:p>
            <w:pPr>
              <w:spacing w:after="0"/>
              <w:rPr>
                <w:sz w:val="9"/>
                <w:szCs w:val="9"/>
                <w:color w:val="auto"/>
              </w:rPr>
            </w:pPr>
          </w:p>
        </w:tc>
        <w:tc>
          <w:tcPr>
            <w:tcW w:w="2820" w:type="dxa"/>
            <w:vAlign w:val="bottom"/>
            <w:gridSpan w:val="4"/>
            <w:vMerge w:val="continue"/>
          </w:tcPr>
          <w:p>
            <w:pPr>
              <w:spacing w:after="0"/>
              <w:rPr>
                <w:sz w:val="9"/>
                <w:szCs w:val="9"/>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Lazard</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7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Group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Common</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Membership</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Membership</w:t>
            </w: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Membership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4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Ownership</w:t>
            </w:r>
          </w:p>
        </w:tc>
        <w:tc>
          <w:tcPr>
            <w:tcW w:w="5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Interests</w:t>
            </w:r>
          </w:p>
        </w:tc>
        <w:tc>
          <w:tcPr>
            <w:tcW w:w="4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Ownership</w:t>
            </w:r>
          </w:p>
        </w:tc>
        <w:tc>
          <w:tcPr>
            <w:tcW w:w="5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Balance, January 1, 2010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92,165,912</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31,520,426</w:t>
            </w: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123,686,338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Activity January 1, 2010 to September 30, 2010:</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with:</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Equity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3,000,000</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2010 Secondary Offerings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8,884,332</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(8,884,332)</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Exchanges for Class A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11,665,618</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(11,665,618)</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Business acquisitions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888,605</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888,605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Repurchase of common membership interests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720" w:type="dxa"/>
            <w:vAlign w:val="bottom"/>
          </w:tcPr>
          <w:p>
            <w:pPr>
              <w:ind w:left="1060"/>
              <w:spacing w:after="0"/>
              <w:rPr>
                <w:sz w:val="20"/>
                <w:szCs w:val="20"/>
                <w:color w:val="auto"/>
              </w:rPr>
            </w:pPr>
            <w:r>
              <w:rPr>
                <w:rFonts w:ascii="Arial" w:cs="Arial" w:eastAsia="Arial" w:hAnsi="Arial"/>
                <w:sz w:val="18"/>
                <w:szCs w:val="18"/>
                <w:color w:val="auto"/>
              </w:rPr>
              <w:t>from LAZ-MD Holdings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(167,286)</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(167,286)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116,604,467</w:t>
            </w:r>
          </w:p>
        </w:tc>
        <w:tc>
          <w:tcPr>
            <w:tcW w:w="1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91.5%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10,803,190</w:t>
            </w: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127,407,657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740" w:type="dxa"/>
            <w:vAlign w:val="bottom"/>
            <w:gridSpan w:val="2"/>
          </w:tcPr>
          <w:p>
            <w:pPr>
              <w:spacing w:after="0"/>
              <w:rPr>
                <w:sz w:val="20"/>
                <w:szCs w:val="20"/>
                <w:color w:val="auto"/>
              </w:rPr>
            </w:pPr>
            <w:r>
              <w:rPr>
                <w:rFonts w:ascii="Arial" w:cs="Arial" w:eastAsia="Arial" w:hAnsi="Arial"/>
                <w:sz w:val="18"/>
                <w:szCs w:val="18"/>
                <w:color w:val="auto"/>
              </w:rPr>
              <w:t>Balance, January 1, 2011</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119,697,936</w:t>
            </w:r>
          </w:p>
        </w:tc>
        <w:tc>
          <w:tcPr>
            <w:tcW w:w="1840" w:type="dxa"/>
            <w:vAlign w:val="bottom"/>
            <w:gridSpan w:val="3"/>
          </w:tcPr>
          <w:p>
            <w:pPr>
              <w:jc w:val="right"/>
              <w:ind w:right="400"/>
              <w:spacing w:after="0"/>
              <w:rPr>
                <w:sz w:val="20"/>
                <w:szCs w:val="20"/>
                <w:color w:val="auto"/>
              </w:rPr>
            </w:pPr>
            <w:r>
              <w:rPr>
                <w:rFonts w:ascii="Arial" w:cs="Arial" w:eastAsia="Arial" w:hAnsi="Arial"/>
                <w:sz w:val="18"/>
                <w:szCs w:val="18"/>
                <w:color w:val="auto"/>
              </w:rPr>
              <w:t>94.0%</w:t>
            </w:r>
          </w:p>
        </w:tc>
        <w:tc>
          <w:tcPr>
            <w:tcW w:w="960" w:type="dxa"/>
            <w:vAlign w:val="bottom"/>
          </w:tcPr>
          <w:p>
            <w:pPr>
              <w:jc w:val="right"/>
              <w:spacing w:after="0"/>
              <w:rPr>
                <w:sz w:val="20"/>
                <w:szCs w:val="20"/>
                <w:color w:val="auto"/>
              </w:rPr>
            </w:pPr>
            <w:r>
              <w:rPr>
                <w:rFonts w:ascii="Arial" w:cs="Arial" w:eastAsia="Arial" w:hAnsi="Arial"/>
                <w:sz w:val="18"/>
                <w:szCs w:val="18"/>
                <w:color w:val="auto"/>
              </w:rPr>
              <w:t>7,652,625</w:t>
            </w:r>
          </w:p>
        </w:tc>
        <w:tc>
          <w:tcPr>
            <w:tcW w:w="460" w:type="dxa"/>
            <w:vAlign w:val="bottom"/>
          </w:tcPr>
          <w:p>
            <w:pPr>
              <w:spacing w:after="0"/>
              <w:rPr>
                <w:sz w:val="24"/>
                <w:szCs w:val="2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6.0%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127,350,561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Activity January 1, 2011 to September 30, 2011:</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Common membership interest activity in connection</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with:</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Exchanges for Class A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738,655</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(738,655)</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Business acquisitions</w:t>
            </w:r>
          </w:p>
        </w:tc>
        <w:tc>
          <w:tcPr>
            <w:tcW w:w="960" w:type="dxa"/>
            <w:vAlign w:val="bottom"/>
          </w:tcPr>
          <w:p>
            <w:pPr>
              <w:jc w:val="right"/>
              <w:spacing w:after="0"/>
              <w:rPr>
                <w:sz w:val="20"/>
                <w:szCs w:val="20"/>
                <w:color w:val="auto"/>
              </w:rPr>
            </w:pPr>
            <w:r>
              <w:rPr>
                <w:rFonts w:ascii="Arial" w:cs="Arial" w:eastAsia="Arial" w:hAnsi="Arial"/>
                <w:sz w:val="18"/>
                <w:szCs w:val="18"/>
                <w:color w:val="auto"/>
              </w:rPr>
              <w:t>2,434,561</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2,434,561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membership interests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from LAZ-MD Holdings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(19,032)</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Balance, September 30, 2011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122,871,152</w:t>
            </w:r>
          </w:p>
        </w:tc>
        <w:tc>
          <w:tcPr>
            <w:tcW w:w="1840" w:type="dxa"/>
            <w:vAlign w:val="bottom"/>
            <w:gridSpan w:val="3"/>
          </w:tcPr>
          <w:p>
            <w:pPr>
              <w:jc w:val="right"/>
              <w:ind w:right="400"/>
              <w:spacing w:after="0"/>
              <w:rPr>
                <w:sz w:val="20"/>
                <w:szCs w:val="20"/>
                <w:color w:val="auto"/>
              </w:rPr>
            </w:pPr>
            <w:r>
              <w:rPr>
                <w:rFonts w:ascii="Arial" w:cs="Arial" w:eastAsia="Arial" w:hAnsi="Arial"/>
                <w:sz w:val="18"/>
                <w:szCs w:val="18"/>
                <w:color w:val="auto"/>
              </w:rPr>
              <w:t>94.7%</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6,894,938</w:t>
            </w:r>
          </w:p>
        </w:tc>
        <w:tc>
          <w:tcPr>
            <w:tcW w:w="46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129,766,090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nine month periods ended September 30, 2011 and 2010 did not materially impact Lazard Ltd’s stockholders’ equity.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net income (loss) attributable to noncontrolling interests for the three month and nine month periods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2011 and 2010 and noncontrolling interests as of September 30, 2011 and December 31, 2010 in the Company’s condensed consolidated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7"/>
          </w:tcPr>
          <w:p>
            <w:pPr>
              <w:jc w:val="center"/>
              <w:ind w:right="2"/>
              <w:spacing w:after="0"/>
              <w:rPr>
                <w:sz w:val="20"/>
                <w:szCs w:val="20"/>
                <w:color w:val="auto"/>
              </w:rPr>
            </w:pPr>
            <w:r>
              <w:rPr>
                <w:rFonts w:ascii="Arial" w:cs="Arial" w:eastAsia="Arial" w:hAnsi="Arial"/>
                <w:sz w:val="14"/>
                <w:szCs w:val="14"/>
                <w:b w:val="1"/>
                <w:bCs w:val="1"/>
                <w:color w:val="auto"/>
                <w:w w:val="88"/>
              </w:rPr>
              <w:t>Net Income (Loss) Attributable To</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right="262"/>
              <w:spacing w:after="0"/>
              <w:rPr>
                <w:sz w:val="20"/>
                <w:szCs w:val="20"/>
                <w:color w:val="auto"/>
              </w:rPr>
            </w:pPr>
            <w:r>
              <w:rPr>
                <w:rFonts w:ascii="Arial" w:cs="Arial" w:eastAsia="Arial" w:hAnsi="Arial"/>
                <w:sz w:val="14"/>
                <w:szCs w:val="14"/>
                <w:b w:val="1"/>
                <w:bCs w:val="1"/>
                <w:color w:val="auto"/>
                <w:w w:val="86"/>
              </w:rPr>
              <w:t>Noncontrolling Interests</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720" w:type="dxa"/>
            <w:vAlign w:val="bottom"/>
            <w:gridSpan w:val="6"/>
          </w:tcPr>
          <w:p>
            <w:pPr>
              <w:jc w:val="right"/>
              <w:ind w:right="360"/>
              <w:spacing w:after="0" w:line="129" w:lineRule="exact"/>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Pr>
          <w:p>
            <w:pPr>
              <w:spacing w:after="0"/>
              <w:rPr>
                <w:sz w:val="11"/>
                <w:szCs w:val="11"/>
                <w:color w:val="auto"/>
              </w:rPr>
            </w:pPr>
          </w:p>
        </w:tc>
        <w:tc>
          <w:tcPr>
            <w:tcW w:w="15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7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6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52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66"/>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$ 4,209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$ 6,152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$11,955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Edgewater</w:t>
            </w:r>
          </w:p>
        </w:tc>
        <w:tc>
          <w:tcPr>
            <w:tcW w:w="52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(366)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3,511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GP interests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879</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(402)</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$ 4,434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$ 6,263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6"/>
          </w:tcPr>
          <w:p>
            <w:pPr>
              <w:jc w:val="center"/>
              <w:ind w:left="226"/>
              <w:spacing w:after="0"/>
              <w:rPr>
                <w:sz w:val="20"/>
                <w:szCs w:val="20"/>
                <w:color w:val="auto"/>
              </w:rPr>
            </w:pPr>
            <w:r>
              <w:rPr>
                <w:rFonts w:ascii="Arial" w:cs="Arial" w:eastAsia="Arial" w:hAnsi="Arial"/>
                <w:sz w:val="14"/>
                <w:szCs w:val="14"/>
                <w:b w:val="1"/>
                <w:bCs w:val="1"/>
                <w:color w:val="auto"/>
                <w:w w:val="86"/>
              </w:rPr>
              <w:t>Noncontrolling Interests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362"/>
              <w:spacing w:after="0"/>
              <w:rPr>
                <w:sz w:val="20"/>
                <w:szCs w:val="20"/>
                <w:color w:val="auto"/>
              </w:rPr>
            </w:pPr>
            <w:r>
              <w:rPr>
                <w:rFonts w:ascii="Arial" w:cs="Arial" w:eastAsia="Arial" w:hAnsi="Arial"/>
                <w:sz w:val="14"/>
                <w:szCs w:val="14"/>
                <w:b w:val="1"/>
                <w:bCs w:val="1"/>
                <w:color w:val="auto"/>
                <w:w w:val="90"/>
              </w:rPr>
              <w:t>As Of</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4"/>
          </w:tcPr>
          <w:p>
            <w:pPr>
              <w:jc w:val="right"/>
              <w:ind w:righ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46"/>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30,576</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22,167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Edgewater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105,461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111,289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GP interests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144,683</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center"/>
              <w:ind w:left="796"/>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143,719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i w:val="1"/>
          <w:iCs w:val="1"/>
          <w:color w:val="auto"/>
        </w:rPr>
        <w:t>Dividend Declared, October 2011</w:t>
      </w:r>
      <w:r>
        <w:rPr>
          <w:rFonts w:ascii="Arial" w:cs="Arial" w:eastAsia="Arial" w:hAnsi="Arial"/>
          <w:sz w:val="18"/>
          <w:szCs w:val="18"/>
          <w:b w:val="1"/>
          <w:bCs w:val="1"/>
          <w:color w:val="auto"/>
        </w:rPr>
        <w:t>—</w:t>
      </w:r>
      <w:r>
        <w:rPr>
          <w:rFonts w:ascii="Arial" w:cs="Arial" w:eastAsia="Arial" w:hAnsi="Arial"/>
          <w:sz w:val="18"/>
          <w:szCs w:val="18"/>
          <w:color w:val="auto"/>
        </w:rPr>
        <w:t>On October 26, 2011, the Board of Directors of Lazard Ltd declared a quarterly dividend of $0.16 per share on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payable on November 25, 2011, to stockholders of record on November 7, 2011.</w:t>
      </w:r>
    </w:p>
    <w:p>
      <w:pPr>
        <w:spacing w:after="0" w:line="1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6"/>
          <w:szCs w:val="16"/>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and nine month periods ended September 30, 2011 and 2010,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Class A common stock at the date of grant.</w:t>
      </w:r>
    </w:p>
    <w:p>
      <w:pPr>
        <w:spacing w:after="0" w:line="13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to the shares available under the 2005 Plan, additional shares of Class A common stock are available under the 2008 Plan. The maximum number of shares available under the 2008 Plan is based on a formula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RSUs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and, for purposes of calculating diluted net income per share, are included in the diluted weighted average shares of Class A common stock outstanding using the treasury stock method. Expense relating to RSUs was as follows within the Company’s condensed consolidated statements of operations: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2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c>
          <w:tcPr>
            <w:tcW w:w="1880" w:type="dxa"/>
            <w:vAlign w:val="bottom"/>
            <w:gridSpan w:val="4"/>
          </w:tcPr>
          <w:p>
            <w:pPr>
              <w:ind w:left="480"/>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11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20" w:type="dxa"/>
            <w:vAlign w:val="bottom"/>
            <w:tcBorders>
              <w:top w:val="single" w:sz="8" w:color="auto"/>
            </w:tcBorders>
            <w:gridSpan w:val="2"/>
          </w:tcPr>
          <w:p>
            <w:pPr>
              <w:jc w:val="center"/>
              <w:ind w:left="342"/>
              <w:spacing w:after="0"/>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2010 (*)</w:t>
            </w:r>
          </w:p>
        </w:tc>
        <w:tc>
          <w:tcPr>
            <w:tcW w:w="100" w:type="dxa"/>
            <w:vAlign w:val="bottom"/>
          </w:tcPr>
          <w:p>
            <w:pPr>
              <w:spacing w:after="0"/>
              <w:rPr>
                <w:sz w:val="19"/>
                <w:szCs w:val="19"/>
                <w:color w:val="auto"/>
              </w:rPr>
            </w:pPr>
          </w:p>
        </w:tc>
      </w:tr>
      <w:tr>
        <w:trPr>
          <w:trHeight w:val="210"/>
        </w:trPr>
        <w:tc>
          <w:tcPr>
            <w:tcW w:w="7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Compensation and benefits</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$58,489</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$46,814</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$200,899</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$201,157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46,880</w:t>
            </w:r>
          </w:p>
        </w:tc>
        <w:tc>
          <w:tcPr>
            <w:tcW w:w="100" w:type="dxa"/>
            <w:vAlign w:val="bottom"/>
          </w:tcPr>
          <w:p>
            <w:pPr>
              <w:spacing w:after="0"/>
              <w:rPr>
                <w:sz w:val="19"/>
                <w:szCs w:val="19"/>
                <w:color w:val="auto"/>
              </w:rPr>
            </w:pPr>
          </w:p>
        </w:tc>
      </w:tr>
      <w:tr>
        <w:trPr>
          <w:trHeight w:val="216"/>
        </w:trPr>
        <w:tc>
          <w:tcPr>
            <w:tcW w:w="7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58,489</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46,814</w:t>
            </w:r>
          </w:p>
        </w:tc>
        <w:tc>
          <w:tcPr>
            <w:tcW w:w="11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200,899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248,037</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during the nine month period ended September 30, 2010, $24,860 relating to the January 2010 amendment of the Company’s retirement policy (described below).</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nine month periods ended September 30, 2011 and 2010, issuances of RSUs pertaining to such dividend participation rights and respective charges to “retained earnings”, net of estimated forfeitures (with corresponding credits to “additional paid-in-capital”),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9560" w:type="dxa"/>
            <w:vAlign w:val="bottom"/>
          </w:tcPr>
          <w:p>
            <w:pPr>
              <w:spacing w:after="0"/>
              <w:rPr>
                <w:sz w:val="14"/>
                <w:szCs w:val="14"/>
                <w:color w:val="auto"/>
              </w:rPr>
            </w:pPr>
          </w:p>
        </w:tc>
        <w:tc>
          <w:tcPr>
            <w:tcW w:w="18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September 30</w:t>
            </w:r>
          </w:p>
        </w:tc>
      </w:tr>
      <w:tr>
        <w:trPr>
          <w:trHeight w:val="142"/>
        </w:trPr>
        <w:tc>
          <w:tcPr>
            <w:tcW w:w="95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210"/>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RSUs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251,146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244,754</w:t>
            </w:r>
          </w:p>
        </w:tc>
        <w:tc>
          <w:tcPr>
            <w:tcW w:w="120" w:type="dxa"/>
            <w:vAlign w:val="bottom"/>
            <w:shd w:val="clear" w:color="auto" w:fill="CCEEFF"/>
          </w:tcPr>
          <w:p>
            <w:pPr>
              <w:spacing w:after="0"/>
              <w:rPr>
                <w:sz w:val="18"/>
                <w:szCs w:val="18"/>
                <w:color w:val="auto"/>
              </w:rPr>
            </w:pP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720" w:type="dxa"/>
            <w:vAlign w:val="bottom"/>
          </w:tcPr>
          <w:p>
            <w:pPr>
              <w:jc w:val="right"/>
              <w:spacing w:after="0"/>
              <w:rPr>
                <w:sz w:val="20"/>
                <w:szCs w:val="20"/>
                <w:color w:val="auto"/>
              </w:rPr>
            </w:pPr>
            <w:r>
              <w:rPr>
                <w:rFonts w:ascii="Arial" w:cs="Arial" w:eastAsia="Arial" w:hAnsi="Arial"/>
                <w:sz w:val="18"/>
                <w:szCs w:val="18"/>
                <w:color w:val="auto"/>
              </w:rPr>
              <w:t>$8,169</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$6,963</w:t>
            </w:r>
          </w:p>
        </w:tc>
        <w:tc>
          <w:tcPr>
            <w:tcW w:w="120" w:type="dxa"/>
            <w:vAlign w:val="bottom"/>
          </w:tcPr>
          <w:p>
            <w:pPr>
              <w:spacing w:after="0"/>
              <w:rPr>
                <w:sz w:val="19"/>
                <w:szCs w:val="19"/>
                <w:color w:val="auto"/>
              </w:rPr>
            </w:pPr>
          </w:p>
        </w:tc>
      </w:tr>
    </w:tbl>
    <w:p>
      <w:pPr>
        <w:spacing w:after="0" w:line="13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three month period ended March 31, 2010 relating to prior years’ awards.</w:t>
      </w:r>
    </w:p>
    <w:p>
      <w:pPr>
        <w:spacing w:after="0" w:line="13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Non-Executive members of the Board of Directors receive approximately 55% of their annual compensation for service on the Board of Directors and its committees in the form of DSUs, which resulted in 26,859 and 31,588 DSUs granted during the nine month periods ended September 30, 2011 and 2010, respectively. Their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nine month periods ended September 30, 2011 and 2010.</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nine month periods ended September 30, 2011 and 2010, 5,371 and 5,912 DSUs, respectively, had been granted pursuant to such Plan.</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DSU awards are expensed at their fair value on their date of grant, which, inclusive of amounts related to the Directors’ Fee Deferral Unit Plan, totaled $70 and $1,194 during the three month and nine month periods ended September 30, 2011, respectively, and $58 and $1,173 during the three month and nine month periods ended September 30, 2010, respectively.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2011 and 2010:</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11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Fair Value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22,108,635</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121,737</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Granted (including 251,146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6,764,420</w:t>
            </w:r>
          </w:p>
        </w:tc>
        <w:tc>
          <w:tcPr>
            <w:tcW w:w="38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43.91</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32,230</w:t>
            </w:r>
          </w:p>
        </w:tc>
        <w:tc>
          <w:tcPr>
            <w:tcW w:w="6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(287,975)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Vested/Converted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(7,848,744)</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39.21</w:t>
            </w:r>
          </w:p>
        </w:tc>
        <w:tc>
          <w:tcPr>
            <w:tcW w:w="4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(16,120)</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20,736,336</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4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137,847</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23,367,813</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103,146</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Granted (including 244,754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7,730,444</w:t>
            </w:r>
          </w:p>
        </w:tc>
        <w:tc>
          <w:tcPr>
            <w:tcW w:w="38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35.66</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37,500</w:t>
            </w:r>
          </w:p>
        </w:tc>
        <w:tc>
          <w:tcPr>
            <w:tcW w:w="6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(726,948)</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Vested/Converted/Exchanged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(7,979,501)</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39.86</w:t>
            </w:r>
          </w:p>
        </w:tc>
        <w:tc>
          <w:tcPr>
            <w:tcW w:w="4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(20,435)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22,391,808</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4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120,211</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satisfied certain employees’ tax obligations in lieu of issuing 2,302,798 and 1,602,999 shares of Class A common stock in connection with RSUs that vested during the periods set forth in the table above. Accordingly, 5,545,946 and 6,335,607 shares of Class A common stock held by Lazard Group were delivered during the nine month periods ended September 30, 2011 and 2010,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September 30, 2011, unrecognized RSU compensation expense, adjusted for estimated forfeitures, was approximately $309,000, with such unrecognized compensation expense expected to be recognized over a weighted average period of approximately 1.5 years subsequent to September 30, 2011.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related to shares of restricted Class A common stock during the nine month periods ended September 30,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327,238</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(327,238)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Balance, September 30, 2011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Granted/Exchanged</w:t>
            </w:r>
          </w:p>
        </w:tc>
        <w:tc>
          <w:tcPr>
            <w:tcW w:w="680" w:type="dxa"/>
            <w:vAlign w:val="bottom"/>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Balance, September 30, 2010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satisfied certain employees’ tax obligations in lieu of delivering 68,866 shares of Class A common stock in connection with shares of restricted Class A common stock that vested during the period set forth in the table above. Accordingly, 258,372 shares of Class A common stock held by Lazard Group were delivered during the nine month period ended September 30, 2011.</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Expense relating to restricted stock awards is charged to “compensation and benefits” expense within the Company’s condensed consolidated statements of operations, and amounted to $374 and $9,373 for the three month and nine month periods ended September 30, 2011, respectively, and $483 and $643 for the three month and nine month periods ended September 30, 2010, respectively. The awards include a cash dividend participation right equivalent to any ordinary quarterly dividends paid on Class A common stock during the period, which will vest concurrently with the underlying restricted stock award. At September 30, 2011, unrecognized restricted stock expense was approximately $1,300, with such expense to be recognized over a weighted average period of approximately 1.0 years subsequent to September 30, 2011.</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purposes of calculating diluted net income per share, such awards are included in the diluted weighted average shares of Class A common stock outstanding using the “treasury stock” method.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Incentive Awards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previously described, in February 2011, the Company granted to eligible employees Lazard Fund Interests. In connection with the Lazard Fund Interests and other similar arrangements, the Company recorded a prepaid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compensation asset and a corresponding compensation liability at the grant date fair value. The prepaid asset is amortized on a straight-line basis over the applicable vesting periods or requisite service periods. Lazard Fund Interests that do not require future service are expensed immediately.</w:t>
      </w:r>
    </w:p>
    <w:p>
      <w:pPr>
        <w:spacing w:after="0" w:line="7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Lazard Fund Interests granted generally provide for one-third vesting on March 1, 2013 and two-thirds vesting on March 3, 2014. The amortization of the prepaid asset is charged to “compensation and benefits” expense within the Company’s consolidated statement of operations, and amounted to $2,480 and $7,534 for the three month and nine month periods ended September 30, 2011, respectively. As of September 30, 2011, unrecognized compensation expense for Lazard Fund Interests and other similar arrangements, adjusted for estimated forfeitures, was approximately $21,000. Such compensation expense will generally be recognized over a weighted average period of approximately 2.0 years subsequent to September 30, 2011. The related compensation liability is accounted for at fair value as a derivative liability, and is adjusted for changes in the fair value of the underlying investments, with such changes in value directly offset by a corresponding amount recorded to “compensation and benefits” expense within the Company’s consolidated statements of operations (see Note 6 of Notes to Condensed Consolidated Financial Statements).</w:t>
      </w:r>
    </w:p>
    <w:p>
      <w:pPr>
        <w:spacing w:after="0" w:line="10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14.</w:t>
      </w:r>
      <w:r>
        <w:rPr>
          <w:sz w:val="20"/>
          <w:szCs w:val="20"/>
          <w:color w:val="auto"/>
        </w:rPr>
        <w:tab/>
      </w:r>
      <w:r>
        <w:rPr>
          <w:rFonts w:ascii="Arial" w:cs="Arial" w:eastAsia="Arial" w:hAnsi="Arial"/>
          <w:sz w:val="16"/>
          <w:szCs w:val="16"/>
          <w:b w:val="1"/>
          <w:bCs w:val="1"/>
          <w:i w:val="1"/>
          <w:iCs w:val="1"/>
          <w:color w:val="auto"/>
        </w:rPr>
        <w:t>EMPLOYEE BENEFIT PLANS</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87"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b w:val="1"/>
          <w:bCs w:val="1"/>
          <w:color w:val="auto"/>
        </w:rPr>
        <w:t>—</w:t>
      </w:r>
      <w:r>
        <w:rPr>
          <w:rFonts w:ascii="Arial" w:cs="Arial" w:eastAsia="Arial" w:hAnsi="Arial"/>
          <w:sz w:val="16"/>
          <w:szCs w:val="16"/>
          <w:color w:val="auto"/>
        </w:rPr>
        <w:t>In accordance with agreements reached with the Trustees of certain U.K. pension plans in 2005,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obligated to make further contributions to such pension plans based upon the cumulative performance of the plans’ assets against specific benchmarks as measured on June 1, 2009 and subsequently remeasured on June 1, 2010. As of December 31, 2009, the obligation related to the cumulative underperformance of the plans’ assets (the “underperformance obligation”) was payable in equal monthly installments through May 2013. During the year ended December 31, 2010, the Company contributed approximately $8,600 to settle the plans’ underperformance obligation in full.</w:t>
      </w:r>
    </w:p>
    <w:p>
      <w:pPr>
        <w:spacing w:after="0" w:line="10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addition, on June 30, 2009 the Company and Trustees concluded the December 31, 2007 triennial valuation of the U.K. pension plans discussed above, pursuant to which: (i) the Company agreed to contribute, in addition to amounts to cover administrative expenses under the plans, 2.3 million British pounds ($3,584 at September 30, 2011 exchange rates), during each year from 2011 to 2018 inclusive, subject to adjustment resulting from the December 31, 2010 triennial valuation, which the Company expects to have concluded prior to the contribution payment scheduled for 2011, and (ii) to secure the Company’s obligations thereunder, on July 15, 2009 the Company placed in escrow 12.5 million British pounds, with a final redemption date of December 31, 2018. This amount is subject to adjustment based on the results of the December 31, 2010 triennial valuation and subsequent triennial valuations. The aggregate escrow balance has been recorded in “cash deposited with clearing organizations and other segregated cash” and “investments”, respectively, on the accompanying condensed consolidated statements of financial condition. Income on the escrow balance accretes to the Company and is recorded in interest income.</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nine month period ended September 30, 2011, no contribution to these U.K. pension plans was required, and no contributions were required to be made to other pension plans.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components of total benefit cost (credit) for the three month and nine month periods ended September 30,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6"/>
              </w:rPr>
              <w:t>Post-Retirement</w:t>
            </w:r>
          </w:p>
        </w:tc>
      </w:tr>
      <w:tr>
        <w:trPr>
          <w:trHeight w:val="161"/>
        </w:trPr>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6"/>
          </w:tcPr>
          <w:p>
            <w:pPr>
              <w:jc w:val="center"/>
              <w:ind w:left="239"/>
              <w:spacing w:after="0"/>
              <w:rPr>
                <w:sz w:val="20"/>
                <w:szCs w:val="20"/>
                <w:color w:val="auto"/>
              </w:rPr>
            </w:pPr>
            <w:r>
              <w:rPr>
                <w:rFonts w:ascii="Arial" w:cs="Arial" w:eastAsia="Arial" w:hAnsi="Arial"/>
                <w:sz w:val="14"/>
                <w:szCs w:val="14"/>
                <w:b w:val="1"/>
                <w:bCs w:val="1"/>
                <w:color w:val="auto"/>
                <w:w w:val="88"/>
              </w:rPr>
              <w:t>Medical Plans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1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2011</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76"/>
              </w:rPr>
              <w:t>2011</w:t>
            </w:r>
          </w:p>
        </w:tc>
        <w:tc>
          <w:tcPr>
            <w:tcW w:w="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center"/>
              <w:ind w:left="139"/>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7,242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6,921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139"/>
              <w:spacing w:after="0"/>
              <w:rPr>
                <w:sz w:val="20"/>
                <w:szCs w:val="20"/>
                <w:color w:val="auto"/>
              </w:rPr>
            </w:pPr>
            <w:r>
              <w:rPr>
                <w:rFonts w:ascii="Arial" w:cs="Arial" w:eastAsia="Arial" w:hAnsi="Arial"/>
                <w:sz w:val="18"/>
                <w:szCs w:val="18"/>
                <w:color w:val="auto"/>
                <w:w w:val="89"/>
              </w:rPr>
              <w:t>70</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(7,763)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w w:val="87"/>
              </w:rPr>
              <w:t>(7,372)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120" w:type="dxa"/>
            <w:vAlign w:val="bottom"/>
          </w:tcPr>
          <w:p>
            <w:pPr>
              <w:ind w:left="220"/>
              <w:spacing w:after="0"/>
              <w:rPr>
                <w:sz w:val="20"/>
                <w:szCs w:val="20"/>
                <w:color w:val="auto"/>
              </w:rPr>
            </w:pPr>
            <w:r>
              <w:rPr>
                <w:rFonts w:ascii="Arial" w:cs="Arial" w:eastAsia="Arial" w:hAnsi="Arial"/>
                <w:sz w:val="18"/>
                <w:szCs w:val="18"/>
                <w:color w:val="auto"/>
              </w:rPr>
              <w:t>Net periodic benefit cost (credit)</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544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ind w:left="139"/>
              <w:spacing w:after="0"/>
              <w:rPr>
                <w:sz w:val="20"/>
                <w:szCs w:val="20"/>
                <w:color w:val="auto"/>
              </w:rPr>
            </w:pPr>
            <w:r>
              <w:rPr>
                <w:rFonts w:ascii="Arial" w:cs="Arial" w:eastAsia="Arial" w:hAnsi="Arial"/>
                <w:sz w:val="18"/>
                <w:szCs w:val="18"/>
                <w:color w:val="auto"/>
                <w:w w:val="89"/>
              </w:rPr>
              <w:t>88</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r>
      <w:tr>
        <w:trPr>
          <w:trHeight w:val="20"/>
        </w:trPr>
        <w:tc>
          <w:tcPr>
            <w:tcW w:w="7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9"/>
        </w:trPr>
        <w:tc>
          <w:tcPr>
            <w:tcW w:w="7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6"/>
              </w:rPr>
              <w:t>Post-Retirement</w:t>
            </w:r>
          </w:p>
        </w:tc>
      </w:tr>
      <w:tr>
        <w:trPr>
          <w:trHeight w:val="161"/>
        </w:trPr>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6"/>
          </w:tcPr>
          <w:p>
            <w:pPr>
              <w:jc w:val="right"/>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8"/>
              </w:rPr>
              <w:t>Medical Plans</w:t>
            </w:r>
          </w:p>
        </w:tc>
      </w:tr>
      <w:tr>
        <w:trPr>
          <w:trHeight w:val="142"/>
        </w:trPr>
        <w:tc>
          <w:tcPr>
            <w:tcW w:w="7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480" w:type="dxa"/>
            <w:vAlign w:val="bottom"/>
            <w:tcBorders>
              <w:top w:val="single" w:sz="8" w:color="auto"/>
              <w:bottom w:val="single" w:sz="8" w:color="auto"/>
            </w:tcBorders>
            <w:gridSpan w:val="12"/>
          </w:tcPr>
          <w:p>
            <w:pPr>
              <w:jc w:val="right"/>
              <w:ind w:right="300"/>
              <w:spacing w:after="0" w:line="142" w:lineRule="exact"/>
              <w:rPr>
                <w:sz w:val="20"/>
                <w:szCs w:val="20"/>
                <w:color w:val="auto"/>
              </w:rPr>
            </w:pPr>
            <w:r>
              <w:rPr>
                <w:rFonts w:ascii="Arial" w:cs="Arial" w:eastAsia="Arial" w:hAnsi="Arial"/>
                <w:sz w:val="14"/>
                <w:szCs w:val="14"/>
                <w:b w:val="1"/>
                <w:bCs w:val="1"/>
                <w:color w:val="auto"/>
                <w:w w:val="93"/>
              </w:rPr>
              <w:t>Nine Months Ended September 30,</w:t>
            </w: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2010</w:t>
            </w: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2011</w:t>
            </w: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3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52</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21,401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20,708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6"/>
              </w:rPr>
              <w:t>209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920" w:type="dxa"/>
            <w:vAlign w:val="bottom"/>
            <w:gridSpan w:val="5"/>
          </w:tcPr>
          <w:p>
            <w:pPr>
              <w:jc w:val="right"/>
              <w:ind w:right="220"/>
              <w:spacing w:after="0"/>
              <w:rPr>
                <w:sz w:val="20"/>
                <w:szCs w:val="20"/>
                <w:color w:val="auto"/>
              </w:rPr>
            </w:pPr>
            <w:r>
              <w:rPr>
                <w:rFonts w:ascii="Arial" w:cs="Arial" w:eastAsia="Arial" w:hAnsi="Arial"/>
                <w:sz w:val="18"/>
                <w:szCs w:val="18"/>
                <w:color w:val="auto"/>
              </w:rPr>
              <w:t>(23,029)</w:t>
            </w:r>
          </w:p>
        </w:tc>
        <w:tc>
          <w:tcPr>
            <w:tcW w:w="1280" w:type="dxa"/>
            <w:vAlign w:val="bottom"/>
            <w:gridSpan w:val="6"/>
          </w:tcPr>
          <w:p>
            <w:pPr>
              <w:jc w:val="right"/>
              <w:ind w:right="240"/>
              <w:spacing w:after="0"/>
              <w:rPr>
                <w:sz w:val="20"/>
                <w:szCs w:val="20"/>
                <w:color w:val="auto"/>
              </w:rPr>
            </w:pPr>
            <w:r>
              <w:rPr>
                <w:rFonts w:ascii="Arial" w:cs="Arial" w:eastAsia="Arial" w:hAnsi="Arial"/>
                <w:sz w:val="18"/>
                <w:szCs w:val="18"/>
                <w:color w:val="auto"/>
              </w:rPr>
              <w:t>(21,801)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2,108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(1,023)</w:t>
            </w: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120" w:type="dxa"/>
            <w:vAlign w:val="bottom"/>
          </w:tcPr>
          <w:p>
            <w:pPr>
              <w:ind w:left="220"/>
              <w:spacing w:after="0"/>
              <w:rPr>
                <w:sz w:val="20"/>
                <w:szCs w:val="20"/>
                <w:color w:val="auto"/>
              </w:rPr>
            </w:pPr>
            <w:r>
              <w:rPr>
                <w:rFonts w:ascii="Arial" w:cs="Arial" w:eastAsia="Arial" w:hAnsi="Arial"/>
                <w:sz w:val="18"/>
                <w:szCs w:val="18"/>
                <w:color w:val="auto"/>
              </w:rPr>
              <w:t>Net periodic benefit cost (credit)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2,037</w:t>
            </w:r>
          </w:p>
        </w:tc>
        <w:tc>
          <w:tcPr>
            <w:tcW w:w="3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center"/>
              <w:ind w:right="180"/>
              <w:spacing w:after="0"/>
              <w:rPr>
                <w:sz w:val="20"/>
                <w:szCs w:val="20"/>
                <w:color w:val="auto"/>
              </w:rPr>
            </w:pPr>
            <w:r>
              <w:rPr>
                <w:rFonts w:ascii="Arial" w:cs="Arial" w:eastAsia="Arial" w:hAnsi="Arial"/>
                <w:sz w:val="18"/>
                <w:szCs w:val="18"/>
                <w:color w:val="auto"/>
                <w:w w:val="86"/>
              </w:rPr>
              <w:t>261</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(744)</w:t>
            </w:r>
          </w:p>
        </w:tc>
      </w:tr>
      <w:tr>
        <w:trPr>
          <w:trHeight w:val="20"/>
        </w:trPr>
        <w:tc>
          <w:tcPr>
            <w:tcW w:w="7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15.</w:t>
      </w:r>
      <w:r>
        <w:rPr>
          <w:sz w:val="20"/>
          <w:szCs w:val="20"/>
          <w:color w:val="auto"/>
        </w:rPr>
        <w:tab/>
      </w:r>
      <w:r>
        <w:rPr>
          <w:rFonts w:ascii="Arial" w:cs="Arial" w:eastAsia="Arial" w:hAnsi="Arial"/>
          <w:sz w:val="16"/>
          <w:szCs w:val="16"/>
          <w:b w:val="1"/>
          <w:bCs w:val="1"/>
          <w:i w:val="1"/>
          <w:iCs w:val="1"/>
          <w:color w:val="auto"/>
        </w:rPr>
        <w:t>RESTRUCTURING PLANS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the three month period ended March 31, 2010, the Company announced a restructuring plan which included certain staff reductions and realignments of personnel (the “2010 Restructuring Plan”). In connection with the 2010 Restructuring Plan, the Company recorded a charge in the first quarter of 2010 of $87,108, inclusive of $46,880 relating to the acceleration of RSUs (in aggregate, the “2010 Restructuring Charge”).</w:t>
      </w:r>
    </w:p>
    <w:p>
      <w:pPr>
        <w:spacing w:after="0" w:line="9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2010 Restructuring Charge primarily consisted of compensation-related expenses, including the acceleration of unrecognized expenses pertaining to RSUs previously granted to individuals who were terminated pursuant to the restructuring, severance and benefit payments and other costs. As of September 30, 2011 and December 31, 2010, the remaining liability associated with the 2010 Restructuring Plan was $13,036 and $21,381, respectively. In the first quarter of 2009 the Company also announced a restructuring plan (the “2009 Restructuring Plan”). As of September 30, 2011 and December 31, 2010, the remaining liability associated with the 2009 Restructuring Plan was $4,901 and $5,427, respectively. During the nine month period ended September 30, 2011, other than cash payments of $8,345 and $526 for the 2010 Restructuring Plan and the 2009 Restructuring Plan, respectively, there were no adjustments to the amounts relating to the 2010 and 2009</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Restructuring Plans. Liabilities relating to the 2010 and 2009 Restructuring Plans are reported within “accrued compensation and benefits” and “other liabilities” on the accompanying condensed consolidated statements of financial condition.</w:t>
      </w:r>
    </w:p>
    <w:p>
      <w:pPr>
        <w:spacing w:after="0" w:line="1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16.</w:t>
      </w:r>
      <w:r>
        <w:rPr>
          <w:sz w:val="20"/>
          <w:szCs w:val="20"/>
          <w:color w:val="auto"/>
        </w:rPr>
        <w:tab/>
      </w:r>
      <w:r>
        <w:rPr>
          <w:rFonts w:ascii="Arial" w:cs="Arial" w:eastAsia="Arial" w:hAnsi="Arial"/>
          <w:sz w:val="16"/>
          <w:szCs w:val="16"/>
          <w:b w:val="1"/>
          <w:bCs w:val="1"/>
          <w:i w:val="1"/>
          <w:iCs w:val="1"/>
          <w:color w:val="auto"/>
        </w:rPr>
        <w:t>INCOME TAXES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a result of its indirect investments in Lazard Group, Lazard Ltd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7"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The Company recorded income tax provisions of $20,605 and $51,704 for the three month and nine month periods ended September 30, 2011, respectively, and $9,113 and $29,049 for the three month and nine month periods ended September 30, 2010, respectively, representing effective tax rates of 23.5%, 20.6%, 11.5% and 25.9%, respectively. The difference between the U.S. federal statutory rate of 35.0% and the effective tax rates described above principally relates to</w:t>
      </w:r>
    </w:p>
    <w:p>
      <w:pPr>
        <w:spacing w:after="0" w:line="1" w:lineRule="exact"/>
        <w:rPr>
          <w:sz w:val="20"/>
          <w:szCs w:val="20"/>
          <w:color w:val="auto"/>
        </w:rPr>
      </w:pPr>
    </w:p>
    <w:p>
      <w:pPr>
        <w:ind w:firstLine="8"/>
        <w:spacing w:after="0" w:line="302" w:lineRule="auto"/>
        <w:tabs>
          <w:tab w:leader="none" w:pos="2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Lazard Group primarily operating as a limited liability company in the U.S., (ii) foreign source income (loss) not subject to U.S. income taxes, (iii) Lazard Group’s income from U.S. operations attributable to noncontrolling interests, (iv) changes in the valuation allowance on deferred tax assets affecting the provision for income taxes and (v) U.S. state and local taxes (primarily UBT), which are incremental to the U.S. federal statutory tax rate.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redemption of historical partner interests in connection with the Company’s separation and recapitalization that occurred in May 2005 and subsequent exchanges of LAZ-MD Holdings exchangeable interests for shares of Class A common stock have resulted, and future exchanges of LAZ-MD Holdings exchangeable interests for shares of Class A common stock may result, in increases in the tax basis of the tangible and/or intangible assets of Lazard Group. The tax receivable agreement dated as of May 10, 2005 with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As a result, there is no provision for such payments in the nine month periods ended September 30, 2011 and 2010. If any provision is required pursuant to the tax receivable agreement, such amount would be fully offset by a reduction in the Company’s income tax expense.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17.</w:t>
      </w:r>
      <w:r>
        <w:rPr>
          <w:sz w:val="20"/>
          <w:szCs w:val="20"/>
          <w:color w:val="auto"/>
        </w:rPr>
        <w:tab/>
      </w:r>
      <w:r>
        <w:rPr>
          <w:rFonts w:ascii="Arial" w:cs="Arial" w:eastAsia="Arial" w:hAnsi="Arial"/>
          <w:sz w:val="16"/>
          <w:szCs w:val="16"/>
          <w:b w:val="1"/>
          <w:bCs w:val="1"/>
          <w:i w:val="1"/>
          <w:iCs w:val="1"/>
          <w:color w:val="auto"/>
        </w:rPr>
        <w:t>NET INCOME PER SHARE OF CLASS A COMMON STOCK</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three month and nine month periods ended September 30, 2011 and 2010 are computed as described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18"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plus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such shares associated with shares of Class A common stock issuable on a non-contingent basis.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periods as in the basic net income per share calculation described above, plus,</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extent applicable and dilutive, (i) interest expense on convertible debt, (ii) changes in net income attributable to noncontrolling interests resulting from assumed Class A common stock issuances in connection with share-based incentive compensation, convertible debt and convertible preferred stock and, on an “as-if-exchanged” basis, amounts applicable to LAZ-MD Holdings exchangeable interests and (iii) income tax related to (i) and (ii) above.</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as in the basic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calculation described above, plus, to the extent applicable and dilutive, the incremental number of shares of Class A common stock to settle share-based incentive compensation, convertible debt, convertible preferred stock and LAZ-MD Holdings exchangeable interests, using the “treasury stock” method, the “if converted” method or the “as-if-exchanged” basis, as applicable.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three month and nine month periods ended September 30, 2011 and 2010 are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Three Months Ended</w:t>
            </w:r>
          </w:p>
        </w:tc>
        <w:tc>
          <w:tcPr>
            <w:tcW w:w="2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4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2011</w:t>
            </w:r>
          </w:p>
        </w:tc>
        <w:tc>
          <w:tcPr>
            <w:tcW w:w="1240" w:type="dxa"/>
            <w:vAlign w:val="bottom"/>
            <w:tcBorders>
              <w:top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040" w:type="dxa"/>
            <w:vAlign w:val="bottom"/>
            <w:tcBorders>
              <w:top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$62,699</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$64,091</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2"/>
              </w:rPr>
              <w:t>$179,710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3"/>
              </w:rPr>
              <w:t>Add - adjustment associated with Class A common stock issuable on a non-contingent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basis</w:t>
            </w: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179,995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Adjustments to income relating to interest expense and changes in net income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attributable to noncontrolling interests resulting from assumed Class A common</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 issuances in connection with share-based incentive compensation,</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convertible debt, convertible preferred stock and exchangeable interests, net of</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12,692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$66,403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$70,199</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$192,687</w:t>
            </w:r>
          </w:p>
        </w:tc>
        <w:tc>
          <w:tcPr>
            <w:tcW w:w="1060" w:type="dxa"/>
            <w:vAlign w:val="bottom"/>
          </w:tcPr>
          <w:p>
            <w:pPr>
              <w:jc w:val="right"/>
              <w:spacing w:after="0"/>
              <w:rPr>
                <w:sz w:val="20"/>
                <w:szCs w:val="20"/>
                <w:color w:val="auto"/>
              </w:rPr>
            </w:pPr>
            <w:r>
              <w:rPr>
                <w:rFonts w:ascii="Arial" w:cs="Arial" w:eastAsia="Arial" w:hAnsi="Arial"/>
                <w:sz w:val="18"/>
                <w:szCs w:val="18"/>
                <w:color w:val="auto"/>
              </w:rPr>
              <w:t>$79,212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115,071,470</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108,302,438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114,026,323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98,579,076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0"/>
              </w:rPr>
              <w:t>Add - adjustment for shares of Class A common stock issuable on a non-contingent basis</w:t>
            </w:r>
          </w:p>
        </w:tc>
        <w:tc>
          <w:tcPr>
            <w:tcW w:w="1040" w:type="dxa"/>
            <w:vAlign w:val="bottom"/>
          </w:tcPr>
          <w:p>
            <w:pPr>
              <w:jc w:val="right"/>
              <w:spacing w:after="0"/>
              <w:rPr>
                <w:sz w:val="20"/>
                <w:szCs w:val="20"/>
                <w:color w:val="auto"/>
              </w:rPr>
            </w:pPr>
            <w:r>
              <w:rPr>
                <w:rFonts w:ascii="Arial" w:cs="Arial" w:eastAsia="Arial" w:hAnsi="Arial"/>
                <w:sz w:val="18"/>
                <w:szCs w:val="18"/>
                <w:color w:val="auto"/>
              </w:rPr>
              <w:t>3,244,474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2,756,633</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3,559,705</w:t>
            </w:r>
          </w:p>
        </w:tc>
        <w:tc>
          <w:tcPr>
            <w:tcW w:w="1060" w:type="dxa"/>
            <w:vAlign w:val="bottom"/>
          </w:tcPr>
          <w:p>
            <w:pPr>
              <w:jc w:val="right"/>
              <w:spacing w:after="0"/>
              <w:rPr>
                <w:sz w:val="20"/>
                <w:szCs w:val="20"/>
                <w:color w:val="auto"/>
              </w:rPr>
            </w:pPr>
            <w:r>
              <w:rPr>
                <w:rFonts w:ascii="Arial" w:cs="Arial" w:eastAsia="Arial" w:hAnsi="Arial"/>
                <w:sz w:val="18"/>
                <w:szCs w:val="18"/>
                <w:color w:val="auto"/>
              </w:rPr>
              <w:t>2,861,665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number of shares of Class A common stock outstanding - 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118,315,944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111,059,071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117,586,028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101,440,741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Weighted average number of incremental shares of Class A common stock issuable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0"/>
              </w:rPr>
              <w:t>from share-based incentive compensation, convertible debt, convertible preferred</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 and exchangeable interests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18,542,012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27,035,030</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20,679,466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34,113,390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w w:val="97"/>
              </w:rPr>
              <w:t>Weighted average number of shares of Class A common stock outstanding - diluted</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136,857,956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138,094,101</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138,265,494</w:t>
            </w:r>
          </w:p>
        </w:tc>
        <w:tc>
          <w:tcPr>
            <w:tcW w:w="1060" w:type="dxa"/>
            <w:vAlign w:val="bottom"/>
          </w:tcPr>
          <w:p>
            <w:pPr>
              <w:jc w:val="right"/>
              <w:spacing w:after="0"/>
              <w:rPr>
                <w:sz w:val="20"/>
                <w:szCs w:val="20"/>
                <w:color w:val="auto"/>
              </w:rPr>
            </w:pPr>
            <w:r>
              <w:rPr>
                <w:rFonts w:ascii="Arial" w:cs="Arial" w:eastAsia="Arial" w:hAnsi="Arial"/>
                <w:sz w:val="18"/>
                <w:szCs w:val="18"/>
                <w:color w:val="auto"/>
              </w:rPr>
              <w:t>135,554,131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spacing w:after="0"/>
              <w:rPr>
                <w:sz w:val="20"/>
                <w:szCs w:val="20"/>
                <w:color w:val="auto"/>
              </w:rPr>
            </w:pPr>
            <w:r>
              <w:rPr>
                <w:rFonts w:ascii="Arial" w:cs="Arial" w:eastAsia="Arial" w:hAnsi="Arial"/>
                <w:sz w:val="18"/>
                <w:szCs w:val="18"/>
                <w:color w:val="auto"/>
              </w:rPr>
              <w:t>$0.53</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$0.58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060" w:type="dxa"/>
            <w:vAlign w:val="bottom"/>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612"/>
              <w:spacing w:after="0"/>
              <w:rPr>
                <w:sz w:val="20"/>
                <w:szCs w:val="20"/>
                <w:color w:val="auto"/>
              </w:rPr>
            </w:pPr>
            <w:r>
              <w:rPr>
                <w:rFonts w:ascii="Arial" w:cs="Arial" w:eastAsia="Arial" w:hAnsi="Arial"/>
                <w:sz w:val="18"/>
                <w:szCs w:val="18"/>
                <w:color w:val="auto"/>
              </w:rPr>
              <w:t>36</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5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18.</w:t>
      </w:r>
      <w:r>
        <w:rPr>
          <w:sz w:val="20"/>
          <w:szCs w:val="20"/>
          <w:color w:val="auto"/>
        </w:rPr>
        <w:tab/>
      </w:r>
      <w:r>
        <w:rPr>
          <w:rFonts w:ascii="Arial" w:cs="Arial" w:eastAsia="Arial" w:hAnsi="Arial"/>
          <w:sz w:val="16"/>
          <w:szCs w:val="16"/>
          <w:b w:val="1"/>
          <w:bCs w:val="1"/>
          <w:i w:val="1"/>
          <w:iCs w:val="1"/>
          <w:color w:val="auto"/>
        </w:rPr>
        <w:t>RELATED PARTIES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receivable from, and payable to, related parties as of September 30, 2011 and December 31, 2010 are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7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8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LFCM Holdings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12,375</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24,785</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22"/>
        </w:trPr>
        <w:tc>
          <w:tcPr>
            <w:tcW w:w="898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14,248</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24,874</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LFCM Holdings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3,327</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98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4,082</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LFCM Holdings</w:t>
      </w:r>
    </w:p>
    <w:p>
      <w:pPr>
        <w:spacing w:after="0" w:line="7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5"/>
          <w:szCs w:val="15"/>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the Company’s executive officers) who were or are also members of LAZ-MD Holdings. In addition to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Certain of these agreements are described in more detail in the Company’s Form 10-K.</w:t>
      </w:r>
    </w:p>
    <w:p>
      <w:pPr>
        <w:spacing w:after="0" w:line="9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For the three month and nine month periods ended September 30, 2011, amounts recorded by Lazard Group relating to the administrative services agreement amounted to $596 and $1,788, respectively, and net referral fees for underwriting, private placement, M&amp;A and restructuring transactions under the business alliance agreement amounted to $5,927 and $19,074, respectively. For the three month and nine month periods ended September 30, 2010, amounts recorded by Lazard Group relating to the administrative services agreement amounted to $557 and $1,616, respectively, and net referral fees for underwriting, private placement, M&amp;A and restructuring transactions under the business alliance agreement amounted to $2,779 and $9,508,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05"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Receivables from LFCM Holdings and its subsidiaries as of September 30, 2011 and December 31, 2010 primarily include $1,566 and $12,775, respectively, related to administrative and support services and reimbursement of expenses incurred on behalf of LFCM Holdings, and $9,698 and $11,413, respectively, related to referral fees for underwriting and private placement transactions. Payables to LFCM Holdings and its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subsidiaries at September 30, 2011 and December 31, 2010 relate to obligations pursuant to the tax receivable agreement of $2,361 (see Note 16 of Notes to Condensed Consolidated Financial Statements) and $966 and $458, respectively, principally relating to certain advances and referral fees for Financial Advisory transactions.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Other receivables and payables at September 30, 2011 primarily relate to referral fees for restructuring and M&amp;A transactions with companies within the MBA Lazard Holdings S.A. group, an Argentina-based group in which the Company has a 50% ownership interest.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LAZ-MD Holdings</w:t>
      </w:r>
    </w:p>
    <w:p>
      <w:pPr>
        <w:spacing w:after="0" w:line="7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both the three month periods ended September 30, 2011 and 2010, such charges amounted to $188, and for both the nine month periods ended September 30, 2011 and 2010, such charges amounted to $563.</w:t>
      </w:r>
    </w:p>
    <w:p>
      <w:pPr>
        <w:spacing w:after="0" w:line="8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19.</w:t>
      </w:r>
      <w:r>
        <w:rPr>
          <w:sz w:val="20"/>
          <w:szCs w:val="20"/>
          <w:color w:val="auto"/>
        </w:rPr>
        <w:tab/>
      </w:r>
      <w:r>
        <w:rPr>
          <w:rFonts w:ascii="Arial" w:cs="Arial" w:eastAsia="Arial" w:hAnsi="Arial"/>
          <w:sz w:val="16"/>
          <w:szCs w:val="16"/>
          <w:b w:val="1"/>
          <w:bCs w:val="1"/>
          <w:i w:val="1"/>
          <w:iCs w:val="1"/>
          <w:color w:val="auto"/>
        </w:rPr>
        <w:t>REGULATORY AUTHORITIES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Securities Exchange Act of 1934.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September 30, 2011, LFNY’s regulatory net capital was $167,157, which exceeded the minimum requirement by $161,116.</w:t>
      </w:r>
    </w:p>
    <w:p>
      <w:pPr>
        <w:spacing w:after="0" w:line="99"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September 30, 2011, the aggregate regulatory net capital of the U.K. Subsidiaries was $152,947, which exceeded the minimum requirement by $108,653.</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September 30, 2011, the consolidated regulatory net capital of CFLF was $183,444, which exceeded the minimum requirement set for regulatory capital levels by $84,635.</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2011, for those subsidiaries with regulatory capital requirements, their aggregate net capital was $82,336, which exceeded the minimum required capital by $60,121.</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2011, each of these subsidiaries individually was in compliance with its regulatory capital requirements.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Lazard Ltd has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Europe, Lazard Ltd is required to be supervised by another regulatory body, either in the U.S. or Europe. The Dodd-Frank Act allows certain securities holding companies seeking consolidated supervision, including Lazard Ltd, to elect to be supervised by the Board of Governors of the Federal Reserve. Lazard Ltd anticipates that the Board of Governors of the Federal Reserve will adopt regulations pursuant to Section 618 of the Dodd-Frank Act in the near future for companies that seek to come under their consolidated supervision. Once we understand the final scope of such regulations, Lazard Ltd will determine whether it will elect to comply with such regulations and register to come under the consolidated supervision of the Federal Reserve. Until such regulations are adopted, however, we cannot determine the full impact of such regulations on us. The Dodd-Frank Act and the rules and regulations that may be adopted thereunder (including regulations that have not yet been proposed) could have other effects on us. We continue to monitor the process as such rules are proposed and adopted.</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20.</w:t>
      </w:r>
      <w:r>
        <w:rPr>
          <w:sz w:val="20"/>
          <w:szCs w:val="20"/>
          <w:color w:val="auto"/>
        </w:rPr>
        <w:tab/>
      </w:r>
      <w:r>
        <w:rPr>
          <w:rFonts w:ascii="Arial" w:cs="Arial" w:eastAsia="Arial" w:hAnsi="Arial"/>
          <w:sz w:val="16"/>
          <w:szCs w:val="16"/>
          <w:b w:val="1"/>
          <w:bCs w:val="1"/>
          <w:i w:val="1"/>
          <w:iCs w:val="1"/>
          <w:color w:val="auto"/>
        </w:rPr>
        <w:t>SEGMENT INFORMATION</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the two business segments as described in Note 1 above – Financial Advisory and Asset Management. In addition, as described in Note 1 above, the Company records selected other activities in its Corporate segment.</w:t>
      </w:r>
    </w:p>
    <w:p>
      <w:pPr>
        <w:spacing w:after="0" w:line="9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Company’s segment information for the three month and nine month periods ended September 30, 2011 and 2010 is prepared using the following methodology:</w:t>
      </w:r>
    </w:p>
    <w:p>
      <w:pPr>
        <w:spacing w:after="0" w:line="37"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8"/>
          </w:tcPr>
          <w:p>
            <w:pPr>
              <w:ind w:lef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Advisory</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340"/>
              <w:spacing w:after="0"/>
              <w:rPr>
                <w:sz w:val="20"/>
                <w:szCs w:val="20"/>
                <w:color w:val="auto"/>
              </w:rPr>
            </w:pPr>
            <w:r>
              <w:rPr>
                <w:rFonts w:ascii="Arial" w:cs="Arial" w:eastAsia="Arial" w:hAnsi="Arial"/>
                <w:sz w:val="18"/>
                <w:szCs w:val="18"/>
                <w:color w:val="auto"/>
              </w:rPr>
              <w:t>Net Revenue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253,585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254,012</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731,621</w:t>
            </w:r>
          </w:p>
        </w:tc>
        <w:tc>
          <w:tcPr>
            <w:tcW w:w="360" w:type="dxa"/>
            <w:vAlign w:val="bottom"/>
          </w:tcPr>
          <w:p>
            <w:pPr>
              <w:spacing w:after="0"/>
              <w:rPr>
                <w:sz w:val="18"/>
                <w:szCs w:val="18"/>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213,614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215,838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641,397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2340"/>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39,971</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38,174</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90,224</w:t>
            </w:r>
          </w:p>
        </w:tc>
        <w:tc>
          <w:tcPr>
            <w:tcW w:w="360" w:type="dxa"/>
            <w:vAlign w:val="bottom"/>
          </w:tcPr>
          <w:p>
            <w:pPr>
              <w:spacing w:after="0"/>
              <w:rPr>
                <w:sz w:val="19"/>
                <w:szCs w:val="19"/>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100,943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340"/>
              <w:spacing w:after="0"/>
              <w:rPr>
                <w:sz w:val="20"/>
                <w:szCs w:val="20"/>
                <w:color w:val="auto"/>
              </w:rPr>
            </w:pPr>
            <w:r>
              <w:rPr>
                <w:rFonts w:ascii="Arial" w:cs="Arial" w:eastAsia="Arial" w:hAnsi="Arial"/>
                <w:sz w:val="18"/>
                <w:szCs w:val="18"/>
                <w:color w:val="auto"/>
              </w:rPr>
              <w:t>Net Revenue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219,077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210,132</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690,785</w:t>
            </w:r>
          </w:p>
        </w:tc>
        <w:tc>
          <w:tcPr>
            <w:tcW w:w="360" w:type="dxa"/>
            <w:vAlign w:val="bottom"/>
          </w:tcPr>
          <w:p>
            <w:pPr>
              <w:spacing w:after="0"/>
              <w:rPr>
                <w:sz w:val="18"/>
                <w:szCs w:val="18"/>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156,709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150,515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466,827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2340"/>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62,368</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59,617</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223,958</w:t>
            </w:r>
          </w:p>
        </w:tc>
        <w:tc>
          <w:tcPr>
            <w:tcW w:w="360" w:type="dxa"/>
            <w:vAlign w:val="bottom"/>
          </w:tcPr>
          <w:p>
            <w:pPr>
              <w:spacing w:after="0"/>
              <w:rPr>
                <w:sz w:val="19"/>
                <w:szCs w:val="19"/>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170,458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340"/>
              <w:spacing w:after="0"/>
              <w:rPr>
                <w:sz w:val="20"/>
                <w:szCs w:val="20"/>
                <w:color w:val="auto"/>
              </w:rPr>
            </w:pPr>
            <w:r>
              <w:rPr>
                <w:rFonts w:ascii="Arial" w:cs="Arial" w:eastAsia="Arial" w:hAnsi="Arial"/>
                <w:sz w:val="18"/>
                <w:szCs w:val="18"/>
                <w:color w:val="auto"/>
              </w:rPr>
              <w:t>Net Revenue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(10,243)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(10,907)</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rPr>
              <w:t>(44,672)</w:t>
            </w: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19,124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2340"/>
              <w:spacing w:after="0"/>
              <w:rPr>
                <w:sz w:val="20"/>
                <w:szCs w:val="20"/>
                <w:color w:val="auto"/>
              </w:rPr>
            </w:pPr>
            <w:r>
              <w:rPr>
                <w:rFonts w:ascii="Arial" w:cs="Arial" w:eastAsia="Arial" w:hAnsi="Arial"/>
                <w:sz w:val="18"/>
                <w:szCs w:val="18"/>
                <w:color w:val="auto"/>
              </w:rPr>
              <w:t>Operating Loss</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(14,601)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(18,324)</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rPr>
              <w:t>(63,796)</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 (159,364)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340"/>
              <w:spacing w:after="0"/>
              <w:rPr>
                <w:sz w:val="20"/>
                <w:szCs w:val="20"/>
                <w:color w:val="auto"/>
              </w:rPr>
            </w:pPr>
            <w:r>
              <w:rPr>
                <w:rFonts w:ascii="Arial" w:cs="Arial" w:eastAsia="Arial" w:hAnsi="Arial"/>
                <w:sz w:val="18"/>
                <w:szCs w:val="18"/>
                <w:color w:val="auto"/>
              </w:rPr>
              <w:t>Net Revenue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462,419</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453,237</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$1,377,734</w:t>
            </w:r>
          </w:p>
        </w:tc>
        <w:tc>
          <w:tcPr>
            <w:tcW w:w="36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w w:val="97"/>
              </w:rPr>
              <w:t>$1,310,483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374,681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373,770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1,127,348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1,198,446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2340"/>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87,738</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79,467</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250,386</w:t>
            </w:r>
          </w:p>
        </w:tc>
        <w:tc>
          <w:tcPr>
            <w:tcW w:w="360" w:type="dxa"/>
            <w:vAlign w:val="bottom"/>
          </w:tcPr>
          <w:p>
            <w:pPr>
              <w:spacing w:after="0"/>
              <w:rPr>
                <w:sz w:val="19"/>
                <w:szCs w:val="19"/>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Financial Advisory</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6"/>
              </w:rPr>
              <w:t>$  808,970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6"/>
              </w:rPr>
              <w:t>617,040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1,710,459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1,936,119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$ 3,136,469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3,422,532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40" w:type="dxa"/>
            <w:vAlign w:val="bottom"/>
            <w:vMerge w:val="restart"/>
          </w:tcPr>
          <w:p>
            <w:pPr>
              <w:jc w:val="right"/>
              <w:ind w:right="1152"/>
              <w:spacing w:after="0"/>
              <w:rPr>
                <w:sz w:val="20"/>
                <w:szCs w:val="20"/>
                <w:color w:val="auto"/>
              </w:rPr>
            </w:pPr>
            <w:r>
              <w:rPr>
                <w:rFonts w:ascii="Arial" w:cs="Arial" w:eastAsia="Arial" w:hAnsi="Arial"/>
                <w:sz w:val="18"/>
                <w:szCs w:val="18"/>
                <w:color w:val="auto"/>
              </w:rPr>
              <w:t>40</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(the “MD&amp;A”) included in our Annual Report on Form 10-K for the year ended December 31, 2010 (the “Form 10-K”). All references to “2011”, “2010”, “third quarter”, “nine months”, or “the period” refer to, as the context requires, the three month and nine month periods ended September 30, 2011 and September 30, 2010.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24"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 LFB also provides support services for certain European subsidiaries of Lazard Group.</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Lazard invests its own capital usually alongside capital of qualified institutional and individual investors in alternative investments or private equity investments and, since 2005, we have engaged in a number of alternative investments and private equity activities, including investments through the Edgewater Funds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(“Edgewater”), our Chicago-based private equity firm (see Note 8 of Notes to Condensed Consolidated Financial Statements), (ii) a mezzanine fund, which invests in mezzanine debt of a diversified selection of small-to mid cap European companies and (iii) investments in Corporate Partners II Limited (“CP II”).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consolidated net revenue was derived from the following segments: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6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Nine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9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5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56%</w:t>
            </w:r>
          </w:p>
        </w:tc>
        <w:tc>
          <w:tcPr>
            <w:tcW w:w="15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960" w:type="dxa"/>
            <w:vAlign w:val="bottom"/>
          </w:tcPr>
          <w:p>
            <w:pPr>
              <w:spacing w:after="0"/>
              <w:rPr>
                <w:sz w:val="18"/>
                <w:szCs w:val="18"/>
                <w:color w:val="auto"/>
              </w:rPr>
            </w:pPr>
          </w:p>
        </w:tc>
        <w:tc>
          <w:tcPr>
            <w:tcW w:w="1520" w:type="dxa"/>
            <w:vAlign w:val="bottom"/>
            <w:gridSpan w:val="2"/>
          </w:tcPr>
          <w:p>
            <w:pPr>
              <w:jc w:val="right"/>
              <w:ind w:right="9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75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Economic and global financial market conditions can materially affect our financial performance. As described above, the Company’s principal sources of revenue are derived from activities in our Financial Advisory and Asset Management business segments. As our Financial Advisory revenues are for the most part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 raising activity as well as our Asset Management business, but may provide opportunities for our restructuring business, which tends to be counter-cyclical.</w:t>
      </w:r>
    </w:p>
    <w:p>
      <w:pPr>
        <w:spacing w:after="0" w:line="13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Overall, global equity market indices at September 30, 2011 were significantly lower when compared to such indices at June 30, 2011, with periods of significant volatility during the period. For the same period, capital-raising and M&amp;A activity was uneven due to economic uncertainty caused by concerns over the public-finance situation in Europe, the U.S. debt ceiling and related downgrade concerns and continuing high U.S. unemployment, among other matters. The announced value of M&amp;A activity decreased in the third quarter of 2011 as compared to the corresponding period in 2010. Restructuring activity continued at low levels, reflecting a cyclical decline in restructuring activity and a decrease in the number of corporate defaults.</w:t>
      </w:r>
    </w:p>
    <w:p>
      <w:pPr>
        <w:spacing w:after="0" w:line="10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During the past few years, we have expanded our geographic reach and industry expertise. We believe that in this environment, companies, government bodies and investors will seek independent advice with a geographic perspective, deep understanding of capital structure, informed research and knowledge of global economic conditions, and that our business model as an independent adviser will continue to create opportunities for us to attract new clients and key personnel.</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third quarter of 2011 the value and average value of completed and announced transactions generally decreased as compared to the corresponding period in 2010, despite modest increases in the number of such transactions. However, for the first nine months of 2011, the value of global completed and announced M&amp;A transactions increased, while the number of such transactions reflected no significant change, as compared to the corresponding 2010 period, resulting in transactions with higher average values.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4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29"/>
        </w:trPr>
        <w:tc>
          <w:tcPr>
            <w:tcW w:w="4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40" w:type="dxa"/>
            <w:vAlign w:val="bottom"/>
          </w:tcPr>
          <w:p>
            <w:pPr>
              <w:jc w:val="right"/>
              <w:ind w:right="498"/>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0" w:type="dxa"/>
            <w:vAlign w:val="bottom"/>
          </w:tcPr>
          <w:p>
            <w:pPr>
              <w:jc w:val="right"/>
              <w:ind w:right="236"/>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r>
      <w:tr>
        <w:trPr>
          <w:trHeight w:val="161"/>
        </w:trPr>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400" w:type="dxa"/>
            <w:vAlign w:val="bottom"/>
          </w:tcPr>
          <w:p>
            <w:pPr>
              <w:jc w:val="right"/>
              <w:ind w:right="538"/>
              <w:spacing w:after="0"/>
              <w:rPr>
                <w:sz w:val="20"/>
                <w:szCs w:val="20"/>
                <w:color w:val="auto"/>
              </w:rPr>
            </w:pPr>
            <w:r>
              <w:rPr>
                <w:rFonts w:ascii="Arial" w:cs="Arial" w:eastAsia="Arial" w:hAnsi="Arial"/>
                <w:sz w:val="14"/>
                <w:szCs w:val="14"/>
                <w:b w:val="1"/>
                <w:bCs w:val="1"/>
                <w:color w:val="auto"/>
              </w:rPr>
              <w:t>2010</w:t>
            </w: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Incr / (Decr)</w:t>
            </w: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1340" w:type="dxa"/>
            <w:vAlign w:val="bottom"/>
          </w:tcPr>
          <w:p>
            <w:pPr>
              <w:jc w:val="right"/>
              <w:ind w:right="518"/>
              <w:spacing w:after="0"/>
              <w:rPr>
                <w:sz w:val="20"/>
                <w:szCs w:val="20"/>
                <w:color w:val="auto"/>
              </w:rPr>
            </w:pPr>
            <w:r>
              <w:rPr>
                <w:rFonts w:ascii="Arial" w:cs="Arial" w:eastAsia="Arial" w:hAnsi="Arial"/>
                <w:sz w:val="14"/>
                <w:szCs w:val="14"/>
                <w:b w:val="1"/>
                <w:bCs w:val="1"/>
                <w:color w:val="auto"/>
              </w:rPr>
              <w:t>2010</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Incr / (Decr)</w:t>
            </w:r>
          </w:p>
        </w:tc>
      </w:tr>
      <w:tr>
        <w:trPr>
          <w:trHeight w:val="156"/>
        </w:trPr>
        <w:tc>
          <w:tcPr>
            <w:tcW w:w="4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gridSpan w:val="3"/>
          </w:tcPr>
          <w:p>
            <w:pPr>
              <w:ind w:left="940"/>
              <w:spacing w:after="0" w:line="155" w:lineRule="exact"/>
              <w:rPr>
                <w:sz w:val="20"/>
                <w:szCs w:val="20"/>
                <w:color w:val="auto"/>
              </w:rPr>
            </w:pPr>
            <w:r>
              <w:rPr>
                <w:rFonts w:ascii="Arial" w:cs="Arial" w:eastAsia="Arial" w:hAnsi="Arial"/>
                <w:sz w:val="14"/>
                <w:szCs w:val="14"/>
                <w:b w:val="1"/>
                <w:bCs w:val="1"/>
                <w:color w:val="auto"/>
                <w:w w:val="99"/>
              </w:rPr>
              <w:t>($ in billions)</w:t>
            </w:r>
          </w:p>
        </w:tc>
        <w:tc>
          <w:tcPr>
            <w:tcW w:w="7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Global:</w:t>
            </w: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$579</w:t>
            </w:r>
          </w:p>
        </w:tc>
        <w:tc>
          <w:tcPr>
            <w:tcW w:w="14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$615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$2,104</w:t>
            </w:r>
          </w:p>
        </w:tc>
        <w:tc>
          <w:tcPr>
            <w:tcW w:w="13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$1,743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440" w:type="dxa"/>
            <w:vAlign w:val="bottom"/>
            <w:gridSpan w:val="2"/>
          </w:tcPr>
          <w:p>
            <w:pPr>
              <w:ind w:left="880"/>
              <w:spacing w:after="0"/>
              <w:rPr>
                <w:sz w:val="20"/>
                <w:szCs w:val="20"/>
                <w:color w:val="auto"/>
              </w:rPr>
            </w:pPr>
            <w:r>
              <w:rPr>
                <w:rFonts w:ascii="Arial" w:cs="Arial" w:eastAsia="Arial" w:hAnsi="Arial"/>
                <w:sz w:val="18"/>
                <w:szCs w:val="18"/>
                <w:color w:val="auto"/>
              </w:rPr>
              <w:t>Number</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w w:val="94"/>
              </w:rPr>
              <w:t>10,285</w:t>
            </w:r>
          </w:p>
        </w:tc>
        <w:tc>
          <w:tcPr>
            <w:tcW w:w="1400" w:type="dxa"/>
            <w:vAlign w:val="bottom"/>
          </w:tcPr>
          <w:p>
            <w:pPr>
              <w:jc w:val="right"/>
              <w:ind w:right="398"/>
              <w:spacing w:after="0"/>
              <w:rPr>
                <w:sz w:val="20"/>
                <w:szCs w:val="20"/>
                <w:color w:val="auto"/>
              </w:rPr>
            </w:pPr>
            <w:r>
              <w:rPr>
                <w:rFonts w:ascii="Arial" w:cs="Arial" w:eastAsia="Arial" w:hAnsi="Arial"/>
                <w:sz w:val="18"/>
                <w:szCs w:val="18"/>
                <w:color w:val="auto"/>
              </w:rPr>
              <w:t>10,218</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32,309</w:t>
            </w:r>
          </w:p>
        </w:tc>
        <w:tc>
          <w:tcPr>
            <w:tcW w:w="1340" w:type="dxa"/>
            <w:vAlign w:val="bottom"/>
          </w:tcPr>
          <w:p>
            <w:pPr>
              <w:jc w:val="right"/>
              <w:ind w:right="378"/>
              <w:spacing w:after="0"/>
              <w:rPr>
                <w:sz w:val="20"/>
                <w:szCs w:val="20"/>
                <w:color w:val="auto"/>
              </w:rPr>
            </w:pPr>
            <w:r>
              <w:rPr>
                <w:rFonts w:ascii="Arial" w:cs="Arial" w:eastAsia="Arial" w:hAnsi="Arial"/>
                <w:sz w:val="18"/>
                <w:szCs w:val="18"/>
                <w:color w:val="auto"/>
              </w:rPr>
              <w:t>31,548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ind w:left="880"/>
              <w:spacing w:after="0"/>
              <w:rPr>
                <w:sz w:val="20"/>
                <w:szCs w:val="20"/>
                <w:color w:val="auto"/>
              </w:rPr>
            </w:pPr>
            <w:r>
              <w:rPr>
                <w:rFonts w:ascii="Arial" w:cs="Arial" w:eastAsia="Arial" w:hAnsi="Arial"/>
                <w:sz w:val="18"/>
                <w:szCs w:val="18"/>
                <w:color w:val="auto"/>
              </w:rPr>
              <w:t>Value</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400" w:type="dxa"/>
            <w:vAlign w:val="bottom"/>
          </w:tcPr>
          <w:p>
            <w:pPr>
              <w:jc w:val="right"/>
              <w:ind w:right="398"/>
              <w:spacing w:after="0"/>
              <w:rPr>
                <w:sz w:val="20"/>
                <w:szCs w:val="20"/>
                <w:color w:val="auto"/>
              </w:rPr>
            </w:pPr>
            <w:r>
              <w:rPr>
                <w:rFonts w:ascii="Arial" w:cs="Arial" w:eastAsia="Arial" w:hAnsi="Arial"/>
                <w:sz w:val="18"/>
                <w:szCs w:val="18"/>
                <w:color w:val="auto"/>
              </w:rPr>
              <w:t>$42</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$172</w:t>
            </w:r>
          </w:p>
        </w:tc>
        <w:tc>
          <w:tcPr>
            <w:tcW w:w="1340" w:type="dxa"/>
            <w:vAlign w:val="bottom"/>
          </w:tcPr>
          <w:p>
            <w:pPr>
              <w:jc w:val="right"/>
              <w:ind w:right="378"/>
              <w:spacing w:after="0"/>
              <w:rPr>
                <w:sz w:val="20"/>
                <w:szCs w:val="20"/>
                <w:color w:val="auto"/>
              </w:rPr>
            </w:pPr>
            <w:r>
              <w:rPr>
                <w:rFonts w:ascii="Arial" w:cs="Arial" w:eastAsia="Arial" w:hAnsi="Arial"/>
                <w:sz w:val="18"/>
                <w:szCs w:val="18"/>
                <w:color w:val="auto"/>
              </w:rPr>
              <w:t>$141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424</w:t>
            </w:r>
          </w:p>
        </w:tc>
        <w:tc>
          <w:tcPr>
            <w:tcW w:w="14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371</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1,241</w:t>
            </w:r>
          </w:p>
        </w:tc>
        <w:tc>
          <w:tcPr>
            <w:tcW w:w="13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1,141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Announced M&amp;A Transactions:</w:t>
            </w: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ind w:left="880"/>
              <w:spacing w:after="0"/>
              <w:rPr>
                <w:sz w:val="20"/>
                <w:szCs w:val="20"/>
                <w:color w:val="auto"/>
              </w:rPr>
            </w:pPr>
            <w:r>
              <w:rPr>
                <w:rFonts w:ascii="Arial" w:cs="Arial" w:eastAsia="Arial" w:hAnsi="Arial"/>
                <w:sz w:val="18"/>
                <w:szCs w:val="18"/>
                <w:color w:val="auto"/>
              </w:rPr>
              <w:t>Value</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$636</w:t>
            </w:r>
          </w:p>
        </w:tc>
        <w:tc>
          <w:tcPr>
            <w:tcW w:w="1400" w:type="dxa"/>
            <w:vAlign w:val="bottom"/>
          </w:tcPr>
          <w:p>
            <w:pPr>
              <w:jc w:val="right"/>
              <w:ind w:right="398"/>
              <w:spacing w:after="0"/>
              <w:rPr>
                <w:sz w:val="20"/>
                <w:szCs w:val="20"/>
                <w:color w:val="auto"/>
              </w:rPr>
            </w:pPr>
            <w:r>
              <w:rPr>
                <w:rFonts w:ascii="Arial" w:cs="Arial" w:eastAsia="Arial" w:hAnsi="Arial"/>
                <w:sz w:val="18"/>
                <w:szCs w:val="18"/>
                <w:color w:val="auto"/>
              </w:rPr>
              <w:t>$783</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$2,183</w:t>
            </w:r>
          </w:p>
        </w:tc>
        <w:tc>
          <w:tcPr>
            <w:tcW w:w="1340" w:type="dxa"/>
            <w:vAlign w:val="bottom"/>
          </w:tcPr>
          <w:p>
            <w:pPr>
              <w:jc w:val="right"/>
              <w:ind w:right="378"/>
              <w:spacing w:after="0"/>
              <w:rPr>
                <w:sz w:val="20"/>
                <w:szCs w:val="20"/>
                <w:color w:val="auto"/>
              </w:rPr>
            </w:pPr>
            <w:r>
              <w:rPr>
                <w:rFonts w:ascii="Arial" w:cs="Arial" w:eastAsia="Arial" w:hAnsi="Arial"/>
                <w:sz w:val="18"/>
                <w:szCs w:val="18"/>
                <w:color w:val="auto"/>
              </w:rPr>
              <w:t>$2,008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4"/>
              </w:rPr>
              <w:t>10,567</w:t>
            </w:r>
          </w:p>
        </w:tc>
        <w:tc>
          <w:tcPr>
            <w:tcW w:w="14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10,357</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33,025</w:t>
            </w:r>
          </w:p>
        </w:tc>
        <w:tc>
          <w:tcPr>
            <w:tcW w:w="13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31,894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Trans-Atlantic:</w:t>
            </w: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4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$62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$178</w:t>
            </w:r>
          </w:p>
        </w:tc>
        <w:tc>
          <w:tcPr>
            <w:tcW w:w="13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$154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22"/>
        </w:trPr>
        <w:tc>
          <w:tcPr>
            <w:tcW w:w="4440" w:type="dxa"/>
            <w:vAlign w:val="bottom"/>
            <w:gridSpan w:val="2"/>
          </w:tcPr>
          <w:p>
            <w:pPr>
              <w:ind w:left="880"/>
              <w:spacing w:after="0"/>
              <w:rPr>
                <w:sz w:val="20"/>
                <w:szCs w:val="20"/>
                <w:color w:val="auto"/>
              </w:rPr>
            </w:pPr>
            <w:r>
              <w:rPr>
                <w:rFonts w:ascii="Arial" w:cs="Arial" w:eastAsia="Arial" w:hAnsi="Arial"/>
                <w:sz w:val="18"/>
                <w:szCs w:val="18"/>
                <w:color w:val="auto"/>
              </w:rPr>
              <w:t>Number</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431</w:t>
            </w:r>
          </w:p>
        </w:tc>
        <w:tc>
          <w:tcPr>
            <w:tcW w:w="1400" w:type="dxa"/>
            <w:vAlign w:val="bottom"/>
          </w:tcPr>
          <w:p>
            <w:pPr>
              <w:jc w:val="right"/>
              <w:ind w:right="398"/>
              <w:spacing w:after="0"/>
              <w:rPr>
                <w:sz w:val="20"/>
                <w:szCs w:val="20"/>
                <w:color w:val="auto"/>
              </w:rPr>
            </w:pPr>
            <w:r>
              <w:rPr>
                <w:rFonts w:ascii="Arial" w:cs="Arial" w:eastAsia="Arial" w:hAnsi="Arial"/>
                <w:sz w:val="18"/>
                <w:szCs w:val="18"/>
                <w:color w:val="auto"/>
              </w:rPr>
              <w:t>377</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1,275</w:t>
            </w:r>
          </w:p>
        </w:tc>
        <w:tc>
          <w:tcPr>
            <w:tcW w:w="1340" w:type="dxa"/>
            <w:vAlign w:val="bottom"/>
          </w:tcPr>
          <w:p>
            <w:pPr>
              <w:jc w:val="right"/>
              <w:ind w:right="378"/>
              <w:spacing w:after="0"/>
              <w:rPr>
                <w:sz w:val="20"/>
                <w:szCs w:val="20"/>
                <w:color w:val="auto"/>
              </w:rPr>
            </w:pPr>
            <w:r>
              <w:rPr>
                <w:rFonts w:ascii="Arial" w:cs="Arial" w:eastAsia="Arial" w:hAnsi="Arial"/>
                <w:sz w:val="18"/>
                <w:szCs w:val="18"/>
                <w:color w:val="auto"/>
              </w:rPr>
              <w:t>1,141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October 7, 2011.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continue to believe that we are relatively well positioned as our clients refinance, restructure and reposition their asset portfolios for growth.</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Global restructuring activity during the 2011 nine month period decreased from the corresponding prior year period driven by a cyclical decline, resulting in a decelerating pace of corporate debt defaults. According to Moody’s Investors Service, Inc., in the twelve month period ended September 30, 2011 a total of 35 issuers defaulted, as compared to 72 in the twelve months ended September 30, 2010, which includes a total of 17 issuers in the nine month period ended September 30, 2011, as compared to 40 in the corresponding 2010 period. While the number and value of corporate defaults for 2011 are significantly lower as compared to 2010, we expect that our Restructuring business will remain active, albeit at a lower level as compared to the prior year. Our Restructuring activities include advising companies on matters relating to debt restructurings, refinancings and other on- and off-balance sheet assignments. Our Restructuring assignments are generally executed over a six- to eighteen-month period.</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Private Fund Advisory Group, which is part of our Financial Advisory segment and is conducted in the U.S. through Lazard Frères &amp; Co. LLC (“LFNY”), an SEC-registered broker-dealer and municipal advisor and member of the Financial Industry Regulatory Authority (“FINRA”) and the Municipal Securities Rulemaking Board (the “MSRB”),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22, 2011, the SEC approved an amendment to its June 30, 2010 rule which, among other things, will place certain restrictions on the use of placement agents. As amended, the SEC rule will prohibit investment advisors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from paying a third-party placement agent for soliciting investment advisory business from a U.S. governmental entity, unless the placement agent is (i) an SEC-registered investment advisor complying with the rule, (ii) an SEC-registered broker-dealer that is a member of FINRA and thus subject to FINRA’s forthcoming “pay-to-play” rule, or (iii) a “municipal advisor” that is registered with the SEC under Section 15B of the Securities Exchange Act of 1934, as amended, and subject to the “pay-to-play” rules that will be adopted by the MSRB. We are continuing to evaluate the potential impact of state, local and other restrictions on our Private Fund Advisory business.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shown in the table below, the majority of selected major market indices at September 30, 2011 declined as compared to such indices at June 30, 2011, December 31, 2010 and September 30, 2010.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 Change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8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September 30, 2011 vs.</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6820" w:type="dxa"/>
            <w:vAlign w:val="bottom"/>
          </w:tcPr>
          <w:p>
            <w:pPr>
              <w:spacing w:after="0"/>
              <w:rPr>
                <w:sz w:val="11"/>
                <w:szCs w:val="11"/>
                <w:color w:val="auto"/>
              </w:rPr>
            </w:pPr>
          </w:p>
        </w:tc>
        <w:tc>
          <w:tcPr>
            <w:tcW w:w="1100" w:type="dxa"/>
            <w:vAlign w:val="bottom"/>
            <w:gridSpan w:val="2"/>
          </w:tcPr>
          <w:p>
            <w:pPr>
              <w:jc w:val="right"/>
              <w:ind w:right="532"/>
              <w:spacing w:after="0" w:line="129" w:lineRule="exact"/>
              <w:rPr>
                <w:sz w:val="20"/>
                <w:szCs w:val="20"/>
                <w:color w:val="auto"/>
              </w:rPr>
            </w:pPr>
            <w:r>
              <w:rPr>
                <w:rFonts w:ascii="Arial" w:cs="Arial" w:eastAsia="Arial" w:hAnsi="Arial"/>
                <w:sz w:val="14"/>
                <w:szCs w:val="14"/>
                <w:b w:val="1"/>
                <w:bCs w:val="1"/>
                <w:color w:val="auto"/>
                <w:w w:val="82"/>
              </w:rPr>
              <w:t>June 30,</w:t>
            </w:r>
          </w:p>
        </w:tc>
        <w:tc>
          <w:tcPr>
            <w:tcW w:w="500" w:type="dxa"/>
            <w:vAlign w:val="bottom"/>
          </w:tcPr>
          <w:p>
            <w:pPr>
              <w:spacing w:after="0"/>
              <w:rPr>
                <w:sz w:val="11"/>
                <w:szCs w:val="11"/>
                <w:color w:val="auto"/>
              </w:rPr>
            </w:pPr>
          </w:p>
        </w:tc>
        <w:tc>
          <w:tcPr>
            <w:tcW w:w="1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1"/>
                <w:szCs w:val="11"/>
                <w:color w:val="auto"/>
              </w:rPr>
            </w:pPr>
          </w:p>
        </w:tc>
      </w:tr>
      <w:tr>
        <w:trPr>
          <w:trHeight w:val="161"/>
        </w:trPr>
        <w:tc>
          <w:tcPr>
            <w:tcW w:w="68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2010</w:t>
            </w:r>
          </w:p>
        </w:tc>
        <w:tc>
          <w:tcPr>
            <w:tcW w:w="1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r>
      <w:tr>
        <w:trPr>
          <w:trHeight w:val="210"/>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CAC 40</w:t>
            </w:r>
          </w:p>
        </w:tc>
        <w:tc>
          <w:tcPr>
            <w:tcW w:w="1100" w:type="dxa"/>
            <w:vAlign w:val="bottom"/>
            <w:gridSpan w:val="2"/>
          </w:tcPr>
          <w:p>
            <w:pPr>
              <w:jc w:val="right"/>
              <w:ind w:right="332"/>
              <w:spacing w:after="0"/>
              <w:rPr>
                <w:sz w:val="20"/>
                <w:szCs w:val="20"/>
                <w:color w:val="auto"/>
              </w:rPr>
            </w:pPr>
            <w:r>
              <w:rPr>
                <w:rFonts w:ascii="Arial" w:cs="Arial" w:eastAsia="Arial" w:hAnsi="Arial"/>
                <w:sz w:val="18"/>
                <w:szCs w:val="18"/>
                <w:color w:val="auto"/>
              </w:rPr>
              <w:t>(25)%</w:t>
            </w:r>
          </w:p>
        </w:tc>
        <w:tc>
          <w:tcPr>
            <w:tcW w:w="2420" w:type="dxa"/>
            <w:vAlign w:val="bottom"/>
            <w:gridSpan w:val="3"/>
          </w:tcPr>
          <w:p>
            <w:pPr>
              <w:jc w:val="right"/>
              <w:ind w:right="832"/>
              <w:spacing w:after="0"/>
              <w:rPr>
                <w:sz w:val="20"/>
                <w:szCs w:val="20"/>
                <w:color w:val="auto"/>
              </w:rPr>
            </w:pPr>
            <w:r>
              <w:rPr>
                <w:rFonts w:ascii="Arial" w:cs="Arial" w:eastAsia="Arial" w:hAnsi="Arial"/>
                <w:sz w:val="18"/>
                <w:szCs w:val="18"/>
                <w:color w:val="auto"/>
              </w:rPr>
              <w:t>(22)%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1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(25)%</w:t>
            </w:r>
          </w:p>
        </w:tc>
        <w:tc>
          <w:tcPr>
            <w:tcW w:w="242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FTSE 100</w:t>
            </w:r>
          </w:p>
        </w:tc>
        <w:tc>
          <w:tcPr>
            <w:tcW w:w="1100" w:type="dxa"/>
            <w:vAlign w:val="bottom"/>
            <w:gridSpan w:val="2"/>
          </w:tcPr>
          <w:p>
            <w:pPr>
              <w:jc w:val="right"/>
              <w:ind w:right="332"/>
              <w:spacing w:after="0"/>
              <w:rPr>
                <w:sz w:val="20"/>
                <w:szCs w:val="20"/>
                <w:color w:val="auto"/>
              </w:rPr>
            </w:pPr>
            <w:r>
              <w:rPr>
                <w:rFonts w:ascii="Arial" w:cs="Arial" w:eastAsia="Arial" w:hAnsi="Arial"/>
                <w:sz w:val="18"/>
                <w:szCs w:val="18"/>
                <w:color w:val="auto"/>
              </w:rPr>
              <w:t>(14)%</w:t>
            </w:r>
          </w:p>
        </w:tc>
        <w:tc>
          <w:tcPr>
            <w:tcW w:w="2420" w:type="dxa"/>
            <w:vAlign w:val="bottom"/>
            <w:gridSpan w:val="3"/>
          </w:tcPr>
          <w:p>
            <w:pPr>
              <w:jc w:val="right"/>
              <w:ind w:right="832"/>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1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(14)%</w:t>
            </w:r>
          </w:p>
        </w:tc>
        <w:tc>
          <w:tcPr>
            <w:tcW w:w="242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MSCI Emerging Market</w:t>
            </w:r>
          </w:p>
        </w:tc>
        <w:tc>
          <w:tcPr>
            <w:tcW w:w="1100" w:type="dxa"/>
            <w:vAlign w:val="bottom"/>
            <w:gridSpan w:val="2"/>
          </w:tcPr>
          <w:p>
            <w:pPr>
              <w:jc w:val="right"/>
              <w:ind w:right="332"/>
              <w:spacing w:after="0"/>
              <w:rPr>
                <w:sz w:val="20"/>
                <w:szCs w:val="20"/>
                <w:color w:val="auto"/>
              </w:rPr>
            </w:pPr>
            <w:r>
              <w:rPr>
                <w:rFonts w:ascii="Arial" w:cs="Arial" w:eastAsia="Arial" w:hAnsi="Arial"/>
                <w:sz w:val="18"/>
                <w:szCs w:val="18"/>
                <w:color w:val="auto"/>
              </w:rPr>
              <w:t>(23)%</w:t>
            </w:r>
          </w:p>
        </w:tc>
        <w:tc>
          <w:tcPr>
            <w:tcW w:w="2420" w:type="dxa"/>
            <w:vAlign w:val="bottom"/>
            <w:gridSpan w:val="3"/>
          </w:tcPr>
          <w:p>
            <w:pPr>
              <w:jc w:val="right"/>
              <w:ind w:right="832"/>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1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(12)%</w:t>
            </w:r>
          </w:p>
        </w:tc>
        <w:tc>
          <w:tcPr>
            <w:tcW w:w="242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NASDAQ</w:t>
            </w:r>
          </w:p>
        </w:tc>
        <w:tc>
          <w:tcPr>
            <w:tcW w:w="1100" w:type="dxa"/>
            <w:vAlign w:val="bottom"/>
            <w:gridSpan w:val="2"/>
          </w:tcPr>
          <w:p>
            <w:pPr>
              <w:jc w:val="right"/>
              <w:ind w:right="332"/>
              <w:spacing w:after="0"/>
              <w:rPr>
                <w:sz w:val="20"/>
                <w:szCs w:val="20"/>
                <w:color w:val="auto"/>
              </w:rPr>
            </w:pPr>
            <w:r>
              <w:rPr>
                <w:rFonts w:ascii="Arial" w:cs="Arial" w:eastAsia="Arial" w:hAnsi="Arial"/>
                <w:sz w:val="18"/>
                <w:szCs w:val="18"/>
                <w:color w:val="auto"/>
              </w:rPr>
              <w:t>(11)%</w:t>
            </w:r>
          </w:p>
        </w:tc>
        <w:tc>
          <w:tcPr>
            <w:tcW w:w="2420" w:type="dxa"/>
            <w:vAlign w:val="bottom"/>
            <w:gridSpan w:val="3"/>
          </w:tcPr>
          <w:p>
            <w:pPr>
              <w:jc w:val="right"/>
              <w:ind w:right="832"/>
              <w:spacing w:after="0"/>
              <w:rPr>
                <w:sz w:val="20"/>
                <w:szCs w:val="20"/>
                <w:color w:val="auto"/>
              </w:rPr>
            </w:pPr>
            <w:r>
              <w:rPr>
                <w:rFonts w:ascii="Arial" w:cs="Arial" w:eastAsia="Arial" w:hAnsi="Arial"/>
                <w:sz w:val="18"/>
                <w:szCs w:val="18"/>
                <w:color w:val="auto"/>
              </w:rPr>
              <w:t>(7)%</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1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(14)%</w:t>
            </w:r>
          </w:p>
        </w:tc>
        <w:tc>
          <w:tcPr>
            <w:tcW w:w="242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bl>
    <w:p>
      <w:pPr>
        <w:spacing w:after="0" w:line="14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Our AUM at September 30, 2011 decreased 13% versus AUM at December 31, 2010 (primarily due to market and foreign exchange depreciation), while our average AUM for the third quarter and nine months of 2011 increased 11% and 15%, respectively, as compared to our average AUM for the corresponding periods of 2010. The higher levels of average AUM contributed to increased management fee revenues in the 2011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LFG, Edgewater and Lazard Wealth Management. Asset Management net revenue is derived from fees for investment management and advisory services provided to institutional and private clients. The main driver of Asset Management net revenue is the level of AUM, which is influenced by the performance of the global equity markets and, to a lesser extent, fixed income markets and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hedge funds in any year are applied against certain future period net appreciation before any incentive fees can be earned.</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in LAM equity funds and principal investments in equities and alternative asset management funds, investments at LFB, and “equity method” investments, gains and losses on the extinguishment of debt and interest income and interest expense, including amounts earned at LFB. Corporate net revenue also can fluctuate due to changes in the fair value of investments classified as “trading”, and with respect to “available-for-sale” investments, when realized, or, with respect to “available-for-sale” and “held-to-maturity” investments, when a decline is determined to be other than temporary, as well as due to changes in interest and currency exchange rates and in the levels of cash, investments and indebtedness. As of September 30, 2011 and December 31, 2010 the Company held no “available-for-sale” or “held-to-maturity” investments.</w:t>
      </w:r>
    </w:p>
    <w:p>
      <w:pPr>
        <w:spacing w:after="0" w:line="13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Although Corporate segment net revenue during the first nine months of 2011 represented (3)% of Lazard’s net revenue, total assets in the Corporate segment represented 55% of Lazard’s consolidated total assets as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September 30, 2011, which is attributable to assets associated with LFB, investments in government bonds and money market funds, fixed income funds, alternative asset management funds and other securities, private equity investments and cash.</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(a) share-based incentive compensation under the Lazard Ltd 2005 Equity Incentive Plan (the “2005 Plan”) and the Lazard Ltd 2008 Incentive Compensation Plan (the “2008 Plan”) and (b) Lazard Fund Interests (see Note 13 of Notes to Condensed Consolidated Financial Statements) and (iii) a provision for discretionary bonuses and profit pools. Compensation expense in any given period is dependent on many factors, including general economic and market conditions, our operating and financial performance, staffing levels, competitive pay conditions, the nature of revenues earned, as well as the mix between current and deferred compensation. As reflected in the tables below, our compensation expense-to-operating revenue ratios for the third quarters of 2011 and 2010 were 59.3% and 59.5%, respectively, and for the nine month periods of 2011 and 2010 were 58.7% and 59.8, respectively (with such ratios utilizing “operating revenue” and “adjusted compensation and benefits expense” (see “Consolidated Results of Operations” below)).</w:t>
      </w:r>
    </w:p>
    <w:p>
      <w:pPr>
        <w:spacing w:after="0" w:line="10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2010, restructuring expense. Amortization of intangible assets relates primarily to the acquisition of Edgewater. Restructuring expense relates to certain staff reductions and realignment of personnel in the first quarter of 2010, and includes severance and related benefits expense, the acceleration of unrecognized expense pertaining to restricted stock unit awards denominated in shares of Lazard Ltd Class A common stock (“RSUs”) previously granted to individuals who were terminated and certain other costs related to these initiatives.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is subject to U.S. federal income taxes on its portion of Lazard Group’s operating income. 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non-U.S. entities and to New York City Unincorporated Business Tax (“UBT”) attributable to Lazard’s operations apportioned to New York City.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Noncontrolling interests primarily relate to the amount attributable to LAZ-MD Holdings’ ownership interest in the net income of Lazard Group, amounts related to Edgewater and various LAM-related general partnership interests (“GPs”) in limited partnerships held directly by certain of our LAM managing directors. See Note 12 of Notes to Condensed Consolidated Financial Statements for information regarding the Company’s noncontrolling interests.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third quarter of 2011 and the first quarter of 2010, the Company reported certain credits (charges) (the “2011 special item” and the “2010 special items”, respectively, and collectively, the “2011 and 2010 special items”) that significantly impacted operating results for the applicable periods. The impact of such special items on the Company’s condensed consolidated statements of operations (described in more detail in Notes 10, 13 and 15 of Notes to Condensed Consolidated Financial Statements) is described in the tables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vMerge w:val="restart"/>
          </w:tcPr>
          <w:p>
            <w:pPr>
              <w:jc w:val="right"/>
              <w:ind w:right="92"/>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21"/>
              <w:spacing w:after="0" w:line="148"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ind w:right="121"/>
              <w:spacing w:after="0"/>
              <w:rPr>
                <w:sz w:val="20"/>
                <w:szCs w:val="20"/>
                <w:color w:val="auto"/>
              </w:rPr>
            </w:pPr>
            <w:r>
              <w:rPr>
                <w:rFonts w:ascii="Arial" w:cs="Arial" w:eastAsia="Arial" w:hAnsi="Arial"/>
                <w:sz w:val="14"/>
                <w:szCs w:val="14"/>
                <w:b w:val="1"/>
                <w:bCs w:val="1"/>
                <w:color w:val="auto"/>
                <w:w w:val="83"/>
              </w:rPr>
              <w:t>2011</w:t>
            </w:r>
          </w:p>
        </w:tc>
        <w:tc>
          <w:tcPr>
            <w:tcW w:w="700" w:type="dxa"/>
            <w:vAlign w:val="bottom"/>
          </w:tcPr>
          <w:p>
            <w:pPr>
              <w:spacing w:after="0"/>
              <w:rPr>
                <w:sz w:val="14"/>
                <w:szCs w:val="14"/>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September 30, 2011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 2010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1080"/>
              <w:spacing w:after="0" w:line="129" w:lineRule="exact"/>
              <w:rPr>
                <w:sz w:val="20"/>
                <w:szCs w:val="20"/>
                <w:color w:val="auto"/>
              </w:rPr>
            </w:pPr>
            <w:r>
              <w:rPr>
                <w:rFonts w:ascii="Arial" w:cs="Arial" w:eastAsia="Arial" w:hAnsi="Arial"/>
                <w:sz w:val="14"/>
                <w:szCs w:val="14"/>
                <w:b w:val="1"/>
                <w:bCs w:val="1"/>
                <w:color w:val="auto"/>
                <w:w w:val="94"/>
              </w:rPr>
              <w:t>RSU</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9"/>
              </w:rPr>
              <w:t>Debt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Debt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Retirement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Extinguishment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Extinguishment</w:t>
            </w:r>
          </w:p>
        </w:tc>
        <w:tc>
          <w:tcPr>
            <w:tcW w:w="4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460" w:type="dxa"/>
            <w:vAlign w:val="bottom"/>
          </w:tcPr>
          <w:p>
            <w:pPr>
              <w:spacing w:after="0"/>
              <w:rPr>
                <w:sz w:val="12"/>
                <w:szCs w:val="12"/>
                <w:color w:val="auto"/>
              </w:rPr>
            </w:pPr>
          </w:p>
        </w:tc>
        <w:tc>
          <w:tcPr>
            <w:tcW w:w="166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Amendment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(a)</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(b)</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3"/>
              </w:rPr>
              <w:t>(c)</w:t>
            </w: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4"/>
          </w:tcPr>
          <w:p>
            <w:pPr>
              <w:jc w:val="right"/>
              <w:ind w:right="500"/>
              <w:spacing w:after="0" w:line="155" w:lineRule="exact"/>
              <w:rPr>
                <w:sz w:val="20"/>
                <w:szCs w:val="20"/>
                <w:color w:val="auto"/>
              </w:rPr>
            </w:pPr>
            <w:r>
              <w:rPr>
                <w:rFonts w:ascii="Arial" w:cs="Arial" w:eastAsia="Arial" w:hAnsi="Arial"/>
                <w:sz w:val="14"/>
                <w:szCs w:val="14"/>
                <w:b w:val="1"/>
                <w:bCs w:val="1"/>
                <w:color w:val="auto"/>
              </w:rPr>
              <w:t>($ in thousands)</w:t>
            </w: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18,171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w w:val="92"/>
              </w:rPr>
              <w:t>(24,860)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(87,108)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(87,108)</w:t>
            </w: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4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18,171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18,171</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(87,108)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w w:val="92"/>
              </w:rPr>
              <w:t>(24,860)</w:t>
            </w:r>
          </w:p>
        </w:tc>
        <w:tc>
          <w:tcPr>
            <w:tcW w:w="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(111,968)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(9,276)(d)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(4,835)(d)</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(14,111)(d)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Net Income Attributable To</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 (Benefit)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801</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(18,400)</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(5,988)</w:t>
            </w:r>
          </w:p>
        </w:tc>
        <w:tc>
          <w:tcPr>
            <w:tcW w:w="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(24,388)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Lazard Ltd</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12,736</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(59,432)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2"/>
              </w:rPr>
              <w:t>(14,037)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(73,469)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 related to repurchase of the Company’s outstanding 3.25% subordinated promissory note in the third quarter of 2011.</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plan announced in the first quarter of 2010.</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Accelerated amortization expense recognized in the first quarter of 2010 in connection with the vesting of share-based incentive compensation awards related to the amendment of the Company’s retirement policy.</w:t>
      </w:r>
    </w:p>
    <w:p>
      <w:pPr>
        <w:ind w:left="460" w:right="14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Inclusive of an adjustment in the third quarter of 2010 to increase the estimated tax benefit relating to the 2010 restructuring charge and the amendment of Lazard’s retirement policy with respect to RSU awards of $3,596 and $3,472,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Selected financial data from the Company’s reported consolidated results of operations for the 2011 and 2010 periods is set forth below, followed by a more detailed discussion of both consolidated and business segment results.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2011</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6"/>
          </w:tcPr>
          <w:p>
            <w:pPr>
              <w:jc w:val="right"/>
              <w:ind w:right="112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2"/>
              </w:rPr>
              <w:t>462,419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453,237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1,377,734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1,310,483</w:t>
            </w:r>
          </w:p>
        </w:tc>
        <w:tc>
          <w:tcPr>
            <w:tcW w:w="0" w:type="dxa"/>
            <w:vAlign w:val="bottom"/>
          </w:tcPr>
          <w:p>
            <w:pPr>
              <w:spacing w:after="0"/>
              <w:rPr>
                <w:sz w:val="1"/>
                <w:szCs w:val="1"/>
                <w:color w:val="auto"/>
              </w:rPr>
            </w:pPr>
          </w:p>
        </w:tc>
      </w:tr>
      <w:tr>
        <w:trPr>
          <w:trHeight w:val="330"/>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0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2"/>
              </w:rPr>
              <w:t>273,532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282,528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845,926</w:t>
            </w: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Non-compensation</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99,433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89,523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292,441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260,154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23"/>
        </w:trPr>
        <w:tc>
          <w:tcPr>
            <w:tcW w:w="5400" w:type="dxa"/>
            <w:vAlign w:val="bottom"/>
          </w:tcPr>
          <w:p>
            <w:pPr>
              <w:ind w:left="440"/>
              <w:spacing w:after="0"/>
              <w:rPr>
                <w:sz w:val="20"/>
                <w:szCs w:val="20"/>
                <w:color w:val="auto"/>
              </w:rPr>
            </w:pPr>
            <w:r>
              <w:rPr>
                <w:rFonts w:ascii="Arial" w:cs="Arial" w:eastAsia="Arial" w:hAnsi="Arial"/>
                <w:sz w:val="18"/>
                <w:szCs w:val="18"/>
                <w:color w:val="auto"/>
              </w:rPr>
              <w:t>Restructuring</w:t>
            </w:r>
          </w:p>
        </w:tc>
        <w:tc>
          <w:tcPr>
            <w:tcW w:w="1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2"/>
              </w:rPr>
              <w:t>374,681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373,770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1,127,348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1,198,446</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87,738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79,467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250,386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112,037</w:t>
            </w: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20,605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29,049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Income</w:t>
            </w:r>
          </w:p>
        </w:tc>
        <w:tc>
          <w:tcPr>
            <w:tcW w:w="1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67,133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70,354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198,682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82,988</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7,859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1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62,699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64,091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179,710</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75,129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Management believes that the impact of the 2011 and 2010 special items should be considered when comparing the results of the periods in providing the most meaningful comparison between present, historical and future periods.</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compensation and benefits expense and non-compensation expense, and related key ratios, non-U.S. GAAP measures used by the Company to manage total compensation and benefits expense and non-compensation expense. Management believes such non-GAAP measures provide the most meaningful basis for comparison between present, historical and future periods.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3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3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23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00" w:type="dxa"/>
            <w:vAlign w:val="bottom"/>
            <w:gridSpan w:val="4"/>
          </w:tcPr>
          <w:p>
            <w:pPr>
              <w:jc w:val="right"/>
              <w:ind w:right="920"/>
              <w:spacing w:after="0" w:line="142" w:lineRule="exact"/>
              <w:rPr>
                <w:sz w:val="20"/>
                <w:szCs w:val="20"/>
                <w:color w:val="auto"/>
              </w:rPr>
            </w:pPr>
            <w:r>
              <w:rPr>
                <w:rFonts w:ascii="Arial" w:cs="Arial" w:eastAsia="Arial" w:hAnsi="Arial"/>
                <w:sz w:val="14"/>
                <w:szCs w:val="14"/>
                <w:b w:val="1"/>
                <w:bCs w:val="1"/>
                <w:color w:val="auto"/>
              </w:rPr>
              <w:t>($ in thousands)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$484,583</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$477,310</w:t>
            </w:r>
          </w:p>
        </w:tc>
        <w:tc>
          <w:tcPr>
            <w:tcW w:w="4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$1,446,529</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$1,384,271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(778)</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(2,145)</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(2,812)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(6,691)</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(3,057)</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(14,345)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(9,137)</w:t>
            </w: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2011 special item (c)</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(18,171)</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(18,171)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Changes in fair value pertaining to Lazard Fund Interests (d)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3,961</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466,538</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473,165</w:t>
            </w:r>
          </w:p>
        </w:tc>
        <w:tc>
          <w:tcPr>
            <w:tcW w:w="44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1,415,162</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1,368,443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expense incurred by LFB is reported as a charge in determining operating revenue because LFB is a commercial bank and we consider its interest expense to be a cost directly related to the revenues of its business.</w:t>
      </w:r>
    </w:p>
    <w:p>
      <w:pPr>
        <w:ind w:left="460" w:right="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1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Gain related to the repurchase of the Company’s subordinated promissory note is excluded from operating revenue because of the non-operating nature of such transaction.</w:t>
      </w:r>
    </w:p>
    <w:p>
      <w:pPr>
        <w:ind w:left="460" w:right="20" w:hanging="452"/>
        <w:spacing w:after="0" w:line="25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fair value of investments held in connection with Lazard Fund Interests and other similar arrangements are excluded from operating revenue because they are directly offset by the change in value of the derivative liability pertaining to such awards, which is recorded within compensation and benefits expense.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5"/>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7"/>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gridSpan w:val="5"/>
          </w:tcPr>
          <w:p>
            <w:pPr>
              <w:jc w:val="right"/>
              <w:ind w:right="1160"/>
              <w:spacing w:after="0" w:line="142" w:lineRule="exact"/>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3"/>
              </w:rPr>
              <w:t>$273,532</w:t>
            </w:r>
          </w:p>
        </w:tc>
        <w:tc>
          <w:tcPr>
            <w:tcW w:w="5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$282,528</w:t>
            </w:r>
          </w:p>
        </w:tc>
        <w:tc>
          <w:tcPr>
            <w:tcW w:w="5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$830,011</w:t>
            </w:r>
          </w:p>
        </w:tc>
        <w:tc>
          <w:tcPr>
            <w:tcW w:w="6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$845,926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420"/>
              <w:spacing w:after="0"/>
              <w:rPr>
                <w:sz w:val="20"/>
                <w:szCs w:val="20"/>
                <w:color w:val="auto"/>
              </w:rPr>
            </w:pPr>
            <w:r>
              <w:rPr>
                <w:rFonts w:ascii="Arial" w:cs="Arial" w:eastAsia="Arial" w:hAnsi="Arial"/>
                <w:sz w:val="18"/>
                <w:szCs w:val="18"/>
                <w:color w:val="auto"/>
              </w:rPr>
              <w:t>2010 special item</w:t>
            </w:r>
          </w:p>
        </w:tc>
        <w:tc>
          <w:tcPr>
            <w:tcW w:w="14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interests (a)</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(837)</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(831)</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(2,749)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420"/>
              <w:spacing w:after="0"/>
              <w:rPr>
                <w:sz w:val="20"/>
                <w:szCs w:val="20"/>
                <w:color w:val="auto"/>
              </w:rPr>
            </w:pPr>
            <w:r>
              <w:rPr>
                <w:rFonts w:ascii="Arial" w:cs="Arial" w:eastAsia="Arial" w:hAnsi="Arial"/>
                <w:sz w:val="18"/>
                <w:szCs w:val="18"/>
                <w:color w:val="auto"/>
              </w:rPr>
              <w:t>Changes in fair value pertaining to Lazard Fund Interests (b)</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3,961</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3,961</w:t>
            </w:r>
          </w:p>
        </w:tc>
        <w:tc>
          <w:tcPr>
            <w:tcW w:w="6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7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276,656</w:t>
            </w:r>
          </w:p>
        </w:tc>
        <w:tc>
          <w:tcPr>
            <w:tcW w:w="5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281,697</w:t>
            </w:r>
          </w:p>
        </w:tc>
        <w:tc>
          <w:tcPr>
            <w:tcW w:w="5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831,223</w:t>
            </w:r>
          </w:p>
        </w:tc>
        <w:tc>
          <w:tcPr>
            <w:tcW w:w="60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818,535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gridSpan w:val="3"/>
            <w:vMerge w:val="continue"/>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59.3%</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59.5%</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58.7%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2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gridSpan w:val="5"/>
          </w:tcPr>
          <w:p>
            <w:pPr>
              <w:jc w:val="right"/>
              <w:ind w:right="1080"/>
              <w:spacing w:after="0" w:line="142" w:lineRule="exact"/>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Non-compensation expense</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$99,433</w:t>
            </w:r>
          </w:p>
        </w:tc>
        <w:tc>
          <w:tcPr>
            <w:tcW w:w="540" w:type="dxa"/>
            <w:vAlign w:val="bottom"/>
          </w:tcPr>
          <w:p>
            <w:pPr>
              <w:spacing w:after="0"/>
              <w:rPr>
                <w:sz w:val="18"/>
                <w:szCs w:val="18"/>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color w:val="auto"/>
              </w:rPr>
              <w:t>$89,523</w:t>
            </w: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w w:val="93"/>
              </w:rPr>
              <w:t>$292,441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$260,154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1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(780)</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(274)</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(1,438)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98,653</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$89,249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291,003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259,483</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gridSpan w:val="3"/>
            <w:vMerge w:val="continue"/>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21.1%</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18.9%</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20.6%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arrangements are excluded from compensation and benefits expense because such amounts are equally offset by a corresponding change in the fair value of the underlying investments excluded from operating revenue.</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Certain additional key ratios, statistics and headcount information for the 2011 and 2010 periods are set forth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80" w:type="dxa"/>
            <w:vAlign w:val="bottom"/>
            <w:gridSpan w:val="8"/>
          </w:tcPr>
          <w:p>
            <w:pPr>
              <w:jc w:val="center"/>
              <w:ind w:right="760"/>
              <w:spacing w:after="0"/>
              <w:rPr>
                <w:sz w:val="20"/>
                <w:szCs w:val="20"/>
                <w:color w:val="auto"/>
              </w:rPr>
            </w:pPr>
            <w:r>
              <w:rPr>
                <w:rFonts w:ascii="Arial" w:cs="Arial" w:eastAsia="Arial" w:hAnsi="Arial"/>
                <w:sz w:val="14"/>
                <w:szCs w:val="14"/>
                <w:b w:val="1"/>
                <w:bCs w:val="1"/>
                <w:color w:val="auto"/>
                <w:w w:val="88"/>
              </w:rPr>
              <w:t>Three Months Ended</w:t>
            </w:r>
          </w:p>
        </w:tc>
        <w:tc>
          <w:tcPr>
            <w:tcW w:w="16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2780" w:type="dxa"/>
            <w:vAlign w:val="bottom"/>
          </w:tcPr>
          <w:p>
            <w:pPr>
              <w:spacing w:after="0"/>
              <w:rPr>
                <w:sz w:val="12"/>
                <w:szCs w:val="12"/>
                <w:color w:val="auto"/>
              </w:rPr>
            </w:pPr>
          </w:p>
        </w:tc>
        <w:tc>
          <w:tcPr>
            <w:tcW w:w="520" w:type="dxa"/>
            <w:vAlign w:val="bottom"/>
            <w:tcBorders>
              <w:bottom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2010</w:t>
            </w:r>
          </w:p>
        </w:tc>
        <w:tc>
          <w:tcPr>
            <w:tcW w:w="6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2010</w:t>
            </w:r>
          </w:p>
        </w:tc>
        <w:tc>
          <w:tcPr>
            <w:tcW w:w="0" w:type="dxa"/>
            <w:vAlign w:val="bottom"/>
          </w:tcPr>
          <w:p>
            <w:pPr>
              <w:spacing w:after="0"/>
              <w:rPr>
                <w:sz w:val="1"/>
                <w:szCs w:val="1"/>
                <w:color w:val="auto"/>
              </w:rPr>
            </w:pPr>
          </w:p>
        </w:tc>
      </w:tr>
      <w:tr>
        <w:trPr>
          <w:trHeight w:val="195"/>
        </w:trPr>
        <w:tc>
          <w:tcPr>
            <w:tcW w:w="456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3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Other</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2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vMerge w:val="continue"/>
          </w:tcPr>
          <w:p>
            <w:pPr>
              <w:spacing w:after="0"/>
              <w:rPr>
                <w:sz w:val="19"/>
                <w:szCs w:val="19"/>
                <w:color w:val="auto"/>
              </w:rPr>
            </w:pPr>
          </w:p>
        </w:tc>
        <w:tc>
          <w:tcPr>
            <w:tcW w:w="2820" w:type="dxa"/>
            <w:vAlign w:val="bottom"/>
            <w:gridSpan w:val="2"/>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6"/>
              </w:rPr>
              <w:t>100%</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5"/>
              </w:rPr>
              <w:t>100%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80" w:type="dxa"/>
            <w:vAlign w:val="bottom"/>
            <w:vMerge w:val="restart"/>
          </w:tcPr>
          <w:p>
            <w:pPr>
              <w:jc w:val="right"/>
              <w:ind w:right="1452"/>
              <w:spacing w:after="0"/>
              <w:rPr>
                <w:sz w:val="20"/>
                <w:szCs w:val="20"/>
                <w:color w:val="auto"/>
              </w:rPr>
            </w:pPr>
            <w:r>
              <w:rPr>
                <w:rFonts w:ascii="Arial" w:cs="Arial" w:eastAsia="Arial" w:hAnsi="Arial"/>
                <w:sz w:val="18"/>
                <w:szCs w:val="18"/>
                <w:color w:val="auto"/>
              </w:rPr>
              <w:t>50</w:t>
            </w: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w w:val="82"/>
              </w:rPr>
              <w:t>September</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16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6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7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4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48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8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64</w:t>
            </w:r>
          </w:p>
        </w:tc>
        <w:tc>
          <w:tcPr>
            <w:tcW w:w="82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999</w:t>
            </w:r>
          </w:p>
        </w:tc>
        <w:tc>
          <w:tcPr>
            <w:tcW w:w="8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1,164</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1,112</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2,317</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 As reflected in the table above, the 2011 and 2010 special items had a significant impact on the Company’s reported operating results for the applicable periods of those years. Lazard management believes that comparisons between periods are most meaningful after excluding the impact of such items.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2011 versus September 30, 2010</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reported net income attributable to Lazard Ltd of $63 million, as compared to net income of $64 million in the 2010 period. The Company’s results in the 2011 and 2010 periods were favorably impacted by the 2011 and 2010 special items, which served to increase the net income attributable to Lazard Ltd by $13 million and $7 million, respectively. Excluding the after-tax impact of the 2011 and 2010 special items, net income attributable to Lazard Ltd in the 2011 period decreased $7 million, or 12%, as compared to the 2010 period. The changes in the Company’s operating results during these periods are described below.</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revenue increased by $9 million, or 2%, with operating revenue decreasing by $7 million, or 1%, respectively, as compared to the 2010 period. Excluding the impact of the 2011 special item, net revenue in 2011 decreased $9 million, or 2%. Fees from investment banking and other advisory activities increased $3 million, or 1%, and were principally driven by increases in M&amp;A and Strategic Advisory revenues, substantially offset by declines in Restructuring and Capital Markets Advisory revenues. Restructuring revenue decreased reflecting a cyclical decline in restructuring activity and the number of corporate debt defaults. Money management fees, including incentive fees, increased $11 million, or 5%, principally due to a $15 billion, or 11%, increase in average AUM for the 2011 period, partially offset by lower incentive fees earned on traditional long-only products in the 2011 period. Interest income decreased $2 million, or 37%, due primarily to a shift in asset allocation at LFB (with a corresponding decrease in interest expense). Other revenue decreased $4 million, or 18%, primarily resulting from net investment losses in the 2011 period (including losses related to Lazard Fund Interests, which are directly offset by a corresponding reduction in compensation and benefits expense), as compared to net investment gains in the 2010 period, with such differential more than offsetting the $18 million gain relating to the 2011 special item. Interest expense decreased $2 million, or 8%.</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and benefits expense was $274 million as compared to $283 million in the 2010 period, a decrease of $9 million, or 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Non-compensation expense increased $10 million, or 11%. The increase in non-compensation expense was attributable to increases related to occupancy, technology and business development expenses, fund administration and outsourced services related to the growth in the number of transactions and average AUM and the adverse impact of the weakening of the U.S. Dollar versus foreign currencies.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2010 period.</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Operating income was $88 million, an increase of $9 million, as compared to operating income of $79 million in the 2010 period and, as a percentage of net revenue, was 19% as compared to 18% in the 2010 period. Excluding the impact of the 2011 special item, operating income in the 2011 period was $70 million, a decrease of $10 million, or 12%, as compared to operating income in the 2010 period, and, as a percentage of net revenue, was 15%, as compared to 18% in the 2010 period.</w:t>
      </w:r>
    </w:p>
    <w:p>
      <w:pPr>
        <w:spacing w:after="0" w:line="13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provision for income taxes was $21 million, an increase of $12 million as compared to the 2010 period. When excluding the tax provision (benefit) of $5 million and ($7) million related to the 2011 and 2010 special items, respectively, the income tax provision in the 2011 period was substantially unchanged as compared to the 2010 period.</w:t>
      </w:r>
    </w:p>
    <w:p>
      <w:pPr>
        <w:spacing w:after="0" w:line="12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Net income attributable to noncontrolling interests decreased $2 million as compared to the 2010 period. When excluding the impact of the 2011 special item of approximately $1 million, net income attributable to noncontrolling interests was $3 million, a decrease of $3 million, with such decrease principally reflecting LAZ-MD Holdings’ reduced ownership interest in Lazard Group in the 2011 period, partially offset by an increase in the noncontrolling interest relating to Edgewater in the 2011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2011 versus September 30, 2010</w:t>
      </w:r>
    </w:p>
    <w:p>
      <w:pPr>
        <w:spacing w:after="0" w:line="77"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The Company reported net income attributable to Lazard Ltd of $180 million, as compared to net income of $75 million in the 2010 period. The Company’s results in the 2011 and 2010 periods were impacted by the 2011 and 2010 special items, which served to increase (decrease) the net income attributable to Lazard Ltd by $13 million and ($73) million, respectively. Excluding the after-tax impact of the 2011 and 2010 special items, net income attributable to Lazard Ltd in the 2011 period increased $19 million, or 12%, as compared to the 2010 period. The changes in the Company’s operating results during these periods are described below.</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Net revenue and operating revenue increased $67 million, or 5%, and $47 million, or 3%, respectively, as compared to the 2010 period. Excluding the impact of the 2011 special item, net revenue in 2011 increased $49 million, or 4%. Fees from investment banking and other advisory activities declined $48 million, or 6%, and were principally driven by a decline in Restructuring and Capital Markets Advisory revenues, partially offset by increased M&amp;A and Strategic Advisory revenues. Restructuring revenue decreased reflecting a cyclical decline in restructuring activity and the number of corporate debt defaults. Money management fees, including incentive fees, increased $98 million, or 18%, principally due to a $20 billion, or 15%, increase in average AUM for the 2011 period, and a favorable change in the mix of AUM into higher margin equity products, partially offset by lower incentive fees earned on traditional long-only products in the 2011 period. Interest income decreased $5 million, or 30%, due primarily to a shift in asset allocation at LFB (with a corresponding decrease in interest expense). Other revenue increased $17 million, or 35%, primarily due to the $18 million gain relating to the 2011 special item, an $11 million increase in net referral fees for underwriting, and increased foreign exchange gains and commission revenue, with these items partially offset by net investment losses in the 2011 period (including losses related to Lazard Fund Interests, which are directly offset by a corresponding reduction in compensation and benefits expense) as compared to net investment gains in the 2010 period. Interest expense decreased $5 million, or 7%.</w:t>
      </w:r>
    </w:p>
    <w:p>
      <w:pPr>
        <w:spacing w:after="0" w:line="114"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Compensation and benefits expense was $830 million as compared to $846 million in the 2010 period. When excluding the 2010 special item of $25 million, compensation and benefits expense increased $9 million, or 1%, with the rate of increase being consistent with the Company’s goal to grow compensation expense at a slower rate than revenues.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Non-compensation expense increased $32 million, or 12%. The increase in non-compensation expense was attributable to (i) investments in our businesses for recruiting, occupancy and technology, (ii) higher levels of activity in Asset Management and Financial Advisory and (iii) the weakening of the U.S. Dollar versus foreign currencies.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2010 period.</w:t>
      </w:r>
    </w:p>
    <w:p>
      <w:pPr>
        <w:spacing w:after="0" w:line="158"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In the first quarter of 2010, the Company announced plans to reduce certain staff and realign personnel. As a result, the 2010 special items include a restructuring charge of $87 million in connection with severance and benefit payments, the acceleration of unrecognized expense pertaining to share-based incentive compensation previously granted to individuals who were terminated and certain other costs related to the restructuring initiatives.</w:t>
      </w:r>
    </w:p>
    <w:p>
      <w:pPr>
        <w:spacing w:after="0" w:line="9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Operating income was $250 million, an increase of $138 million, as compared to operating income of $112 million in the 2010 period (with such amounts including the impact of the 2011 and 2010 special items) and, as a percentage of net revenue, was 18% as compared to 9% in the 2010 period. Excluding the impact of the 2011 and 2010 special items, operating income in the 2011 period was $232 million, an increase of $8 million, or 4%, as compared to operating income of $224 million in the 2010 period, and, as a percentage of net revenue, was 17%, in both the 2011 and 2010 periods.</w:t>
      </w:r>
    </w:p>
    <w:p>
      <w:pPr>
        <w:spacing w:after="0" w:line="9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provision for income taxes was $52 million, an increase of $23 million as compared to the 2010 period. When excluding the provision (benefit) for income taxes of $5 million and $(14) million related to the 2011 and 2010 special items, respectively, the income tax provision in the 2011 period was $47 million, an increase of $4 million, as compared to income taxes of $43 million in the 2010 period.</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income attributable to noncontrolling interests increased $11 million as compared to the 2010 period. When excluding the impact of the 2011 and 2010 special items of $1 million and ($24) million, respectively, net income attributable to noncontrolling interests in the 2011 period was $18 million, a decrease of $14 million, as compared to $32 million in the 2010 period, with such decrease principally reflecting LAZ-MD Holdings’ reduced ownership interest in Lazard Group in the 2011 period, partially offset by an increase in the noncontrolling interest relating to Edgewater in the 2011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headcount, square footage and other factors.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of the Financial Advisory segment for the 2011 and 2010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277"/>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477"/>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5"/>
          </w:tcPr>
          <w:p>
            <w:pPr>
              <w:jc w:val="right"/>
              <w:ind w:right="800"/>
              <w:spacing w:after="0" w:line="142" w:lineRule="exact"/>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199,120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160,662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533,440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$454,073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Capital Markets and Other Advisory</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16,316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27,350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76,142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68,342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215,436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188,012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609,582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522,415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38,149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66,000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122,039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246,066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253,585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254,012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731,621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768,481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Operating Expenses (b)</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213,614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215,838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641,397</w:t>
            </w:r>
          </w:p>
        </w:tc>
        <w:tc>
          <w:tcPr>
            <w:tcW w:w="3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1"/>
              </w:rPr>
              <w:t>667,538(a)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90,224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100,943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Operating Income, As A Percentage Of Net Revenue</w:t>
            </w:r>
          </w:p>
        </w:tc>
        <w:tc>
          <w:tcPr>
            <w:tcW w:w="940" w:type="dxa"/>
            <w:vAlign w:val="bottom"/>
            <w:gridSpan w:val="3"/>
          </w:tcPr>
          <w:p>
            <w:pPr>
              <w:jc w:val="right"/>
              <w:ind w:right="52"/>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500" w:type="dxa"/>
            <w:vAlign w:val="bottom"/>
            <w:gridSpan w:val="6"/>
          </w:tcPr>
          <w:p>
            <w:pPr>
              <w:jc w:val="right"/>
              <w:ind w:right="440"/>
              <w:spacing w:after="0"/>
              <w:rPr>
                <w:sz w:val="20"/>
                <w:szCs w:val="20"/>
                <w:color w:val="auto"/>
              </w:rPr>
            </w:pPr>
            <w:r>
              <w:rPr>
                <w:rFonts w:ascii="Arial" w:cs="Arial" w:eastAsia="Arial" w:hAnsi="Arial"/>
                <w:sz w:val="18"/>
                <w:szCs w:val="18"/>
                <w:color w:val="auto"/>
              </w:rPr>
              <w:t>12%</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13%</w:t>
            </w:r>
          </w:p>
        </w:tc>
      </w:tr>
      <w:tr>
        <w:trPr>
          <w:trHeight w:val="20"/>
        </w:trPr>
        <w:tc>
          <w:tcPr>
            <w:tcW w:w="1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8"/>
        </w:trPr>
        <w:tc>
          <w:tcPr>
            <w:tcW w:w="11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center"/>
              <w:ind w:right="94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29"/>
        </w:trPr>
        <w:tc>
          <w:tcPr>
            <w:tcW w:w="11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gridSpan w:val="6"/>
          </w:tcPr>
          <w:p>
            <w:pPr>
              <w:jc w:val="center"/>
              <w:ind w:right="70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8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1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67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Headcount (c):</w:t>
            </w: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679</w:t>
            </w: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940" w:type="dxa"/>
            <w:vAlign w:val="bottom"/>
            <w:gridSpan w:val="3"/>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r>
      <w:tr>
        <w:trPr>
          <w:trHeight w:val="222"/>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1,017</w:t>
            </w:r>
          </w:p>
        </w:tc>
      </w:tr>
      <w:tr>
        <w:trPr>
          <w:trHeight w:val="20"/>
        </w:trPr>
        <w:tc>
          <w:tcPr>
            <w:tcW w:w="1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$19,571 representing the portion of the 2010 special items attributable to the Financial Advisory segment.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78"/>
              </w:rPr>
              <w:t>65</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49</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44</w:t>
            </w: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r>
      <w:tr>
        <w:trPr>
          <w:trHeight w:val="23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11</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10</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October 7, 2011.</w:t>
      </w:r>
    </w:p>
    <w:p>
      <w:pPr>
        <w:spacing w:after="0" w:line="15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(principally in the U.K., France, Italy, Spain and Germany) and the rest of the world (principally in Australia) and therefore may not be reflective of the geography in which the clients are located.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90"/>
              </w:rPr>
              <w:t>Three Months Ended</w:t>
            </w:r>
          </w:p>
        </w:tc>
        <w:tc>
          <w:tcPr>
            <w:tcW w:w="21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2010</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40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 As reflected in the table of operating results of the Financial Advisory segment above, the portion of the 2010 special item attributable to the Financial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20"/>
        <w:spacing w:after="0" w:line="275" w:lineRule="auto"/>
        <w:rPr>
          <w:sz w:val="20"/>
          <w:szCs w:val="20"/>
          <w:color w:val="auto"/>
        </w:rPr>
      </w:pPr>
      <w:r>
        <w:rPr>
          <w:rFonts w:ascii="Arial" w:cs="Arial" w:eastAsia="Arial" w:hAnsi="Arial"/>
          <w:sz w:val="18"/>
          <w:szCs w:val="18"/>
          <w:b w:val="1"/>
          <w:bCs w:val="1"/>
          <w:color w:val="auto"/>
        </w:rPr>
        <w:t>Advisory segment had a significant impact on the segment’s reported operating results for the nine month period of that year. Lazard management believes that comparisons between periods are most meaningful after excluding the impact of such item.</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September 30, 2011 versus September 30, 2010</w:t>
      </w:r>
    </w:p>
    <w:p>
      <w:pPr>
        <w:spacing w:after="0" w:line="7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M&amp;A and Strategic Advisory, Capital Markets and Other Advisory revenue, in the aggregate, increased $27 million, or 15%, as compared to the 2010 period, with M&amp;A and Strategic Advisory revenue increasing $38 million, or 24%, partially offset by a decrease in Capital Markets and Other Advisory net revenue of $11 million, or 40%. Restructuring net revenue declined $28 million, or 42%.</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increase in M&amp;A and Strategic Advisory revenue was principally due to an increased number and higher average fees per M&amp;A and Strategic Advisory transaction. Our major clients, which in the aggregate represented a significant portion of our M&amp;A and Strategic Advisory revenue in the third quarter of 2011, included The Carlyle Group, Carrefour, Citadel Broadcasting, Clayton, Dubilier &amp; Rice, Gloucester Coal, Landis+Gyr, Nestlé Health Science, Progress Energy, Royalty Pharmaceuticals and Tyco.</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decrease in Capital Markets and Other Advisory net revenue principally reflected decreased fees as a result of a lower level of fund closings by our Private Fund Advisory Group.</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Restructuring revenue decrease was driven by a cyclical decline in global restructuring activity, resulting in a decline in the number of active assignments in the 2011 period as compared to the corresponding prior year period, and a corresponding decrease in completion fees.</w:t>
      </w:r>
    </w:p>
    <w:p>
      <w:pPr>
        <w:spacing w:after="0" w:line="13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Operating expenses declined by $2 million as compared to the 2010 period, principally due to reductions in compensation and benefits expense, partially offset by increases in travel and other business development expenses.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Financial Advisory operating income was $40 million, an increase of $2 million, as compared to operating income of $38 million in the 2010 period and, as a percentage of net revenue, was 16% as compared to 15% in 2010.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Nine Months Ended September 30, 2011 versus September 30, 2010</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M&amp;A and Strategic Advisory, Capital Markets and Other Advisory revenue, in the aggregate, increased $87 million, or 17%, as compared to the 2010 period, with M&amp;A and Strategic Advisory revenue increasing $79 million, or 17%, and Capital Markets and Other Advisory net revenue increasing $8 million, or 11%. Offsetting these increases was a decline in Restructuring net revenue of $124 million, or 50%.</w:t>
      </w:r>
    </w:p>
    <w:p>
      <w:pPr>
        <w:spacing w:after="0" w:line="12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increase in M&amp;A and Strategic Advisory revenue was principally due to higher average fees per M&amp;A and Strategic Advisory transaction. The increase in Capital Markets and Other Advisory net revenue was principally due to increased referral fees for underwritings of public offerings.</w:t>
      </w:r>
    </w:p>
    <w:p>
      <w:pPr>
        <w:spacing w:after="0" w:line="72"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The Restructuring revenue decrease was driven by a cyclical decline in global restructuring activity, resulting in a decline in the number of active assignments in the 2011 period as compared to the corresponding prior year period, and a corresponding decrease in completion fees.</w:t>
      </w:r>
    </w:p>
    <w:p>
      <w:pPr>
        <w:spacing w:after="0" w:line="72"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Operating expenses decreased $26 million, or 4%, as compared to the 2010 period. Excluding the $20 million negative impact of the 2010 special item attributable to the Financial Advisory segment, operating expenses decreased $6 million, or 1%. The principal contributor to the decrease was a decline in compensation and benefits expense, partially offset by higher costs related to travel and other business development expenses.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Financial Advisory operating income was $90 million, a decrease of $11 million, as compared to operating income of $101 million in the 2010 period (with such latter amount including the impact of the 2010 special item) and, as a percentage of net revenue, was 12% as compared to 13% in 2010. Excluding the impact of the 2010 special item, operating income in the 2011 period decreased $31 million, as compared to operating income of $121 million in the 2010 period, and, as a percentage of net revenue, was 12%, as compared to 16% in the 2010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92"/>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3"/>
              </w:rPr>
              <w:t>September 30,</w:t>
            </w:r>
          </w:p>
        </w:tc>
        <w:tc>
          <w:tcPr>
            <w:tcW w:w="5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5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4"/>
          </w:tcPr>
          <w:p>
            <w:pPr>
              <w:jc w:val="center"/>
              <w:ind w:left="375"/>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International Equities</w:t>
            </w:r>
          </w:p>
        </w:tc>
        <w:tc>
          <w:tcPr>
            <w:tcW w:w="324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26,227</w:t>
            </w:r>
          </w:p>
        </w:tc>
        <w:tc>
          <w:tcPr>
            <w:tcW w:w="100" w:type="dxa"/>
            <w:vAlign w:val="bottom"/>
          </w:tcPr>
          <w:p>
            <w:pPr>
              <w:spacing w:after="0"/>
              <w:rPr>
                <w:sz w:val="18"/>
                <w:szCs w:val="18"/>
                <w:color w:val="auto"/>
              </w:rPr>
            </w:pP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32,037</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U.S. Equities</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111,035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131,300</w:t>
            </w:r>
          </w:p>
        </w:tc>
        <w:tc>
          <w:tcPr>
            <w:tcW w:w="100" w:type="dxa"/>
            <w:vAlign w:val="bottom"/>
            <w:shd w:val="clear" w:color="auto" w:fill="CCEEFF"/>
          </w:tcPr>
          <w:p>
            <w:pPr>
              <w:spacing w:after="0"/>
              <w:rPr>
                <w:sz w:val="18"/>
                <w:szCs w:val="18"/>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3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tcPr>
          <w:p>
            <w:pPr>
              <w:spacing w:after="0"/>
              <w:rPr>
                <w:sz w:val="19"/>
                <w:szCs w:val="19"/>
                <w:color w:val="auto"/>
              </w:rPr>
            </w:pPr>
          </w:p>
        </w:tc>
      </w:tr>
      <w:tr>
        <w:trPr>
          <w:trHeight w:val="21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U.S. Fixed Income</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3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100" w:type="dxa"/>
            <w:vAlign w:val="bottom"/>
            <w:shd w:val="clear" w:color="auto" w:fill="CCEEFF"/>
          </w:tcPr>
          <w:p>
            <w:pPr>
              <w:spacing w:after="0"/>
              <w:rPr>
                <w:sz w:val="18"/>
                <w:szCs w:val="18"/>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19"/>
                <w:szCs w:val="19"/>
                <w:color w:val="auto"/>
              </w:rPr>
            </w:pPr>
          </w:p>
        </w:tc>
      </w:tr>
      <w:tr>
        <w:trPr>
          <w:trHeight w:val="21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Cash Management</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324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135,812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155,337</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Average AUM for the 2011 and 2010 periods is set forth below. Average AUM is based on an average of quarterly ending balances for the respective periods.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Three Months Ended</w:t>
            </w:r>
          </w:p>
        </w:tc>
        <w:tc>
          <w:tcPr>
            <w:tcW w:w="1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5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10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56"/>
        </w:trPr>
        <w:tc>
          <w:tcPr>
            <w:tcW w:w="7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$ 148,705</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$ 133,528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$ 153,299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$ 132,893</w:t>
            </w:r>
          </w:p>
        </w:tc>
      </w:tr>
      <w:tr>
        <w:trPr>
          <w:trHeight w:val="20"/>
        </w:trPr>
        <w:tc>
          <w:tcPr>
            <w:tcW w:w="7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Total AUM at September 30, 2011 decreased $20 billion, or 13%, primarily due to market and foreign exchange depreciation, as compared to that at December 31, 2010. Average AUM for the three month and nine month periods in 2011 was 11% and 15% higher, respectively, than the average AUM for the corresponding periods in 2010. International, Global and U.S. equities represented 19%, 49% and 13% of total AUM at September 30, 2011, versus 21%, 50% and 14% at December 31, 2010.</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September 30, 2011 and December 31, 2010, approximately 90% of our AUM was managed on behalf of institutional clients, including corporations, labor unions, public pension funds, insurance companies and banks, and through sub-advisory relationships, mutual fund sponsors, broker-dealers and registered advisors, and, as of such dates, 10% of our AUM was managed on behalf of individual client relationships, which are principally with family offices and high-net worth individuals.</w:t>
      </w:r>
    </w:p>
    <w:p>
      <w:pPr>
        <w:spacing w:after="0" w:line="13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September 30, 2011, AUM denominated in foreign currencies represented approximately 62% of our total AUM, as compared to 63% at December 31, 2010. Foreign denominated AUM declines in value with the strengthening of the U.S. Dollar and increases in value as the U.S. Dollar weakens.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2011 and 2010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gridSpan w:val="4"/>
          </w:tcPr>
          <w:p>
            <w:pPr>
              <w:jc w:val="right"/>
              <w:ind w:right="940"/>
              <w:spacing w:after="0" w:line="142" w:lineRule="exact"/>
              <w:rPr>
                <w:sz w:val="20"/>
                <w:szCs w:val="20"/>
                <w:color w:val="auto"/>
              </w:rPr>
            </w:pPr>
            <w:r>
              <w:rPr>
                <w:rFonts w:ascii="Arial" w:cs="Arial" w:eastAsia="Arial" w:hAnsi="Arial"/>
                <w:sz w:val="14"/>
                <w:szCs w:val="14"/>
                <w:b w:val="1"/>
                <w:bCs w:val="1"/>
                <w:color w:val="auto"/>
              </w:rPr>
              <w:t>($ 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$161,597</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$123,483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$155,337</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(1,122)</w:t>
            </w:r>
          </w:p>
        </w:tc>
        <w:tc>
          <w:tcPr>
            <w:tcW w:w="680" w:type="dxa"/>
            <w:vAlign w:val="bottom"/>
          </w:tcPr>
          <w:p>
            <w:pPr>
              <w:jc w:val="right"/>
              <w:spacing w:after="0"/>
              <w:rPr>
                <w:sz w:val="20"/>
                <w:szCs w:val="20"/>
                <w:color w:val="auto"/>
              </w:rPr>
            </w:pPr>
            <w:r>
              <w:rPr>
                <w:rFonts w:ascii="Arial" w:cs="Arial" w:eastAsia="Arial" w:hAnsi="Arial"/>
                <w:sz w:val="18"/>
                <w:szCs w:val="18"/>
                <w:color w:val="auto"/>
              </w:rPr>
              <w:t>1,142</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(754)</w:t>
            </w:r>
          </w:p>
        </w:tc>
        <w:tc>
          <w:tcPr>
            <w:tcW w:w="660" w:type="dxa"/>
            <w:vAlign w:val="bottom"/>
          </w:tcPr>
          <w:p>
            <w:pPr>
              <w:jc w:val="right"/>
              <w:spacing w:after="0"/>
              <w:rPr>
                <w:sz w:val="20"/>
                <w:szCs w:val="20"/>
                <w:color w:val="auto"/>
              </w:rPr>
            </w:pPr>
            <w:r>
              <w:rPr>
                <w:rFonts w:ascii="Arial" w:cs="Arial" w:eastAsia="Arial" w:hAnsi="Arial"/>
                <w:sz w:val="18"/>
                <w:szCs w:val="18"/>
                <w:color w:val="auto"/>
              </w:rPr>
              <w:t>6,173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(24,663)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18,948</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(18,771)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AUM—End of Period</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135,812</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143,573</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135,812</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143,573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inflows of $6,327 and $5,627 and outflows of $7,449 and $4,485 for the three month periods in 2011 and 2010, respectively, and inflows of $20,585 and $21,917 and outflows of $21,339 and $15,744 for the nine month periods in 2011 and 2010, respectively.</w:t>
      </w:r>
    </w:p>
    <w:p>
      <w:pPr>
        <w:spacing w:after="0" w:line="7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Inflows in the first nine months of 2011 were principally in Global Equities due to increased investments in existing accounts, as well as new accounts gained. Outflows in the period occurred primarily in Global and International Equities and, to a lesser extent, certain International Equity and Fixed Income products.</w:t>
      </w:r>
    </w:p>
    <w:p>
      <w:pPr>
        <w:spacing w:after="0" w:line="12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of October 27, 2011, AUM was $149.4 billion, a $13.6 billion increase since September 30, 2011. The change in AUM was due to market/foreign exchange appreciation of $13.2 billion and net inflows of $0.4 billion. Market appreciation was approximately 10% of AUM since September 30, 2011, which was generally consistent with the increase in global market indices during that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Asset Management segment for the 2011 and 2010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8"/>
          </w:tcPr>
          <w:p>
            <w:pPr>
              <w:jc w:val="right"/>
              <w:ind w:right="512"/>
              <w:spacing w:after="0"/>
              <w:rPr>
                <w:sz w:val="20"/>
                <w:szCs w:val="20"/>
                <w:color w:val="auto"/>
              </w:rPr>
            </w:pPr>
            <w:r>
              <w:rPr>
                <w:rFonts w:ascii="Arial" w:cs="Arial" w:eastAsia="Arial" w:hAnsi="Arial"/>
                <w:sz w:val="14"/>
                <w:szCs w:val="14"/>
                <w:b w:val="1"/>
                <w:bCs w:val="1"/>
                <w:color w:val="auto"/>
                <w:w w:val="92"/>
              </w:rPr>
              <w:t>Three Months Ended</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8"/>
          </w:tcPr>
          <w:p>
            <w:pPr>
              <w:jc w:val="right"/>
              <w:ind w:right="712"/>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4"/>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7"/>
          </w:tcPr>
          <w:p>
            <w:pPr>
              <w:jc w:val="right"/>
              <w:ind w:right="860"/>
              <w:spacing w:after="0" w:line="142" w:lineRule="exact"/>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199,980</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$627,965</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$512,758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9,395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20,872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9,702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41,948</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32,650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6"/>
              </w:rPr>
              <w:t>219,077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210,132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690,785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 (b)</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156,709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150,515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466,827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ind w:left="100"/>
              <w:spacing w:after="0"/>
              <w:rPr>
                <w:sz w:val="20"/>
                <w:szCs w:val="20"/>
                <w:color w:val="auto"/>
              </w:rPr>
            </w:pPr>
            <w:r>
              <w:rPr>
                <w:rFonts w:ascii="Arial" w:cs="Arial" w:eastAsia="Arial" w:hAnsi="Arial"/>
                <w:sz w:val="18"/>
                <w:szCs w:val="18"/>
                <w:color w:val="auto"/>
                <w:w w:val="91"/>
              </w:rPr>
              <w:t>416,841(a)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62,368</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223,958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gridSpan w:val="3"/>
            <w:vMerge w:val="continue"/>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2"/>
              <w:spacing w:after="0"/>
              <w:rPr>
                <w:sz w:val="20"/>
                <w:szCs w:val="20"/>
                <w:color w:val="auto"/>
              </w:rPr>
            </w:pPr>
            <w:r>
              <w:rPr>
                <w:rFonts w:ascii="Arial" w:cs="Arial" w:eastAsia="Arial" w:hAnsi="Arial"/>
                <w:sz w:val="18"/>
                <w:szCs w:val="18"/>
                <w:color w:val="auto"/>
              </w:rPr>
              <w:t>28%</w:t>
            </w:r>
          </w:p>
        </w:tc>
        <w:tc>
          <w:tcPr>
            <w:tcW w:w="1380" w:type="dxa"/>
            <w:vAlign w:val="bottom"/>
            <w:gridSpan w:val="4"/>
          </w:tcPr>
          <w:p>
            <w:pPr>
              <w:jc w:val="right"/>
              <w:ind w:right="220"/>
              <w:spacing w:after="0"/>
              <w:rPr>
                <w:sz w:val="20"/>
                <w:szCs w:val="20"/>
                <w:color w:val="auto"/>
              </w:rPr>
            </w:pPr>
            <w:r>
              <w:rPr>
                <w:rFonts w:ascii="Arial" w:cs="Arial" w:eastAsia="Arial" w:hAnsi="Arial"/>
                <w:sz w:val="18"/>
                <w:szCs w:val="18"/>
                <w:color w:val="auto"/>
              </w:rPr>
              <w:t>32%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840"/>
              <w:spacing w:after="0"/>
              <w:rPr>
                <w:sz w:val="20"/>
                <w:szCs w:val="20"/>
                <w:color w:val="auto"/>
              </w:rPr>
            </w:pPr>
            <w:r>
              <w:rPr>
                <w:rFonts w:ascii="Arial" w:cs="Arial" w:eastAsia="Arial" w:hAnsi="Arial"/>
                <w:sz w:val="14"/>
                <w:szCs w:val="14"/>
                <w:b w:val="1"/>
                <w:bCs w:val="1"/>
                <w:color w:val="auto"/>
                <w:w w:val="90"/>
              </w:rPr>
              <w:t>As Of</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5"/>
          </w:tcPr>
          <w:p>
            <w:pPr>
              <w:jc w:val="right"/>
              <w:ind w:right="24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5"/>
          </w:tcPr>
          <w:p>
            <w:pPr>
              <w:jc w:val="center"/>
              <w:ind w:right="7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Headcount (c):</w:t>
            </w:r>
          </w:p>
        </w:tc>
        <w:tc>
          <w:tcPr>
            <w:tcW w:w="1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92"/>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Employees: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860"/>
              <w:spacing w:after="0"/>
              <w:rPr>
                <w:sz w:val="20"/>
                <w:szCs w:val="20"/>
                <w:color w:val="auto"/>
              </w:rPr>
            </w:pPr>
            <w:r>
              <w:rPr>
                <w:rFonts w:ascii="Arial" w:cs="Arial" w:eastAsia="Arial" w:hAnsi="Arial"/>
                <w:sz w:val="18"/>
                <w:szCs w:val="18"/>
                <w:color w:val="auto"/>
              </w:rPr>
              <w:t>Business segment professionals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92"/>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297</w:t>
            </w:r>
          </w:p>
        </w:tc>
        <w:tc>
          <w:tcPr>
            <w:tcW w:w="3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725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92"/>
              <w:spacing w:after="0"/>
              <w:rPr>
                <w:sz w:val="20"/>
                <w:szCs w:val="20"/>
                <w:color w:val="auto"/>
              </w:rPr>
            </w:pPr>
            <w:r>
              <w:rPr>
                <w:rFonts w:ascii="Arial" w:cs="Arial" w:eastAsia="Arial" w:hAnsi="Arial"/>
                <w:sz w:val="18"/>
                <w:szCs w:val="18"/>
                <w:color w:val="auto"/>
              </w:rPr>
              <w:t>676</w:t>
            </w:r>
          </w:p>
        </w:tc>
        <w:tc>
          <w:tcPr>
            <w:tcW w:w="3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040" w:hanging="5612"/>
        <w:spacing w:after="0" w:line="440" w:lineRule="auto"/>
        <w:tabs>
          <w:tab w:leader="none" w:pos="4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$2,902 representing the portion of the 2010 special item attributable to the Asset Management segment. 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140" w:firstLine="456"/>
        <w:spacing w:after="0" w:line="323"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2740" w:type="dxa"/>
            <w:vAlign w:val="bottom"/>
            <w:gridSpan w:val="4"/>
          </w:tcPr>
          <w:p>
            <w:pPr>
              <w:jc w:val="right"/>
              <w:ind w:right="1160"/>
              <w:spacing w:after="0" w:line="149" w:lineRule="exact"/>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44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61%</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w:t>
            </w:r>
          </w:p>
        </w:tc>
        <w:tc>
          <w:tcPr>
            <w:tcW w:w="13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60%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Europe</w:t>
            </w:r>
          </w:p>
        </w:tc>
        <w:tc>
          <w:tcPr>
            <w:tcW w:w="1440" w:type="dxa"/>
            <w:vAlign w:val="bottom"/>
            <w:gridSpan w:val="2"/>
          </w:tcPr>
          <w:p>
            <w:pPr>
              <w:jc w:val="right"/>
              <w:ind w:right="90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820"/>
              <w:spacing w:after="0"/>
              <w:rPr>
                <w:sz w:val="20"/>
                <w:szCs w:val="20"/>
                <w:color w:val="auto"/>
              </w:rPr>
            </w:pPr>
            <w:r>
              <w:rPr>
                <w:rFonts w:ascii="Arial" w:cs="Arial" w:eastAsia="Arial" w:hAnsi="Arial"/>
                <w:sz w:val="18"/>
                <w:szCs w:val="18"/>
                <w:color w:val="auto"/>
              </w:rPr>
              <w:t>30</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8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right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72"/>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and may fluctuate based on the performance of the equity markets. Lazard management believes that annual results are the most meaningful basis for comparison among present, historical and future periods. As reflected in the table of operating results of the Asset Management segment above, the portion of the 2010 special item attributable to the Asset Management segment impacted the segment’s reported operating results for the nine month period of that year. Lazard management believes that comparisons between periods are most meaningful after excluding the impact of such item.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2011 versus September 30, 2010</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Asset Management net revenue increased $9 million, or 4%, as compared to the 2010 period. Management fees increased $16 million, or 9%, as compared to the 2010 period, driven primarily by an 11% increase in average AUM. Incentive fees, consisting of traditional long-only investment strategies, decreased $6 million, or 39%, as compared to the 2010 period. Other revenue decreased $1 million, or 9%, as compared to the 2010 period.</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Operating expenses increased $6 million, or 4%, as compared to the 2010 period, principally due to higher compensation expense, as well as higher fees for fund administration and outsourced services and increased business development expenses for travel and market related data due to the increased level of business activity, transactions and average AUM.</w:t>
      </w:r>
    </w:p>
    <w:p>
      <w:pPr>
        <w:spacing w:after="0" w:line="12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Asset Management operating income was $62 million, an increase of $2 million, as compared to operating income of $60 million in the 2010 period and, as a percentage of net revenue, was 28% in both the 2011 and 2010 periods.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2011 versus September 30, 2010</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Asset Management net revenue increased $103 million, or 18%, as compared to the 2010 period. Management fees increased $115 million, or 22%, as compared to the 2010 period, driven primarily by a 15% increase in average AUM, as well as a favorable change in the mix of AUM into higher margin equity products. Incentive fees, consisting of traditional long-only investment strategies, decreased $21 million, or 50%, as compared to the 2010 period. Other revenue increased $9 million, or 28%, as compared to the 2010 period, principally due to increased investment and commission income.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Operating expenses increased $50 million, or 12%, as compared to the 2010 period. Excluding the impact of the 2010 special item attributable to the Asset Management segment, operating expenses increased $53 million, or 13%, due to higher compensation expense, higher fees for fund administration and outsourced services and increased business development expenses for travel and market related data due to the increased level of business activity, transactions and average AUM.</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Asset Management operating income was $224 million, an increase of $54 million, as compared to operating income of $170 million in the 2010 period (with such latter amount including the impact of the 2010 special item) and, as a percentage of net revenue, was 32% as compared to 29% in 2010. Excluding the impact of the 2010 special item, operating income in the 2011 period increased $51 million, as compared to operating income of $173 million in the 2010 period, and, as a percentage of net revenue, was 32%, as compared to 30% in the 2010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Corporate segment for the 2011 and 2010 periods.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gridSpan w:val="8"/>
          </w:tcPr>
          <w:p>
            <w:pPr>
              <w:jc w:val="center"/>
              <w:ind w:right="7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6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60" w:type="dxa"/>
            <w:vAlign w:val="bottom"/>
            <w:gridSpan w:val="9"/>
          </w:tcPr>
          <w:p>
            <w:pPr>
              <w:jc w:val="center"/>
              <w:ind w:right="84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1,514</w:t>
            </w:r>
          </w:p>
        </w:tc>
        <w:tc>
          <w:tcPr>
            <w:tcW w:w="11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5"/>
              </w:rPr>
              <w:t>$  4,118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480" w:type="dxa"/>
            <w:vAlign w:val="bottom"/>
            <w:gridSpan w:val="2"/>
          </w:tcPr>
          <w:p>
            <w:pPr>
              <w:jc w:val="right"/>
              <w:ind w:right="792"/>
              <w:spacing w:after="0"/>
              <w:rPr>
                <w:sz w:val="20"/>
                <w:szCs w:val="20"/>
                <w:color w:val="auto"/>
              </w:rPr>
            </w:pPr>
            <w:r>
              <w:rPr>
                <w:rFonts w:ascii="Arial" w:cs="Arial" w:eastAsia="Arial" w:hAnsi="Arial"/>
                <w:sz w:val="18"/>
                <w:szCs w:val="18"/>
                <w:color w:val="auto"/>
                <w:w w:val="89"/>
              </w:rPr>
              <w:t>(21,447)</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(23,838)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jc w:val="right"/>
              <w:ind w:right="492"/>
              <w:spacing w:after="0"/>
              <w:rPr>
                <w:sz w:val="20"/>
                <w:szCs w:val="20"/>
                <w:color w:val="auto"/>
              </w:rPr>
            </w:pPr>
            <w:r>
              <w:rPr>
                <w:rFonts w:ascii="Arial" w:cs="Arial" w:eastAsia="Arial" w:hAnsi="Arial"/>
                <w:sz w:val="18"/>
                <w:szCs w:val="18"/>
                <w:color w:val="auto"/>
                <w:w w:val="89"/>
              </w:rPr>
              <w:t>(66,801)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(72,374)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w w:val="89"/>
              </w:rPr>
              <w:t>(19,933)</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(19,720)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w w:val="89"/>
              </w:rPr>
              <w:t>(62,080)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1480" w:type="dxa"/>
            <w:vAlign w:val="bottom"/>
            <w:gridSpan w:val="2"/>
          </w:tcPr>
          <w:p>
            <w:pPr>
              <w:jc w:val="right"/>
              <w:ind w:right="612"/>
              <w:spacing w:after="0"/>
              <w:rPr>
                <w:sz w:val="20"/>
                <w:szCs w:val="20"/>
                <w:color w:val="auto"/>
              </w:rPr>
            </w:pPr>
            <w:r>
              <w:rPr>
                <w:rFonts w:ascii="Arial" w:cs="Arial" w:eastAsia="Arial" w:hAnsi="Arial"/>
                <w:sz w:val="18"/>
                <w:szCs w:val="18"/>
                <w:color w:val="auto"/>
              </w:rPr>
              <w:t>9,690 (a)</w:t>
            </w:r>
          </w:p>
        </w:tc>
        <w:tc>
          <w:tcPr>
            <w:tcW w:w="1180" w:type="dxa"/>
            <w:vAlign w:val="bottom"/>
            <w:gridSpan w:val="2"/>
          </w:tcPr>
          <w:p>
            <w:pPr>
              <w:jc w:val="right"/>
              <w:ind w:right="472"/>
              <w:spacing w:after="0"/>
              <w:rPr>
                <w:sz w:val="20"/>
                <w:szCs w:val="20"/>
                <w:color w:val="auto"/>
              </w:rPr>
            </w:pPr>
            <w:r>
              <w:rPr>
                <w:rFonts w:ascii="Arial" w:cs="Arial" w:eastAsia="Arial" w:hAnsi="Arial"/>
                <w:sz w:val="18"/>
                <w:szCs w:val="18"/>
                <w:color w:val="auto"/>
              </w:rPr>
              <w:t>8,813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4"/>
          </w:tcPr>
          <w:p>
            <w:pPr>
              <w:ind w:left="80"/>
              <w:spacing w:after="0"/>
              <w:rPr>
                <w:sz w:val="20"/>
                <w:szCs w:val="20"/>
                <w:color w:val="auto"/>
              </w:rPr>
            </w:pPr>
            <w:r>
              <w:rPr>
                <w:rFonts w:ascii="Arial" w:cs="Arial" w:eastAsia="Arial" w:hAnsi="Arial"/>
                <w:sz w:val="18"/>
                <w:szCs w:val="18"/>
                <w:color w:val="auto"/>
              </w:rPr>
              <w:t>17,408 (a)</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14,507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w w:val="89"/>
              </w:rPr>
              <w:t>(10,243)</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(10,907)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w w:val="89"/>
              </w:rPr>
              <w:t>(44,672)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4,358</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7,417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19,124</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color w:val="auto"/>
                <w:w w:val="91"/>
              </w:rPr>
              <w:t>114,067 (b)</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4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w w:val="89"/>
              </w:rPr>
              <w:t>(14,601)</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(18,324)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w w:val="89"/>
              </w:rPr>
              <w:t>(63,796)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8"/>
              </w:rPr>
              <w:t>(159,364)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4"/>
          </w:tcPr>
          <w:p>
            <w:pPr>
              <w:jc w:val="center"/>
              <w:ind w:right="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80" w:type="dxa"/>
            <w:vAlign w:val="bottom"/>
          </w:tcPr>
          <w:p>
            <w:pPr>
              <w:spacing w:after="0"/>
              <w:rPr>
                <w:sz w:val="11"/>
                <w:szCs w:val="11"/>
                <w:color w:val="auto"/>
              </w:rPr>
            </w:pPr>
          </w:p>
        </w:tc>
        <w:tc>
          <w:tcPr>
            <w:tcW w:w="110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center"/>
              <w:ind w:left="838"/>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Headcount (c):</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Employees: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860"/>
              <w:spacing w:after="0"/>
              <w:rPr>
                <w:sz w:val="20"/>
                <w:szCs w:val="20"/>
                <w:color w:val="auto"/>
              </w:rPr>
            </w:pPr>
            <w:r>
              <w:rPr>
                <w:rFonts w:ascii="Arial" w:cs="Arial" w:eastAsia="Arial" w:hAnsi="Arial"/>
                <w:sz w:val="18"/>
                <w:szCs w:val="18"/>
                <w:color w:val="auto"/>
              </w:rPr>
              <w:t>Business segment professionals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609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632</w:t>
            </w:r>
          </w:p>
        </w:tc>
        <w:tc>
          <w:tcPr>
            <w:tcW w:w="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632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4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gain of $18,171 related to the 2011 special item, all of which is attributable to the Corporate segment.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expenses of $89,495 representing the portion of the 2010 special items attributable to the Corporate segment.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1"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b w:val="1"/>
          <w:bCs w:val="1"/>
          <w:color w:val="auto"/>
        </w:rPr>
        <w:t>As reflected in the table of operating results of the Corporate segment above, the 2011 and 2010 special items had a significant impact on the segment’s reported operating results for the applicable periods. Lazard management believes that comparisons between periods are most meaningful after excluding the impact of such items.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September 30, 2011 versus September 30, 2010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was substantially unchanged as compared to the 2010 period.</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Other revenue in the 2011 period increased $1 million, or 10%, including the impact of the 2011 special item, all of which was attributable to the Corporate segment. When excluding the impact of the 2011 special item, other revenue decreased $17 million, principally due to net investment losses.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in the 2011 period decreased $3 million, principally due to increased allocations to the business segments.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Nine Months Ended September 30, 2011 versus September 30, 2010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increased $2 million, or 4%, as compared to the 2010 period.</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Other revenue in the 2011 period increased $3 million, or 20%, including the impact of the 2011 special item, all of which was attributable to the Corporate segment. When excluding the impact of the 2011 special item, other revenue decreased $15 million, or 105%, principally due to net investment losses.</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expenses in the 2011 period decreased $95 million, or 83%, substantially all of which related to the net impact in the prior year’s period of the 2010 special items attributable to the Corporate segment. When excluding the impact of the 2010 special items, operating expenses decreased $6 million, or 22%, principally due to expenses related to secondary offerings in the 2010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cash flows are influenced by the timing of the receipt of Financial Advisory and Asset Management fees, the timing of distributions to shareholders, payments of incentive compensation to managing directors and employees and purchases of Class A common stock. M&amp;A, Strategic Advisory and Asset Management fees are generally collected within 60 days of billing, while Restructuring fee collections may extend beyond 60 days, particularly those that involve bankruptcies with court-ordered holdbacks. Fees from our Private Fund Advisory Group activities are generally collected over a four-year period from billing and typically include an interest component.</w:t>
      </w:r>
    </w:p>
    <w:p>
      <w:pPr>
        <w:spacing w:after="0" w:line="12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traditionally pays a significant portion of its incentive compensation during the first four months of each calendar year with respect to the prior year’s results.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236"/>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4"/>
          </w:tcPr>
          <w:p>
            <w:pPr>
              <w:jc w:val="center"/>
              <w:ind w:left="256"/>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738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233.1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279.6</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(316.0)</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8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281.6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8"/>
        </w:trPr>
        <w:tc>
          <w:tcPr>
            <w:tcW w:w="9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113.2</w:t>
            </w:r>
          </w:p>
        </w:tc>
        <w:tc>
          <w:tcPr>
            <w:tcW w:w="0" w:type="dxa"/>
            <w:vAlign w:val="bottom"/>
          </w:tcPr>
          <w:p>
            <w:pPr>
              <w:spacing w:after="0"/>
              <w:rPr>
                <w:sz w:val="1"/>
                <w:szCs w:val="1"/>
                <w:color w:val="auto"/>
              </w:rPr>
            </w:pPr>
          </w:p>
        </w:tc>
      </w:tr>
      <w:tr>
        <w:trPr>
          <w:trHeight w:val="216"/>
        </w:trPr>
        <w:tc>
          <w:tcPr>
            <w:tcW w:w="738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(484.7)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(225.7)</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38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(219.8)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1,209.7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917.3</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2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989.9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847.4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38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2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738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228.2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257.8</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380" w:type="dxa"/>
            <w:vAlign w:val="bottom"/>
            <w:gridSpan w:val="2"/>
          </w:tcPr>
          <w:p>
            <w:pPr>
              <w:ind w:left="440"/>
              <w:spacing w:after="0"/>
              <w:rPr>
                <w:sz w:val="20"/>
                <w:szCs w:val="20"/>
                <w:color w:val="auto"/>
              </w:rPr>
            </w:pPr>
            <w:r>
              <w:rPr>
                <w:rFonts w:ascii="Arial" w:cs="Arial" w:eastAsia="Arial" w:hAnsi="Arial"/>
                <w:sz w:val="18"/>
                <w:szCs w:val="18"/>
                <w:color w:val="auto"/>
              </w:rPr>
              <w:t>(Gain) loss on extinguishment of debt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279.6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2010, consists primarily of activity relating to proceeds from sales and maturities of “available-for-sale” securities and the distribution received relating to our equity method investment in Sapphire.</w:t>
      </w:r>
    </w:p>
    <w:p>
      <w:pPr>
        <w:ind w:left="460" w:right="36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and common membership interests from LAZ-MD Holdings, settlements of vested RSUs, Class A common stock dividends and distributions to noncontrolling interest holders and, in 2011, the repurchase of the Company’s 3.25% subordinated promissory note.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revenue, operating income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Liquidity is significantly impacted by incentive compensation payments, a significant portion of which historically has been made during the first four months of the year. As a consequence, cash on hand generally declines in the beginning of the year and gradually builds over the remainder of the year. We also pay certain tax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advances during the year on behalf of our managing directors, which serve to reduce their respective incentive compensation payments. We expect this seasonal pattern of cash flow to continue.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September 30, 2011, Lazard had approximately $1.0 billion of cash, with such amount including approximately $342 million held at Lazard’s foreign operations.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2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September 30, 2011, Lazard had approximately $322 million in unused lines of credit available to it, including a $150 million, three-year, senior revolving credit facility with a group of lenders that matures in April 2013 (the “Credit Facility”) (see “—Financing Activities” below) and unused lines of credit available to LFB of approximately $100 million (at September 30, 2011 exchange rates) and Edgewater of $65 million. In addition, LFB has access to the Eurosystem Covered Bond Purchase Program of the Banque de France.</w:t>
      </w:r>
    </w:p>
    <w:p>
      <w:pPr>
        <w:spacing w:after="0" w:line="9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77"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September 30, 2011 and December 31, 2010. The agreements with respect to this indebtedness are discussed in more detail in our consolidated financial statements and related notes included elsewhere in this Form 10-Q and in our Form 10-K.</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5"/>
              </w:rPr>
              <w:t>Maturity</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Date</w:t>
            </w: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right"/>
              <w:ind w:right="36"/>
              <w:spacing w:after="0" w:line="142" w:lineRule="exact"/>
              <w:rPr>
                <w:sz w:val="20"/>
                <w:szCs w:val="20"/>
                <w:color w:val="auto"/>
              </w:rPr>
            </w:pPr>
            <w:r>
              <w:rPr>
                <w:rFonts w:ascii="Arial" w:cs="Arial" w:eastAsia="Arial" w:hAnsi="Arial"/>
                <w:sz w:val="14"/>
                <w:szCs w:val="14"/>
                <w:b w:val="1"/>
                <w:bCs w:val="1"/>
                <w:color w:val="auto"/>
              </w:rPr>
              <w:t>($ in millions)</w:t>
            </w: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7.125%</w:t>
            </w:r>
          </w:p>
        </w:tc>
        <w:tc>
          <w:tcPr>
            <w:tcW w:w="53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528.5</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3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Subordinated Debt (a):</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3.25%</w:t>
            </w:r>
          </w:p>
        </w:tc>
        <w:tc>
          <w:tcPr>
            <w:tcW w:w="53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(150.0)</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Total Senior and Subordinated Debt</w:t>
            </w: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1,076.9</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1,226.9</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July 22, 2011, the Company repurchased its outstanding 3.25% subordinated promissory note, at a cost, excluding accrued interest, of $131.8 million. Such repurchase resulted in a pre-tax gain of $18.2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owing to the lending bank group, the Credit Facility includes financial condition covenants that require that Lazard Group not permit (i) its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Leverage Ratio (as defined in the Credit Facility) for the 12-month period ending on the last day of any fiscal quarter to be greater than 4.00 to 1.00 or (ii)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Interest Coverage Ratio (as defined in the Credit Facility) for the 12-month period ending on the last day of any fiscal quarter to be less than 3.00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For the 12-month period ended September 30, 2011 Lazard Group was in compliance with such ratios, with its Consolidated Leverage Ratio being 1.58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and its Consolidated Interest Coverage Ratio being 9.20 to 1.00. In any event, no amounts were outstanding under the Credit Facility as of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September 30, 2011,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30" w:lineRule="exact"/>
        <w:rPr>
          <w:sz w:val="20"/>
          <w:szCs w:val="20"/>
          <w:color w:val="auto"/>
        </w:rPr>
      </w:pPr>
    </w:p>
    <w:p>
      <w:pPr>
        <w:ind w:right="1260" w:firstLine="456"/>
        <w:spacing w:after="0" w:line="375" w:lineRule="auto"/>
        <w:rPr>
          <w:sz w:val="20"/>
          <w:szCs w:val="20"/>
          <w:color w:val="auto"/>
        </w:rPr>
      </w:pPr>
      <w:r>
        <w:rPr>
          <w:rFonts w:ascii="Arial" w:cs="Arial" w:eastAsia="Arial" w:hAnsi="Arial"/>
          <w:sz w:val="18"/>
          <w:szCs w:val="18"/>
          <w:color w:val="auto"/>
        </w:rPr>
        <w:t xml:space="preserve">See Note 10 of Notes to Condensed Consolidated Financial Statements for additional information regarding senior and subordinated debt. </w:t>
      </w:r>
      <w:r>
        <w:rPr>
          <w:rFonts w:ascii="Arial" w:cs="Arial" w:eastAsia="Arial" w:hAnsi="Arial"/>
          <w:sz w:val="18"/>
          <w:szCs w:val="18"/>
          <w:b w:val="1"/>
          <w:bCs w:val="1"/>
          <w:i w:val="1"/>
          <w:iCs w:val="1"/>
          <w:color w:val="auto"/>
        </w:rPr>
        <w:t>Stockholders’ Equity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2011, total stockholders’ equity was $918 million as compared to $796 million at December 31, 2010, including $773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$652 million attributable to Lazard Ltd on the respective dates. The net activity in stockholders’ equity during the nine month period ended September 30, 2011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reflected in the table below (in millions of dollars):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 December 31, 2010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72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 issued/issuable in connection with business acquisitions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Purchase of Class A common stock and Lazard Group common membership interests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Delivery of Class A common stock in connection with share-based incentive compensation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Class A common stock dividends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noncontrolling interests – net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AOCI (including noncontrolling interests’ portion thereof)(*)</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 net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 – September 30, 2011</w:t>
            </w: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gridSpan w:val="2"/>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 Includes: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Net foreign currency translation adjustments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 and other adjustments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right"/>
              <w:ind w:right="2972"/>
              <w:spacing w:after="0"/>
              <w:rPr>
                <w:sz w:val="20"/>
                <w:szCs w:val="20"/>
                <w:color w:val="auto"/>
              </w:rPr>
            </w:pPr>
            <w:r>
              <w:rPr>
                <w:rFonts w:ascii="Arial" w:cs="Arial" w:eastAsia="Arial" w:hAnsi="Arial"/>
                <w:sz w:val="18"/>
                <w:szCs w:val="18"/>
                <w:color w:val="auto"/>
              </w:rPr>
              <w:t>64</w:t>
            </w: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In February 2011, the Board of Directors of Lazard Ltd authorized the repurchase of up to an additional $250 million in aggregate cost of Lazard Ltd Class A common stock and Lazard Group common membership interests through December 31, 2012. During the nine month period ended September 30, 2011 the Company repurchased 4,318,916 shares of Class A common stock, at an aggregate cost of $159 million and 19,032 Lazard Group common membership interests at an aggregate cost of $1 million. As of September 30, 2011, $133 million of the $450 million share repurchase amount authorized as of such date remained available under the share repurchase program, which authorization expires on December 31, 2012. On October 26, 2011, Lazard Ltd’s Board of Directors authorized, on a cumulative basis, the repurchase of up to an additional $125 million in aggregate cost of its Class A common stock and Lazard Group common membership interests, which authorization expires on December 31, 2013, and brings the total remaining repurchase authorization to $258 million, subject to expiration as set forth above. Furthermore, under the terms of the 2005 Plan and the 2008 Plan, upon the vesting of RSUs, shares of Class A common stock may be withheld by the Company to cover estimated income taxes.</w:t>
      </w:r>
    </w:p>
    <w:p>
      <w:pPr>
        <w:spacing w:after="0" w:line="11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to the repurchases of Class A common stock and Lazard Group common membership interests described above, during the nine month period ended September 30, 2011, in order, among other reasons, to help neutralize the dilutive effect of our share-based incentive compensation plans, the Company utilized $98 million to satisfy certain employees’ withholding tax obligations on vested RSUs and vested shares of restricted Class A common stock in lieu of issuing 2,371,664 shares of Class A common stock directly by Lazard Ltd or by delivery of shares held by Lazard Group.</w:t>
      </w:r>
    </w:p>
    <w:p>
      <w:pPr>
        <w:spacing w:after="0" w:line="9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See Note 12 of Notes to Condensed Consolidated Financial Statements for information regarding (i) the issuance of Class A common stock, (ii) secondary offerings of Class A common stock, (iii) exchanges of Lazard Group common membership interests and (iv) the share repurchase program, and Note 13 of Notes to Condensed Consolidated Financial Statements for information regarding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19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6"/>
              </w:rPr>
              <w:t>Contractual Obligations Payment Due by Period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w w:val="99"/>
              </w:rPr>
              <w:t>1 Year</w:t>
            </w:r>
          </w:p>
        </w:tc>
        <w:tc>
          <w:tcPr>
            <w:tcW w:w="3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60" w:type="dxa"/>
            <w:vAlign w:val="bottom"/>
          </w:tcPr>
          <w:p>
            <w:pPr>
              <w:spacing w:after="0"/>
              <w:rPr>
                <w:sz w:val="14"/>
                <w:szCs w:val="14"/>
                <w:color w:val="auto"/>
              </w:rPr>
            </w:pPr>
          </w:p>
        </w:tc>
        <w:tc>
          <w:tcPr>
            <w:tcW w:w="1100" w:type="dxa"/>
            <w:vAlign w:val="bottom"/>
            <w:gridSpan w:val="3"/>
          </w:tcPr>
          <w:p>
            <w:pPr>
              <w:ind w:left="12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$ 1,452,845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$ 150,435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641,280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585,912</w:t>
            </w:r>
          </w:p>
        </w:tc>
        <w:tc>
          <w:tcPr>
            <w:tcW w:w="0" w:type="dxa"/>
            <w:vAlign w:val="bottom"/>
          </w:tcPr>
          <w:p>
            <w:pPr>
              <w:spacing w:after="0"/>
              <w:rPr>
                <w:sz w:val="1"/>
                <w:szCs w:val="1"/>
                <w:color w:val="auto"/>
              </w:rPr>
            </w:pPr>
          </w:p>
        </w:tc>
      </w:tr>
      <w:tr>
        <w:trPr>
          <w:trHeight w:val="208"/>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Leases (exclusive of $180,647 of</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ind w:left="220"/>
              <w:spacing w:after="0"/>
              <w:rPr>
                <w:sz w:val="20"/>
                <w:szCs w:val="20"/>
                <w:color w:val="auto"/>
              </w:rPr>
            </w:pPr>
            <w:r>
              <w:rPr>
                <w:rFonts w:ascii="Arial" w:cs="Arial" w:eastAsia="Arial" w:hAnsi="Arial"/>
                <w:sz w:val="18"/>
                <w:szCs w:val="18"/>
                <w:color w:val="auto"/>
              </w:rPr>
              <w:t>sublease income) (a)</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1,080,135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59,768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132,599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126,108</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761,660</w:t>
            </w:r>
          </w:p>
        </w:tc>
        <w:tc>
          <w:tcPr>
            <w:tcW w:w="0" w:type="dxa"/>
            <w:vAlign w:val="bottom"/>
          </w:tcPr>
          <w:p>
            <w:pPr>
              <w:spacing w:after="0"/>
              <w:rPr>
                <w:sz w:val="1"/>
                <w:szCs w:val="1"/>
                <w:color w:val="auto"/>
              </w:rPr>
            </w:pPr>
          </w:p>
        </w:tc>
      </w:tr>
      <w:tr>
        <w:trPr>
          <w:trHeight w:val="218"/>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(b)</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Capital Leases (including interest)</w:t>
            </w:r>
          </w:p>
        </w:tc>
        <w:tc>
          <w:tcPr>
            <w:tcW w:w="820" w:type="dxa"/>
            <w:vAlign w:val="bottom"/>
          </w:tcPr>
          <w:p>
            <w:pPr>
              <w:jc w:val="right"/>
              <w:spacing w:after="0"/>
              <w:rPr>
                <w:sz w:val="20"/>
                <w:szCs w:val="20"/>
                <w:color w:val="auto"/>
              </w:rPr>
            </w:pPr>
            <w:r>
              <w:rPr>
                <w:rFonts w:ascii="Arial" w:cs="Arial" w:eastAsia="Arial" w:hAnsi="Arial"/>
                <w:sz w:val="18"/>
                <w:szCs w:val="18"/>
                <w:color w:val="auto"/>
              </w:rPr>
              <w:t>26,416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7,046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5,565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9,897</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Capital Funding Commitments (a)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Total (c)</w:t>
            </w: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2,719,189</w:t>
            </w: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271,934</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$ 316,833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772,953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1,357,469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Note 11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Note 7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16 of Notes to Condensed Consolidated Financial Statements regarding information in connection with commitments, incentive plans, employee benefit plans and income taxes,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September 30, 2011 and December 31, 2010, the Company had receivables past due of approximately $21 million and $17 million, respectively, and its allowance for doubtful accounts was $17 million and $15 million at such respective dates.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and amortization. These temporary differences, and any net operating loss and tax credit carryforwards, result in deferred tax assets and liabilities, as applicable,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2010, the Company recorded net deferred tax assets of approximately $1.2 billion, with such amount substantially offset by a valuation allowance due to the uncertainty of realizing the benefits of the book versus tax basis differences and certain net operating loss carry-forwards.</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reduction in the valuation allowance could materially impact Lazard’s consolidated financial position and results of operations in the period within which any valuation allowance is released, and could ultimately increase our effective tax rate.</w:t>
      </w:r>
    </w:p>
    <w:p>
      <w:pPr>
        <w:spacing w:after="0" w:line="10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Furthermore, management applies the more likely than not criteria prior to the recognition of a financial statement benefit of a tax position taken or expected to be taken in a tax return with respect to uncertainties in income taxes. Tax contingencies can involve complex issues and may require an extended period of time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spacing w:after="0" w:line="332" w:lineRule="auto"/>
        <w:rPr>
          <w:sz w:val="20"/>
          <w:szCs w:val="20"/>
          <w:color w:val="auto"/>
        </w:rPr>
      </w:pPr>
      <w:r>
        <w:rPr>
          <w:rFonts w:ascii="Arial" w:cs="Arial" w:eastAsia="Arial" w:hAnsi="Arial"/>
          <w:sz w:val="16"/>
          <w:szCs w:val="16"/>
          <w:color w:val="auto"/>
        </w:rPr>
        <w:t>resolve. Changes in the geographic mix or estimated level of annual pre-tax income can affect Lazard’s overall effective tax rate. In addition, Lazard’s interpretation of complex tax laws may impact its recognition and measurement of current and deferred income taxes.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alternative asset management funds and other private equity investments.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of December 31, 2010 and September 30, 2011, there were no securities designated as “available-for-sale” or “held-to-maturity”.</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at September 30, 2011 and December 31, 2010 is set forth below (in millions of dollars):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7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September 30,</w:t>
            </w:r>
          </w:p>
        </w:tc>
        <w:tc>
          <w:tcPr>
            <w:tcW w:w="1220" w:type="dxa"/>
            <w:vAlign w:val="bottom"/>
            <w:gridSpan w:val="3"/>
          </w:tcPr>
          <w:p>
            <w:pPr>
              <w:ind w:left="400"/>
              <w:spacing w:after="0"/>
              <w:rPr>
                <w:sz w:val="20"/>
                <w:szCs w:val="20"/>
                <w:color w:val="auto"/>
              </w:rPr>
            </w:pPr>
            <w:r>
              <w:rPr>
                <w:rFonts w:ascii="Arial" w:cs="Arial" w:eastAsia="Arial" w:hAnsi="Arial"/>
                <w:sz w:val="14"/>
                <w:szCs w:val="14"/>
                <w:b w:val="1"/>
                <w:bCs w:val="1"/>
                <w:color w:val="auto"/>
                <w:w w:val="87"/>
              </w:rPr>
              <w:t>December 31,</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 (a)</w:t>
            </w:r>
          </w:p>
        </w:tc>
        <w:tc>
          <w:tcPr>
            <w:tcW w:w="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$ 59</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8"/>
        </w:trPr>
        <w:tc>
          <w:tcPr>
            <w:tcW w:w="7900" w:type="dxa"/>
            <w:vAlign w:val="bottom"/>
            <w:gridSpan w:val="2"/>
          </w:tcPr>
          <w:p>
            <w:pPr>
              <w:spacing w:after="0"/>
              <w:rPr>
                <w:sz w:val="20"/>
                <w:szCs w:val="20"/>
                <w:color w:val="auto"/>
              </w:rPr>
            </w:pPr>
            <w:r>
              <w:rPr>
                <w:rFonts w:ascii="Arial" w:cs="Arial" w:eastAsia="Arial" w:hAnsi="Arial"/>
                <w:sz w:val="18"/>
                <w:szCs w:val="18"/>
                <w:color w:val="auto"/>
                <w:w w:val="99"/>
              </w:rPr>
              <w:t>Equity securities (net of $1 and $3 of securities sold, not yet purchased, at September 30, 2011 and</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December 31, 2010, respectively) (c)</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8"/>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asset management funds (principally GP interests in LAM-managed hedge funds) (d)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Private equity (e)</w:t>
            </w: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spacing w:after="0"/>
              <w:rPr>
                <w:sz w:val="20"/>
                <w:szCs w:val="20"/>
                <w:color w:val="auto"/>
              </w:rPr>
            </w:pPr>
            <w:r>
              <w:rPr>
                <w:rFonts w:ascii="Arial" w:cs="Arial" w:eastAsia="Arial" w:hAnsi="Arial"/>
                <w:sz w:val="18"/>
                <w:szCs w:val="18"/>
                <w:color w:val="auto"/>
              </w:rPr>
              <w:t>Net investments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$346</w:t>
            </w:r>
          </w:p>
        </w:tc>
        <w:tc>
          <w:tcPr>
            <w:tcW w:w="4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100%</w:t>
            </w:r>
          </w:p>
        </w:tc>
        <w:tc>
          <w:tcPr>
            <w:tcW w:w="500" w:type="dxa"/>
            <w:vAlign w:val="bottom"/>
          </w:tcPr>
          <w:p>
            <w:pPr>
              <w:jc w:val="right"/>
              <w:spacing w:after="0"/>
              <w:rPr>
                <w:sz w:val="20"/>
                <w:szCs w:val="20"/>
                <w:color w:val="auto"/>
              </w:rPr>
            </w:pPr>
            <w:r>
              <w:rPr>
                <w:rFonts w:ascii="Arial" w:cs="Arial" w:eastAsia="Arial" w:hAnsi="Arial"/>
                <w:sz w:val="18"/>
                <w:szCs w:val="18"/>
                <w:color w:val="auto"/>
              </w:rPr>
              <w:t>$415</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3,136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3,423</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Net investments, as a percentage of total assets</w:t>
            </w: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gridSpan w:val="2"/>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6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0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Investments above include investments held in connection with Lazard Fund Interests and other similar arrangements granted, with a fair value of $29 million at September 30, 2011. Market risk associated with such investments is directly offset by any changes in the fair value related to the Company’s obligation pertaining to such awards.</w:t>
      </w:r>
    </w:p>
    <w:p>
      <w:pPr>
        <w:spacing w:after="0" w:line="45"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securities primarily consist of seed investments in fixed income funds of our Asset Management business and non-U.S. Government agency securities and, at December 31, 2010, securities issued by the U.S. Government and its agencies. Hedging strategies are employed to reduce market risk, and, in turn, the volatility to earnings.</w:t>
      </w:r>
    </w:p>
    <w:p>
      <w:pPr>
        <w:spacing w:after="0" w:line="45" w:lineRule="exact"/>
        <w:rPr>
          <w:rFonts w:ascii="Arial" w:cs="Arial" w:eastAsia="Arial" w:hAnsi="Arial"/>
          <w:sz w:val="18"/>
          <w:szCs w:val="18"/>
          <w:color w:val="auto"/>
        </w:rPr>
      </w:pPr>
    </w:p>
    <w:p>
      <w:pPr>
        <w:jc w:val="both"/>
        <w:ind w:left="460" w:right="60" w:hanging="452"/>
        <w:spacing w:after="0" w:line="306"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Company’s equity securities principally represent investments in marketable equity securities of large-, mid- and small-cap domestic, international and global companies to seed new Asset Management products and includes investments in public and private asset management funds managed both by LAM and third-party asset managers. Hedging strategies are employed to reduce market risk, and, in turn, the volatility to earnings.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regarding equity securities as of September 30, 2011 and December 31, 2010 is shown below:</w:t>
      </w:r>
    </w:p>
    <w:p>
      <w:pPr>
        <w:spacing w:after="0" w:line="6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3"/>
              </w:rPr>
              <w:t>September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78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196"/>
        </w:trPr>
        <w:tc>
          <w:tcPr>
            <w:tcW w:w="782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82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7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r>
      <w:tr>
        <w:trPr>
          <w:trHeight w:val="216"/>
        </w:trPr>
        <w:tc>
          <w:tcPr>
            <w:tcW w:w="782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7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22"/>
        </w:trPr>
        <w:tc>
          <w:tcPr>
            <w:tcW w:w="7820" w:type="dxa"/>
            <w:vAlign w:val="bottom"/>
          </w:tcPr>
          <w:p>
            <w:pPr>
              <w:ind w:left="1900"/>
              <w:spacing w:after="0"/>
              <w:rPr>
                <w:sz w:val="20"/>
                <w:szCs w:val="20"/>
                <w:color w:val="auto"/>
              </w:rPr>
            </w:pPr>
            <w:r>
              <w:rPr>
                <w:rFonts w:ascii="Arial" w:cs="Arial" w:eastAsia="Arial" w:hAnsi="Arial"/>
                <w:sz w:val="18"/>
                <w:szCs w:val="18"/>
                <w:color w:val="auto"/>
              </w:rPr>
              <w:t>Total</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right="1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37" w:lineRule="exact"/>
        <w:rPr>
          <w:rFonts w:ascii="Arial" w:cs="Arial" w:eastAsia="Arial" w:hAnsi="Arial"/>
          <w:sz w:val="18"/>
          <w:szCs w:val="18"/>
          <w:color w:val="auto"/>
        </w:rPr>
      </w:pPr>
    </w:p>
    <w:p>
      <w:pPr>
        <w:ind w:left="460" w:right="8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Comprised of investments in private equity funds and direct private equity interests that are generally not subject to short-term market fluctuation, but may subject Lazard to market or credit risk.</w:t>
      </w:r>
    </w:p>
    <w:p>
      <w:pPr>
        <w:ind w:left="460" w:right="60"/>
        <w:spacing w:after="0" w:line="295" w:lineRule="auto"/>
        <w:rPr>
          <w:rFonts w:ascii="Arial" w:cs="Arial" w:eastAsia="Arial" w:hAnsi="Arial"/>
          <w:sz w:val="18"/>
          <w:szCs w:val="18"/>
          <w:color w:val="auto"/>
        </w:rPr>
      </w:pPr>
      <w:r>
        <w:rPr>
          <w:rFonts w:ascii="Arial" w:cs="Arial" w:eastAsia="Arial" w:hAnsi="Arial"/>
          <w:sz w:val="16"/>
          <w:szCs w:val="16"/>
          <w:color w:val="auto"/>
        </w:rPr>
        <w:t>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and (iii) Edgewater Growth Capital Partners III, a private equity fund primarily making growth equity and buyout investments in high-quality, lower middle market companies. Private equity investments represent approximately 3% of total assets at both September 30, 2011 and December 31, 2010.</w:t>
      </w:r>
    </w:p>
    <w:p>
      <w:pPr>
        <w:spacing w:after="0" w:line="20" w:lineRule="exact"/>
        <w:rPr>
          <w:rFonts w:ascii="Arial" w:cs="Arial" w:eastAsia="Arial" w:hAnsi="Arial"/>
          <w:sz w:val="18"/>
          <w:szCs w:val="18"/>
          <w:color w:val="auto"/>
        </w:rPr>
      </w:pPr>
    </w:p>
    <w:p>
      <w:pPr>
        <w:ind w:left="460" w:right="480" w:hanging="452"/>
        <w:spacing w:after="0" w:line="30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investments (i) accounted for under the equity method of accounting and (ii) private equity and general partnership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6"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assets valued based on net asset value (“NAV”) redeemable at the measurement date or within the near term without redemption restrictions, or inputs other than quoted prices that are directly observable or derived principally from, or corroborated by, market data.</w:t>
      </w:r>
    </w:p>
    <w:p>
      <w:pPr>
        <w:spacing w:after="0" w:line="49"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not redeemable within the near term.</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At September 30, 2011, the Company’s investments in U.S Government and agency debt securities as well as its corporate and other debt securities are considered Level 1 assets with the respective fair values based on unadjusted quoted prices in active markets. The Company’s investments in fixed income funds are considered Level 1 assets when their fair values are based on the reported closing price for the fund or Level 2 assets when their fair values are primarily based on quotes as provided by external pricing services.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fair value of our interests in alternative asset management funds is classified as either Level 2 or Level 3 depending on the time frame of any applicable redemption restrictions, and is based on information provided by external pricing services.</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of the underlying fund provided by fund managers, appraisals and internal valuations.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analyzes such information to ascertain at which level within the fair value hierarchy to classify the investment.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9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right="80" w:hanging="455"/>
        <w:spacing w:after="0" w:line="259"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380"/>
        <w:spacing w:after="0" w:line="268" w:lineRule="auto"/>
        <w:rPr>
          <w:sz w:val="20"/>
          <w:szCs w:val="20"/>
          <w:color w:val="auto"/>
        </w:rPr>
      </w:pPr>
      <w:r>
        <w:rPr>
          <w:rFonts w:ascii="Arial" w:cs="Arial" w:eastAsia="Arial" w:hAnsi="Arial"/>
          <w:sz w:val="18"/>
          <w:szCs w:val="18"/>
          <w:color w:val="auto"/>
        </w:rPr>
        <w:t>decisions about the entity’s activities. Lazard is required to consolidate a voting interest entity that it maintains an ownership interest in if it holds a majority of the voting interest in such entity.</w:t>
      </w:r>
    </w:p>
    <w:p>
      <w:pPr>
        <w:spacing w:after="0" w:line="37" w:lineRule="exact"/>
        <w:rPr>
          <w:sz w:val="20"/>
          <w:szCs w:val="20"/>
          <w:color w:val="auto"/>
        </w:rPr>
      </w:pPr>
    </w:p>
    <w:p>
      <w:pPr>
        <w:ind w:left="1260" w:right="600" w:hanging="455"/>
        <w:spacing w:after="0" w:line="332" w:lineRule="auto"/>
        <w:tabs>
          <w:tab w:leader="none" w:pos="1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7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“Critical Accounting Policies and Estimates—Investments” above.</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At September 30, 2011 and December 31, 2010, derivative contracts are recorded at fair value and are related primarily to interest rate, equity and fixed income swaps and foreign currency exchange rate contracts, as well as the derivative liability arising from the Company’s obligation pertaining to Lazard Fund Interests and other similar arrangements (see Note 6 of Notes to Condensed Consolidated Financial Statements). Derivative assets amounted to $20 million and $2 million at September 30, 2011 and December 31, 2010, respectively, and derivative liabilities amounted to $30 million and $3 million at such respective dates.</w:t>
      </w:r>
    </w:p>
    <w:p>
      <w:pPr>
        <w:spacing w:after="0" w:line="8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primary market risks associated with LFB’s foreign currency exchange hedging and lending activities are sensitivity to changes in the general level of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nine month period ended September 30, 2011:</w:t>
      </w:r>
    </w:p>
    <w:p>
      <w:pPr>
        <w:spacing w:after="0" w:line="18" w:lineRule="exact"/>
        <w:rPr>
          <w:sz w:val="20"/>
          <w:szCs w:val="20"/>
          <w:color w:val="auto"/>
        </w:rPr>
      </w:pPr>
    </w:p>
    <w:p>
      <w:pPr>
        <w:ind w:left="5620" w:right="3140" w:hanging="5166"/>
        <w:spacing w:after="0" w:line="472" w:lineRule="auto"/>
        <w:tabs>
          <w:tab w:leader="none" w:pos="7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$600 thousand. 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6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$3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September 30, 2011, total receivables amounted to $595 million, net of an allowance for doubtful accounts of $17 million. As of that date, financial advisory and asset management fees, customer and related party receivables comprised 74%, 24% and 2% of total receivables, respectively. At December 31, 2010, total receivables amounted to $569 million, net of an allowance for doubtful accounts of $15 million. As of that date, financial advisory and asset management fees, customer and related party receivables comprised 85%, 11% and 4% of total receivables, respectively. See also “Critical Accounting Policies and Estimates—Revenue Recognition” above and Note 3 of Notes to Condensed Consolidated Financial Statements for additional information regarding receivables.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September 30, 2011, excluding deposits with inter-bank counterparties, LFB had no exposure to an individual counterparty that exceeded $23 million, with such amount being fully collateralized.</w:t>
      </w:r>
    </w:p>
    <w:p>
      <w:pPr>
        <w:spacing w:after="0" w:line="12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With respect to activities outside LFB, as of September 30, 2011, the Company’s largest individual counterparty exposure was a Financial Advisory fee receivable of $16 million, the terms of which require payment over a remaining period of 21 months, including accrued interest.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September 30, 2011, Lazard estimates that its annual operating income relating to cash and short-term investments and corporate indebtedness would increase by approximately $10 million in the event interest rates were to increase by 1% and decrease by approximately $3 million if rates were to decrease by 1%.</w:t>
      </w:r>
    </w:p>
    <w:p>
      <w:pPr>
        <w:spacing w:after="0" w:line="13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September 30, 2011, the Company’s cash and cash equivalents totaled approximately $1 billion.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On August 9, 2011, Lazard Ltd issued 10,270 shares of Class A common stock in reliance on Section 4(2) of the Securities Act of 1933 in connection with the exchange of 10,270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third quarter of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Total Number</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of</w:t>
            </w: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Purchased</w:t>
            </w:r>
          </w:p>
        </w:tc>
        <w:tc>
          <w:tcPr>
            <w:tcW w:w="46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as Part of</w:t>
            </w:r>
          </w:p>
        </w:tc>
        <w:tc>
          <w:tcPr>
            <w:tcW w:w="46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Total</w:t>
            </w:r>
          </w:p>
        </w:tc>
        <w:tc>
          <w:tcPr>
            <w:tcW w:w="146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Average</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Publicly</w:t>
            </w:r>
          </w:p>
        </w:tc>
        <w:tc>
          <w:tcPr>
            <w:tcW w:w="46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13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Price</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Announced</w:t>
            </w:r>
          </w:p>
        </w:tc>
        <w:tc>
          <w:tcPr>
            <w:tcW w:w="46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1"/>
              </w:rPr>
              <w:t>Shares</w:t>
            </w:r>
          </w:p>
        </w:tc>
        <w:tc>
          <w:tcPr>
            <w:tcW w:w="146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Paid per</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Plans</w:t>
            </w:r>
          </w:p>
        </w:tc>
        <w:tc>
          <w:tcPr>
            <w:tcW w:w="46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the Plans or</w:t>
            </w:r>
          </w:p>
        </w:tc>
        <w:tc>
          <w:tcPr>
            <w:tcW w:w="0" w:type="dxa"/>
            <w:vAlign w:val="bottom"/>
          </w:tcPr>
          <w:p>
            <w:pPr>
              <w:spacing w:after="0"/>
              <w:rPr>
                <w:sz w:val="1"/>
                <w:szCs w:val="1"/>
                <w:color w:val="auto"/>
              </w:rPr>
            </w:pPr>
          </w:p>
        </w:tc>
      </w:tr>
      <w:tr>
        <w:trPr>
          <w:trHeight w:val="148"/>
        </w:trPr>
        <w:tc>
          <w:tcPr>
            <w:tcW w:w="5360" w:type="dxa"/>
            <w:vAlign w:val="bottom"/>
            <w:gridSpan w:val="3"/>
            <w:vMerge w:val="continue"/>
          </w:tcPr>
          <w:p>
            <w:pPr>
              <w:spacing w:after="0"/>
              <w:rPr>
                <w:sz w:val="12"/>
                <w:szCs w:val="12"/>
                <w:color w:val="auto"/>
              </w:rPr>
            </w:pPr>
          </w:p>
        </w:tc>
        <w:tc>
          <w:tcPr>
            <w:tcW w:w="1680" w:type="dxa"/>
            <w:vAlign w:val="bottom"/>
            <w:gridSpan w:val="2"/>
          </w:tcPr>
          <w:p>
            <w:pPr>
              <w:jc w:val="right"/>
              <w:ind w:right="980"/>
              <w:spacing w:after="0" w:line="148" w:lineRule="exact"/>
              <w:rPr>
                <w:sz w:val="20"/>
                <w:szCs w:val="20"/>
                <w:color w:val="auto"/>
              </w:rPr>
            </w:pPr>
            <w:r>
              <w:rPr>
                <w:rFonts w:ascii="Arial" w:cs="Arial" w:eastAsia="Arial" w:hAnsi="Arial"/>
                <w:sz w:val="14"/>
                <w:szCs w:val="14"/>
                <w:b w:val="1"/>
                <w:bCs w:val="1"/>
                <w:color w:val="auto"/>
                <w:w w:val="94"/>
              </w:rPr>
              <w:t>Purchased</w:t>
            </w:r>
          </w:p>
        </w:tc>
        <w:tc>
          <w:tcPr>
            <w:tcW w:w="100" w:type="dxa"/>
            <w:vAlign w:val="bottom"/>
          </w:tcPr>
          <w:p>
            <w:pPr>
              <w:spacing w:after="0"/>
              <w:rPr>
                <w:sz w:val="12"/>
                <w:szCs w:val="12"/>
                <w:color w:val="auto"/>
              </w:rPr>
            </w:pPr>
          </w:p>
        </w:tc>
        <w:tc>
          <w:tcPr>
            <w:tcW w:w="1360" w:type="dxa"/>
            <w:vAlign w:val="bottom"/>
            <w:gridSpan w:val="2"/>
          </w:tcPr>
          <w:p>
            <w:pPr>
              <w:jc w:val="center"/>
              <w:ind w:right="1000"/>
              <w:spacing w:after="0" w:line="148" w:lineRule="exact"/>
              <w:rPr>
                <w:sz w:val="20"/>
                <w:szCs w:val="20"/>
                <w:color w:val="auto"/>
              </w:rPr>
            </w:pPr>
            <w:r>
              <w:rPr>
                <w:rFonts w:ascii="Arial" w:cs="Arial" w:eastAsia="Arial" w:hAnsi="Arial"/>
                <w:sz w:val="14"/>
                <w:szCs w:val="14"/>
                <w:b w:val="1"/>
                <w:bCs w:val="1"/>
                <w:color w:val="auto"/>
                <w:w w:val="82"/>
              </w:rPr>
              <w:t>Share</w:t>
            </w:r>
          </w:p>
        </w:tc>
        <w:tc>
          <w:tcPr>
            <w:tcW w:w="12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6"/>
              </w:rPr>
              <w:t>or Programs</w:t>
            </w:r>
          </w:p>
        </w:tc>
        <w:tc>
          <w:tcPr>
            <w:tcW w:w="460" w:type="dxa"/>
            <w:vAlign w:val="bottom"/>
          </w:tcPr>
          <w:p>
            <w:pPr>
              <w:spacing w:after="0"/>
              <w:rPr>
                <w:sz w:val="12"/>
                <w:szCs w:val="12"/>
                <w:color w:val="auto"/>
              </w:rPr>
            </w:pPr>
          </w:p>
        </w:tc>
        <w:tc>
          <w:tcPr>
            <w:tcW w:w="11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July 1, 2011 – July 31, 2011</w:t>
            </w:r>
          </w:p>
        </w:tc>
        <w:tc>
          <w:tcPr>
            <w:tcW w:w="7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Share Repurchase Program (1)</w:t>
            </w:r>
          </w:p>
        </w:tc>
        <w:tc>
          <w:tcPr>
            <w:tcW w:w="16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$ 165.7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Employee Transactions (2)</w:t>
            </w:r>
          </w:p>
        </w:tc>
        <w:tc>
          <w:tcPr>
            <w:tcW w:w="16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August 1, 2011 – August 31, 2011</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Share Repurchase Program (1)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775,300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8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775,300</w:t>
            </w:r>
          </w:p>
        </w:tc>
        <w:tc>
          <w:tcPr>
            <w:tcW w:w="164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93"/>
              </w:rPr>
              <w:t>$ 143.3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Employee Transactions (2)</w:t>
            </w:r>
          </w:p>
        </w:tc>
        <w:tc>
          <w:tcPr>
            <w:tcW w:w="16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September 1, 2011 – September 30, 2011</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Share Repurchase Program (1)</w:t>
            </w:r>
          </w:p>
        </w:tc>
        <w:tc>
          <w:tcPr>
            <w:tcW w:w="780" w:type="dxa"/>
            <w:vAlign w:val="bottom"/>
          </w:tcPr>
          <w:p>
            <w:pPr>
              <w:jc w:val="right"/>
              <w:spacing w:after="0"/>
              <w:rPr>
                <w:sz w:val="20"/>
                <w:szCs w:val="20"/>
                <w:color w:val="auto"/>
              </w:rPr>
            </w:pPr>
            <w:r>
              <w:rPr>
                <w:rFonts w:ascii="Arial" w:cs="Arial" w:eastAsia="Arial" w:hAnsi="Arial"/>
                <w:sz w:val="18"/>
                <w:szCs w:val="18"/>
                <w:color w:val="auto"/>
              </w:rPr>
              <w:t>387,200</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25.66</w:t>
            </w:r>
          </w:p>
        </w:tc>
        <w:tc>
          <w:tcPr>
            <w:tcW w:w="8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387,200</w:t>
            </w:r>
          </w:p>
        </w:tc>
        <w:tc>
          <w:tcPr>
            <w:tcW w:w="16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$ 133.4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Employee Transactions (2)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75,969</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8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Share Repurchase Program (1)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1,162,500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8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1,162,500</w:t>
            </w:r>
          </w:p>
        </w:tc>
        <w:tc>
          <w:tcPr>
            <w:tcW w:w="164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93"/>
              </w:rPr>
              <w:t>$ 133.4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Employee Transactions (2)</w:t>
            </w:r>
          </w:p>
        </w:tc>
        <w:tc>
          <w:tcPr>
            <w:tcW w:w="780" w:type="dxa"/>
            <w:vAlign w:val="bottom"/>
          </w:tcPr>
          <w:p>
            <w:pPr>
              <w:jc w:val="right"/>
              <w:spacing w:after="0"/>
              <w:rPr>
                <w:sz w:val="20"/>
                <w:szCs w:val="20"/>
                <w:color w:val="auto"/>
              </w:rPr>
            </w:pPr>
            <w:r>
              <w:rPr>
                <w:rFonts w:ascii="Arial" w:cs="Arial" w:eastAsia="Arial" w:hAnsi="Arial"/>
                <w:sz w:val="18"/>
                <w:szCs w:val="18"/>
                <w:color w:val="auto"/>
              </w:rPr>
              <w:t>75,969</w:t>
            </w:r>
          </w:p>
        </w:tc>
        <w:tc>
          <w:tcPr>
            <w:tcW w:w="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34.55</w:t>
            </w:r>
          </w:p>
        </w:tc>
        <w:tc>
          <w:tcPr>
            <w:tcW w:w="88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disclosed in more detail in Note 12 of Notes to Condensed Consolidated Financial Statements, in January 2010, the Board of Directors of Lazard Ltd authorized, on a cumulative basis, the repurchase of up to $200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2" w:lineRule="auto"/>
        <w:rPr>
          <w:sz w:val="20"/>
          <w:szCs w:val="20"/>
          <w:color w:val="auto"/>
        </w:rPr>
      </w:pPr>
      <w:r>
        <w:rPr>
          <w:rFonts w:ascii="Arial" w:cs="Arial" w:eastAsia="Arial" w:hAnsi="Arial"/>
          <w:sz w:val="16"/>
          <w:szCs w:val="16"/>
          <w:color w:val="auto"/>
        </w:rPr>
        <w:t>million in aggregate cost of Lazard Ltd Class A common stock and Lazard Group common membership interests through December 31, 2011. In addition, in February 2011, the Board of Directors of Lazard Ltd authorized the repurchase of up to an additional $250 million in aggregate cost of Lazard Ltd Class A common stock and Lazard Group common membership interests through December 31, 2012. As of September 30, 2011, $133 million of the $450 million share repurchase amount authorized as of such date remained available under the share repurchase program, which authorization expires on December 31, 2012. On October 26, 2011, Lazard Ltd’s Board of Directors authorized, on a cumulative basis, the repurchase of up to an additional $125 million in aggregate cost of its Class A common stock and Lazard Group common membership interests, which authorization expires on December 31, 2013, and brings the total remaining repurchase authorization to $258 million, subject to expiration as set forth above. The share repurchase program is used primarily to offset a portion of the shares to be issued under Lazard Ltd’s 2005 Plan and the 2008 Plan. Purchases under the share repurchase program may be made in the open market or through privately negotiated transactions. Amounts shown in this line item include repurchases of both Class A common stock and Lazard Group common membership interests, and exclude the shares of Class A common stock withheld by the Company to cover estimated income taxes as described below.</w:t>
      </w:r>
    </w:p>
    <w:p>
      <w:pPr>
        <w:spacing w:after="0" w:line="5" w:lineRule="exact"/>
        <w:rPr>
          <w:sz w:val="20"/>
          <w:szCs w:val="20"/>
          <w:color w:val="auto"/>
        </w:rPr>
      </w:pPr>
    </w:p>
    <w:p>
      <w:pPr>
        <w:jc w:val="both"/>
        <w:ind w:left="460" w:right="20" w:hanging="452"/>
        <w:spacing w:after="0" w:line="331"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Under the terms of the 2005 Plan and the 2008 Plan, upon the vesting of RSUs and shares of restricted Class A common stock, shares of Class A common stock may be withheld by the Company to cover estimated income taxes. During the three month period ended September 30, 2011, the Company satisfied certain employees’ tax obligations in lieu of issuing 75,969 shares of Class A common stock to cover estimated taxes upon the vesting of 232,358 RSUs.</w:t>
      </w:r>
    </w:p>
    <w:p>
      <w:pPr>
        <w:spacing w:after="0" w:line="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5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8,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Amended and Restated Third Supplemental Indenture, dated as of May 15, 2008, by and among Lazard Group LLC and The Bank of New</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York, as trustee (and incorporated by reference to Exhibit 4.1 to the Registrants’ Current Report on Form 8-K (Commission File No. 333-</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126751) filed on May 16,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560" w:type="dxa"/>
            <w:vAlign w:val="bottom"/>
          </w:tcPr>
          <w:p>
            <w:pPr>
              <w:ind w:left="480"/>
              <w:spacing w:after="0"/>
              <w:rPr>
                <w:sz w:val="20"/>
                <w:szCs w:val="20"/>
                <w:color w:val="auto"/>
              </w:rPr>
            </w:pPr>
            <w:r>
              <w:rPr>
                <w:rFonts w:ascii="Arial" w:cs="Arial" w:eastAsia="Arial" w:hAnsi="Arial"/>
                <w:sz w:val="18"/>
                <w:szCs w:val="18"/>
                <w:color w:val="auto"/>
              </w:rPr>
              <w:t>Form of Senior Note (included in Exhibit 4.3).</w:t>
            </w:r>
          </w:p>
        </w:tc>
      </w:tr>
      <w:tr>
        <w:trPr>
          <w:trHeight w:val="365"/>
        </w:trPr>
        <w:tc>
          <w:tcPr>
            <w:tcW w:w="78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7,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6"/>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Group LLC and LFCM Holdings LLC (incorporated by reference to Exhibit 10.12 to Registrant’s Annual Report (File No. 001-32492) on Form</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10-K filed on March 2, 2009).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65"/>
        </w:trPr>
        <w:tc>
          <w:tcPr>
            <w:tcW w:w="840" w:type="dxa"/>
            <w:vAlign w:val="bottom"/>
          </w:tcPr>
          <w:p>
            <w:pPr>
              <w:spacing w:after="0"/>
              <w:rPr>
                <w:sz w:val="24"/>
                <w:szCs w:val="24"/>
                <w:color w:val="auto"/>
              </w:rPr>
            </w:pPr>
          </w:p>
        </w:tc>
        <w:tc>
          <w:tcPr>
            <w:tcW w:w="10540" w:type="dxa"/>
            <w:vAlign w:val="bottom"/>
          </w:tcPr>
          <w:p>
            <w:pPr>
              <w:ind w:left="478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Registrant’s Registration Statement (File No. 333-121407) on Form 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Schedule I for each of Michael J. Castellano and Scott D. Hoffman (incorporated by reference to Exhibit 10.26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May 4, 2005, for each of Michael J. Castellano and Scott D. Hoffman (incorporated by reference to Exhibit 10.2 to the Registrant’s Current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on Form 8-K (File No. 001-32492) filed on May 8,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26, 2009,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of May 4, 2005 (as amended from time to time), for Michael J. Castellano (incorporated by reference to Exhibit 10.26 to Registrant’s Annual</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of May 4, 2005 and amended as of May 7, 2008, for Scott D. Hoffman (incorporated by reference to Exhibit 10.25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Registrant’s Annual Report (File No. 001-32492) on Form 10-K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March 2, 2009).</w:t>
            </w:r>
          </w:p>
        </w:tc>
      </w:tr>
      <w:tr>
        <w:trPr>
          <w:trHeight w:val="365"/>
        </w:trPr>
        <w:tc>
          <w:tcPr>
            <w:tcW w:w="880" w:type="dxa"/>
            <w:vAlign w:val="bottom"/>
          </w:tcPr>
          <w:p>
            <w:pPr>
              <w:spacing w:after="0"/>
              <w:rPr>
                <w:sz w:val="24"/>
                <w:szCs w:val="24"/>
                <w:color w:val="auto"/>
              </w:rPr>
            </w:pPr>
          </w:p>
        </w:tc>
        <w:tc>
          <w:tcPr>
            <w:tcW w:w="10520" w:type="dxa"/>
            <w:vAlign w:val="bottom"/>
          </w:tcPr>
          <w:p>
            <w:pPr>
              <w:ind w:left="474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10.28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Letter Agreement, dated as of May 10, 2005, with Bruce Wasserstein family trusts (incorporated by reference to Exhibit 10.31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Letter Agreement, dated as of March 16, 2010, among Lazard Ltd, Lazard Group LLC and the Cranberry Dune 1998 Long-Term Trust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10.1 to the Registrant’s Current Report on Form 8-K (File No. 001-32492) filed on March 22,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10.41 to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10.42 to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Termination Agreement, dated as of March 31, 2006, by and among Banca Intesa S.p.A., Lazard Group LLC and Lazard &amp; Co. S.r.l.</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10.1 to the Registrant’s Current Report on Form 8-K (File No. 001-32492) filed on April 4,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Amended and Restated $150 Million Subordinated Convertible Promissory Note due 2016, issued by Lazard Funding LLC to Banca Intesa</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S.p.A. (incorporated by reference to Exhibit 10.3 to the Registrant’s Current Report on Form 8-K (File No. 001-32492) filed on May 17,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Amended and Restated Guaranty of Lazard Group LLC to Banca Intesa S.p.A., dated as of May 15, 2006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10.4 to the Registrant’s Current Report on Form 8-K (File No. 001-32492) filed on May 17,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Directors’ Fee Deferral Unit Plan (incorporated by reference to Exhibit 10.39 to Registrant’s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Plan (incorporated by reference to Exhibit 10.43 to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Letter Agreement regarding employment dated as of April 21, 2010 between Lazard Group LLC and Gary W. Parr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10.53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10.51</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Senior Revolving Credit Agreement, dated as of April 29, 2010, among Lazard Group LLC, the Banks from time to time parties thereto,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Citibank, N.A., as Administrative Agent (incorporated by reference to Exhibit 10.51 to the Registrant’s Quarterly Report (File No. 001-32492)</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Form 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10.52</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Amendment No. 1, dated as of August 12, 2010, to the Senior Revolving Credit Agreement, dated as of April 29, 2010, among Lazard Group</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10.48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the Registrant’s Annual Report (File No. 001-32492) on Form 10-K filed on February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10.53</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No. 2, dated as of December 17, 2010, to the Senior Revolving Credit Agreement, dated as of April 29, 2010, among Lazard Group</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10.49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the Registrant’s Annual Report (File No. 001-32492) on Form 10-K filed on February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10.55*</w:t>
            </w:r>
          </w:p>
        </w:tc>
        <w:tc>
          <w:tcPr>
            <w:tcW w:w="10220" w:type="dxa"/>
            <w:vAlign w:val="bottom"/>
          </w:tcPr>
          <w:p>
            <w:pPr>
              <w:ind w:left="300"/>
              <w:spacing w:after="0"/>
              <w:rPr>
                <w:sz w:val="20"/>
                <w:szCs w:val="20"/>
                <w:color w:val="auto"/>
              </w:rPr>
            </w:pPr>
            <w:r>
              <w:rPr>
                <w:rFonts w:ascii="Arial" w:cs="Arial" w:eastAsia="Arial" w:hAnsi="Arial"/>
                <w:sz w:val="18"/>
                <w:szCs w:val="18"/>
                <w:color w:val="auto"/>
                <w:w w:val="89"/>
              </w:rPr>
              <w:t>Form of Agreement evidencing a grant of Lazard Fund Interests under the 2008 Incentive Compensation Plan (incorporated by reference to</w:t>
            </w:r>
          </w:p>
        </w:tc>
      </w:tr>
      <w:tr>
        <w:trPr>
          <w:trHeight w:val="222"/>
        </w:trPr>
        <w:tc>
          <w:tcPr>
            <w:tcW w:w="960" w:type="dxa"/>
            <w:vAlign w:val="bottom"/>
          </w:tcPr>
          <w:p>
            <w:pPr>
              <w:spacing w:after="0"/>
              <w:rPr>
                <w:sz w:val="19"/>
                <w:szCs w:val="19"/>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10.56*</w:t>
            </w:r>
          </w:p>
        </w:tc>
        <w:tc>
          <w:tcPr>
            <w:tcW w:w="10220" w:type="dxa"/>
            <w:vAlign w:val="bottom"/>
          </w:tcPr>
          <w:p>
            <w:pPr>
              <w:ind w:left="30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16"/>
        </w:trPr>
        <w:tc>
          <w:tcPr>
            <w:tcW w:w="960" w:type="dxa"/>
            <w:vAlign w:val="bottom"/>
          </w:tcPr>
          <w:p>
            <w:pPr>
              <w:spacing w:after="0"/>
              <w:rPr>
                <w:sz w:val="18"/>
                <w:szCs w:val="18"/>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w w:val="90"/>
              </w:rPr>
              <w:t>March 15, 2005, between Lazard Group LLC and Ashish Bhutani (incorporated by reference to Exhibit 10.56 to the Registrant’s Quarterly</w:t>
            </w:r>
          </w:p>
        </w:tc>
      </w:tr>
      <w:tr>
        <w:trPr>
          <w:trHeight w:val="222"/>
        </w:trPr>
        <w:tc>
          <w:tcPr>
            <w:tcW w:w="960" w:type="dxa"/>
            <w:vAlign w:val="bottom"/>
          </w:tcPr>
          <w:p>
            <w:pPr>
              <w:spacing w:after="0"/>
              <w:rPr>
                <w:sz w:val="19"/>
                <w:szCs w:val="19"/>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12.1</w:t>
            </w:r>
          </w:p>
        </w:tc>
        <w:tc>
          <w:tcPr>
            <w:tcW w:w="1022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1022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1022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022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022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80"/>
          </w:cols>
          <w:pgMar w:left="24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2011</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Financial Officer</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Richard J. Hittner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Richard J. Hittner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Accounting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Nine Months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5"/>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2011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10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6"/>
          </w:tcPr>
          <w:p>
            <w:pPr>
              <w:jc w:val="right"/>
              <w:ind w:right="1020"/>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250,386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243,650</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5"/>
              </w:rPr>
              <w:t>(182,234)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25,140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$418,295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83,819</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117,119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127,398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160,154</w:t>
            </w:r>
          </w:p>
        </w:tc>
        <w:tc>
          <w:tcPr>
            <w:tcW w:w="680" w:type="dxa"/>
            <w:vAlign w:val="bottom"/>
          </w:tcPr>
          <w:p>
            <w:pPr>
              <w:jc w:val="right"/>
              <w:spacing w:after="0"/>
              <w:rPr>
                <w:sz w:val="20"/>
                <w:szCs w:val="20"/>
                <w:color w:val="auto"/>
              </w:rPr>
            </w:pPr>
            <w:r>
              <w:rPr>
                <w:rFonts w:ascii="Arial" w:cs="Arial" w:eastAsia="Arial" w:hAnsi="Arial"/>
                <w:sz w:val="18"/>
                <w:szCs w:val="18"/>
                <w:color w:val="auto"/>
              </w:rPr>
              <w:t>155,374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334,205</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360,769</w:t>
            </w:r>
          </w:p>
        </w:tc>
        <w:tc>
          <w:tcPr>
            <w:tcW w:w="3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98"/>
              </w:rPr>
              <w:t>(54,836)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185,294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573,669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446,815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97,709</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107,890</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139,899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$ 137,110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15,024</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20,255</w:t>
            </w: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18,264</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117,119</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127,398</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160,154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155,374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44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3.99(d)</w:t>
            </w:r>
          </w:p>
        </w:tc>
        <w:tc>
          <w:tcPr>
            <w:tcW w:w="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3.08(e)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12"/>
              <w:spacing w:after="0"/>
              <w:rPr>
                <w:sz w:val="20"/>
                <w:szCs w:val="20"/>
                <w:color w:val="auto"/>
              </w:rPr>
            </w:pPr>
            <w:r>
              <w:rPr>
                <w:rFonts w:ascii="Arial" w:cs="Arial" w:eastAsia="Arial" w:hAnsi="Arial"/>
                <w:sz w:val="18"/>
                <w:szCs w:val="18"/>
                <w:color w:val="auto"/>
              </w:rPr>
              <w:t>– (f)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1.16(g)</w:t>
            </w: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1"/>
              </w:rPr>
              <w:t>Deficiency in the coverage of operating income (loss) before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182,234</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0" w:lineRule="exact"/>
        <w:rPr>
          <w:rFonts w:ascii="Arial" w:cs="Arial" w:eastAsia="Arial" w:hAnsi="Arial"/>
          <w:sz w:val="18"/>
          <w:szCs w:val="18"/>
          <w:color w:val="auto"/>
        </w:rPr>
      </w:pPr>
    </w:p>
    <w:p>
      <w:pPr>
        <w:ind w:left="780" w:hanging="326"/>
        <w:spacing w:after="0"/>
        <w:tabs>
          <w:tab w:leader="none" w:pos="7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earnings for the years presented represent income before income taxes and fixed charges,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0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income for the nine month period ended September 30, 2011 is presented after giving effect to a gain of $18,171 relating to the extinguishment of debt. Excluding the impact of such gain, the ratio of earnings to fixed charges would have been 3.77.</w:t>
      </w:r>
    </w:p>
    <w:p>
      <w:pPr>
        <w:spacing w:after="0" w:line="37"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Excluding the impact of such items, the ratio of earnings to fixed charges would have been 3.96.</w:t>
      </w:r>
    </w:p>
    <w:p>
      <w:pPr>
        <w:spacing w:after="0" w:line="45"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18"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2011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58"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2011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November 1,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November 1,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Roman"/>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decimal"/>
      <w:start w:val="6"/>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decimal"/>
      <w:start w:val="1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lowerRoman"/>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2"/>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2"/>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4"/>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2"/>
    </w:lvl>
  </w:abstractNum>
  <w:abstractNum w:abstractNumId="37">
    <w:nsid w:val="5E884ADC"/>
    <w:multiLevelType w:val="hybridMultilevel"/>
    <w:lvl w:ilvl="0">
      <w:lvlJc w:val="left"/>
      <w:lvlText w:val="(%1)"/>
      <w:numFmt w:val="lowerLetter"/>
      <w:start w:val="1"/>
    </w:lvl>
    <w:lvl w:ilvl="1">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2019-12-11T00:04:14Z</dcterms:created>
  <dcterms:modified xsi:type="dcterms:W3CDTF">2019-12-11T00:04:14Z</dcterms:modified>
</cp:coreProperties>
</file>