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03" w:lineRule="exact"/>
        <w:rPr>
          <w:rFonts w:ascii="MS PGothic" w:cs="MS PGothic" w:eastAsia="MS PGothic" w:hAnsi="MS PGothic"/>
          <w:sz w:val="20"/>
          <w:szCs w:val="20"/>
          <w:color w:val="auto"/>
          <w:highlight w:val="black"/>
        </w:rPr>
      </w:pPr>
    </w:p>
    <w:p>
      <w:pPr>
        <w:ind w:left="3740"/>
        <w:spacing w:after="0"/>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For the quarterly period ended September 30, 2019</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13"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920" w:type="dxa"/>
            <w:vAlign w:val="bottom"/>
            <w:gridSpan w:val="4"/>
          </w:tcPr>
          <w:p>
            <w:pPr>
              <w:spacing w:after="0"/>
              <w:rPr>
                <w:sz w:val="20"/>
                <w:szCs w:val="20"/>
                <w:color w:val="auto"/>
              </w:rPr>
            </w:pPr>
            <w:r>
              <w:rPr>
                <w:rFonts w:ascii="Arial" w:cs="Arial" w:eastAsia="Arial" w:hAnsi="Arial"/>
                <w:sz w:val="18"/>
                <w:szCs w:val="18"/>
                <w:b w:val="1"/>
                <w:bCs w:val="1"/>
                <w:color w:val="auto"/>
              </w:rPr>
              <w:t>For the transition period from</w:t>
            </w:r>
          </w:p>
        </w:tc>
        <w:tc>
          <w:tcPr>
            <w:tcW w:w="2960" w:type="dxa"/>
            <w:vAlign w:val="bottom"/>
            <w:gridSpan w:val="5"/>
          </w:tcPr>
          <w:p>
            <w:pPr>
              <w:jc w:val="right"/>
              <w:ind w:right="2688"/>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322"/>
        </w:trPr>
        <w:tc>
          <w:tcPr>
            <w:tcW w:w="1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80" w:type="dxa"/>
            <w:vAlign w:val="bottom"/>
            <w:gridSpan w:val="3"/>
          </w:tcPr>
          <w:p>
            <w:pPr>
              <w:jc w:val="center"/>
              <w:ind w:left="1208"/>
              <w:spacing w:after="0"/>
              <w:rPr>
                <w:sz w:val="20"/>
                <w:szCs w:val="20"/>
                <w:color w:val="auto"/>
              </w:rPr>
            </w:pPr>
            <w:r>
              <w:rPr>
                <w:rFonts w:ascii="Arial" w:cs="Arial" w:eastAsia="Arial" w:hAnsi="Arial"/>
                <w:sz w:val="18"/>
                <w:szCs w:val="18"/>
                <w:b w:val="1"/>
                <w:bCs w:val="1"/>
                <w:color w:val="auto"/>
                <w:w w:val="90"/>
              </w:rPr>
              <w:t>001-32492</w:t>
            </w: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(Commission File Number)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9"/>
        </w:trPr>
        <w:tc>
          <w:tcPr>
            <w:tcW w:w="1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880" w:type="dxa"/>
            <w:vAlign w:val="bottom"/>
            <w:gridSpan w:val="9"/>
          </w:tcPr>
          <w:p>
            <w:pPr>
              <w:jc w:val="center"/>
              <w:ind w:right="2108"/>
              <w:spacing w:after="0"/>
              <w:rPr>
                <w:sz w:val="20"/>
                <w:szCs w:val="20"/>
                <w:color w:val="auto"/>
              </w:rPr>
            </w:pPr>
            <w:r>
              <w:rPr>
                <w:rFonts w:ascii="Arial" w:cs="Arial" w:eastAsia="Arial" w:hAnsi="Arial"/>
                <w:sz w:val="43"/>
                <w:szCs w:val="43"/>
                <w:b w:val="1"/>
                <w:bCs w:val="1"/>
                <w:color w:val="auto"/>
              </w:rPr>
              <w:t>LAZARD LTD</w:t>
            </w: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880" w:type="dxa"/>
            <w:vAlign w:val="bottom"/>
            <w:gridSpan w:val="9"/>
          </w:tcPr>
          <w:p>
            <w:pPr>
              <w:jc w:val="center"/>
              <w:ind w:right="210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120"/>
        </w:trPr>
        <w:tc>
          <w:tcPr>
            <w:tcW w:w="12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1200" w:type="dxa"/>
            <w:vAlign w:val="bottom"/>
          </w:tcPr>
          <w:p>
            <w:pPr>
              <w:spacing w:after="0"/>
              <w:rPr>
                <w:sz w:val="24"/>
                <w:szCs w:val="24"/>
                <w:color w:val="auto"/>
              </w:rPr>
            </w:pPr>
          </w:p>
        </w:tc>
        <w:tc>
          <w:tcPr>
            <w:tcW w:w="2140" w:type="dxa"/>
            <w:vAlign w:val="bottom"/>
          </w:tcPr>
          <w:p>
            <w:pPr>
              <w:jc w:val="center"/>
              <w:ind w:left="65"/>
              <w:spacing w:after="0"/>
              <w:rPr>
                <w:sz w:val="20"/>
                <w:szCs w:val="20"/>
                <w:color w:val="auto"/>
              </w:rPr>
            </w:pPr>
            <w:r>
              <w:rPr>
                <w:rFonts w:ascii="Arial" w:cs="Arial" w:eastAsia="Arial" w:hAnsi="Arial"/>
                <w:sz w:val="18"/>
                <w:szCs w:val="18"/>
                <w:b w:val="1"/>
                <w:bCs w:val="1"/>
                <w:color w:val="auto"/>
                <w:w w:val="92"/>
              </w:rPr>
              <w:t>Bermuda</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60" w:type="dxa"/>
            <w:vAlign w:val="bottom"/>
            <w:gridSpan w:val="5"/>
          </w:tcPr>
          <w:p>
            <w:pPr>
              <w:jc w:val="right"/>
              <w:ind w:right="588"/>
              <w:spacing w:after="0"/>
              <w:rPr>
                <w:sz w:val="20"/>
                <w:szCs w:val="20"/>
                <w:color w:val="auto"/>
              </w:rPr>
            </w:pPr>
            <w:r>
              <w:rPr>
                <w:rFonts w:ascii="Arial" w:cs="Arial" w:eastAsia="Arial" w:hAnsi="Arial"/>
                <w:sz w:val="18"/>
                <w:szCs w:val="18"/>
                <w:b w:val="1"/>
                <w:bCs w:val="1"/>
                <w:color w:val="auto"/>
              </w:rPr>
              <w:t>98-0437848</w:t>
            </w:r>
          </w:p>
        </w:tc>
        <w:tc>
          <w:tcPr>
            <w:tcW w:w="0" w:type="dxa"/>
            <w:vAlign w:val="bottom"/>
          </w:tcPr>
          <w:p>
            <w:pPr>
              <w:spacing w:after="0"/>
              <w:rPr>
                <w:sz w:val="1"/>
                <w:szCs w:val="1"/>
                <w:color w:val="auto"/>
              </w:rPr>
            </w:pPr>
          </w:p>
        </w:tc>
      </w:tr>
      <w:tr>
        <w:trPr>
          <w:trHeight w:val="149"/>
        </w:trPr>
        <w:tc>
          <w:tcPr>
            <w:tcW w:w="6260" w:type="dxa"/>
            <w:vAlign w:val="bottom"/>
            <w:gridSpan w:val="6"/>
          </w:tcPr>
          <w:p>
            <w:pPr>
              <w:jc w:val="center"/>
              <w:ind w:right="158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6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174"/>
        </w:trPr>
        <w:tc>
          <w:tcPr>
            <w:tcW w:w="1200" w:type="dxa"/>
            <w:vAlign w:val="bottom"/>
          </w:tcPr>
          <w:p>
            <w:pPr>
              <w:spacing w:after="0"/>
              <w:rPr>
                <w:sz w:val="15"/>
                <w:szCs w:val="15"/>
                <w:color w:val="auto"/>
              </w:rPr>
            </w:pPr>
          </w:p>
        </w:tc>
        <w:tc>
          <w:tcPr>
            <w:tcW w:w="2140" w:type="dxa"/>
            <w:vAlign w:val="bottom"/>
          </w:tcPr>
          <w:p>
            <w:pPr>
              <w:jc w:val="center"/>
              <w:ind w:left="85"/>
              <w:spacing w:after="0"/>
              <w:rPr>
                <w:sz w:val="20"/>
                <w:szCs w:val="20"/>
                <w:color w:val="auto"/>
              </w:rPr>
            </w:pPr>
            <w:r>
              <w:rPr>
                <w:rFonts w:ascii="Arial" w:cs="Arial" w:eastAsia="Arial" w:hAnsi="Arial"/>
                <w:sz w:val="14"/>
                <w:szCs w:val="14"/>
                <w:b w:val="1"/>
                <w:bCs w:val="1"/>
                <w:color w:val="auto"/>
                <w:w w:val="90"/>
              </w:rPr>
              <w:t>or Organization)</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1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Clarendon House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2 Church Street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Hamilton HM11, Bermuda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80" w:type="dxa"/>
            <w:vAlign w:val="bottom"/>
            <w:gridSpan w:val="8"/>
          </w:tcPr>
          <w:p>
            <w:pPr>
              <w:jc w:val="center"/>
              <w:ind w:right="27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0" w:type="dxa"/>
            <w:vAlign w:val="bottom"/>
          </w:tcPr>
          <w:p>
            <w:pPr>
              <w:spacing w:after="0"/>
              <w:rPr>
                <w:sz w:val="1"/>
                <w:szCs w:val="1"/>
                <w:color w:val="auto"/>
              </w:rPr>
            </w:pPr>
          </w:p>
        </w:tc>
      </w:tr>
      <w:tr>
        <w:trPr>
          <w:trHeight w:val="309"/>
        </w:trPr>
        <w:tc>
          <w:tcPr>
            <w:tcW w:w="1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880" w:type="dxa"/>
            <w:vAlign w:val="bottom"/>
            <w:gridSpan w:val="9"/>
          </w:tcPr>
          <w:p>
            <w:pPr>
              <w:jc w:val="center"/>
              <w:ind w:right="2088"/>
              <w:spacing w:after="0"/>
              <w:rPr>
                <w:sz w:val="20"/>
                <w:szCs w:val="20"/>
                <w:color w:val="auto"/>
              </w:rPr>
            </w:pPr>
            <w:r>
              <w:rPr>
                <w:rFonts w:ascii="Arial" w:cs="Arial" w:eastAsia="Arial" w:hAnsi="Arial"/>
                <w:sz w:val="18"/>
                <w:szCs w:val="18"/>
                <w:b w:val="1"/>
                <w:bCs w:val="1"/>
                <w:color w:val="auto"/>
                <w:w w:val="90"/>
              </w:rPr>
              <w:t>Registrant’s telephone number: (441) 295-1422</w:t>
            </w:r>
          </w:p>
        </w:tc>
        <w:tc>
          <w:tcPr>
            <w:tcW w:w="0" w:type="dxa"/>
            <w:vAlign w:val="bottom"/>
          </w:tcPr>
          <w:p>
            <w:pPr>
              <w:spacing w:after="0"/>
              <w:rPr>
                <w:sz w:val="1"/>
                <w:szCs w:val="1"/>
                <w:color w:val="auto"/>
              </w:rPr>
            </w:pPr>
          </w:p>
        </w:tc>
      </w:tr>
      <w:tr>
        <w:trPr>
          <w:trHeight w:val="135"/>
        </w:trPr>
        <w:tc>
          <w:tcPr>
            <w:tcW w:w="3340" w:type="dxa"/>
            <w:vAlign w:val="bottom"/>
            <w:gridSpan w:val="2"/>
            <w:vMerge w:val="restart"/>
          </w:tcPr>
          <w:p>
            <w:pP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3340" w:type="dxa"/>
            <w:vAlign w:val="bottom"/>
            <w:gridSpan w:val="2"/>
            <w:vMerge w:val="continue"/>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140" w:type="dxa"/>
            <w:vAlign w:val="bottom"/>
            <w:tcBorders>
              <w:bottom w:val="single" w:sz="8" w:color="auto"/>
            </w:tcBorders>
          </w:tcPr>
          <w:p>
            <w:pPr>
              <w:jc w:val="center"/>
              <w:ind w:left="505"/>
              <w:spacing w:after="0"/>
              <w:rPr>
                <w:sz w:val="20"/>
                <w:szCs w:val="20"/>
                <w:color w:val="auto"/>
              </w:rPr>
            </w:pPr>
            <w:r>
              <w:rPr>
                <w:rFonts w:ascii="Arial" w:cs="Arial" w:eastAsia="Arial" w:hAnsi="Arial"/>
                <w:sz w:val="14"/>
                <w:szCs w:val="14"/>
                <w:color w:val="auto"/>
                <w:w w:val="92"/>
              </w:rPr>
              <w:t>Title of each class</w:t>
            </w:r>
          </w:p>
        </w:tc>
        <w:tc>
          <w:tcPr>
            <w:tcW w:w="6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4"/>
                <w:szCs w:val="14"/>
                <w:color w:val="auto"/>
                <w:w w:val="94"/>
              </w:rPr>
              <w:t>Trading Symbol(s)</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25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140" w:type="dxa"/>
            <w:vAlign w:val="bottom"/>
            <w:tcBorders>
              <w:bottom w:val="single" w:sz="8" w:color="auto"/>
            </w:tcBorders>
          </w:tcPr>
          <w:p>
            <w:pPr>
              <w:jc w:val="center"/>
              <w:ind w:left="505"/>
              <w:spacing w:after="0"/>
              <w:rPr>
                <w:sz w:val="20"/>
                <w:szCs w:val="20"/>
                <w:color w:val="auto"/>
              </w:rPr>
            </w:pPr>
            <w:r>
              <w:rPr>
                <w:rFonts w:ascii="Arial" w:cs="Arial" w:eastAsia="Arial" w:hAnsi="Arial"/>
                <w:sz w:val="14"/>
                <w:szCs w:val="14"/>
                <w:color w:val="auto"/>
                <w:w w:val="94"/>
              </w:rPr>
              <w:t>Class A Common Stock</w:t>
            </w:r>
          </w:p>
        </w:tc>
        <w:tc>
          <w:tcPr>
            <w:tcW w:w="6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4"/>
                <w:szCs w:val="14"/>
                <w:color w:val="auto"/>
              </w:rPr>
              <w:t>LAZ</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jc w:val="center"/>
              <w:ind w:right="34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bl>
    <w:p>
      <w:pPr>
        <w:spacing w:after="0" w:line="89" w:lineRule="exact"/>
        <w:rPr>
          <w:sz w:val="24"/>
          <w:szCs w:val="24"/>
          <w:color w:val="auto"/>
        </w:rPr>
      </w:pPr>
    </w:p>
    <w:p>
      <w:pPr>
        <w:ind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18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20" w:firstLine="51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4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60" w:type="dxa"/>
            <w:vAlign w:val="bottom"/>
          </w:tcPr>
          <w:p>
            <w:pPr>
              <w:ind w:left="112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000"/>
              <w:spacing w:after="0"/>
              <w:rPr>
                <w:sz w:val="20"/>
                <w:szCs w:val="20"/>
                <w:color w:val="auto"/>
              </w:rPr>
            </w:pPr>
            <w:r>
              <w:rPr>
                <w:rFonts w:ascii="Arial" w:cs="Arial" w:eastAsia="Arial" w:hAnsi="Arial"/>
                <w:sz w:val="14"/>
                <w:szCs w:val="14"/>
                <w:color w:val="auto"/>
              </w:rPr>
              <w:t>Accelerated filer</w:t>
            </w:r>
          </w:p>
        </w:tc>
        <w:tc>
          <w:tcPr>
            <w:tcW w:w="10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2400" w:type="dxa"/>
            <w:vAlign w:val="bottom"/>
          </w:tcPr>
          <w:p>
            <w:pPr>
              <w:spacing w:after="0"/>
              <w:rPr>
                <w:sz w:val="20"/>
                <w:szCs w:val="20"/>
                <w:color w:val="auto"/>
              </w:rPr>
            </w:pPr>
            <w:r>
              <w:rPr>
                <w:rFonts w:ascii="Arial" w:cs="Arial" w:eastAsia="Arial" w:hAnsi="Arial"/>
                <w:sz w:val="14"/>
                <w:szCs w:val="14"/>
                <w:color w:val="auto"/>
              </w:rPr>
              <w:t>Non-accelerated filer</w:t>
            </w:r>
          </w:p>
        </w:tc>
        <w:tc>
          <w:tcPr>
            <w:tcW w:w="3260" w:type="dxa"/>
            <w:vAlign w:val="bottom"/>
          </w:tcPr>
          <w:p>
            <w:pPr>
              <w:ind w:left="112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000"/>
              <w:spacing w:after="0"/>
              <w:rPr>
                <w:sz w:val="20"/>
                <w:szCs w:val="20"/>
                <w:color w:val="auto"/>
              </w:rPr>
            </w:pPr>
            <w:r>
              <w:rPr>
                <w:rFonts w:ascii="Arial" w:cs="Arial" w:eastAsia="Arial" w:hAnsi="Arial"/>
                <w:sz w:val="14"/>
                <w:szCs w:val="14"/>
                <w:color w:val="auto"/>
              </w:rPr>
              <w:t>Smaller reporting company</w:t>
            </w:r>
          </w:p>
        </w:tc>
        <w:tc>
          <w:tcPr>
            <w:tcW w:w="10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4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520" w:type="dxa"/>
            <w:vAlign w:val="bottom"/>
          </w:tcPr>
          <w:p>
            <w:pPr>
              <w:ind w:left="2000"/>
              <w:spacing w:after="0"/>
              <w:rPr>
                <w:sz w:val="20"/>
                <w:szCs w:val="20"/>
                <w:color w:val="auto"/>
              </w:rPr>
            </w:pPr>
            <w:r>
              <w:rPr>
                <w:rFonts w:ascii="Arial" w:cs="Arial" w:eastAsia="Arial" w:hAnsi="Arial"/>
                <w:sz w:val="14"/>
                <w:szCs w:val="14"/>
                <w:color w:val="auto"/>
              </w:rPr>
              <w:t>Emerging growth company</w:t>
            </w:r>
          </w:p>
        </w:tc>
        <w:tc>
          <w:tcPr>
            <w:tcW w:w="10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9" w:lineRule="exact"/>
        <w:rPr>
          <w:sz w:val="24"/>
          <w:szCs w:val="24"/>
          <w:color w:val="auto"/>
        </w:rPr>
      </w:pPr>
    </w:p>
    <w:p>
      <w:pPr>
        <w:ind w:right="200" w:firstLine="518"/>
        <w:spacing w:after="0" w:line="180" w:lineRule="exact"/>
        <w:rPr>
          <w:sz w:val="20"/>
          <w:szCs w:val="20"/>
          <w:color w:val="auto"/>
        </w:rPr>
      </w:pPr>
      <w:r>
        <w:rPr>
          <w:rFonts w:ascii="Arial" w:cs="Arial" w:eastAsia="Arial" w:hAnsi="Arial"/>
          <w:sz w:val="14"/>
          <w:szCs w:val="14"/>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520"/>
        <w:spacing w:after="0" w:line="161" w:lineRule="exact"/>
        <w:tabs>
          <w:tab w:leader="none" w:pos="7020" w:val="left"/>
          <w:tab w:leader="none" w:pos="75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October 31, 2019, there were 112,766,091 shares of the Registrant’s Class A common stock outstanding (including 7,735,241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497205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September 30, 2019 of all of the common membership interests in Lazard Group and its controlling interest in Lazard Group.</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280" w:type="dxa"/>
            <w:vAlign w:val="bottom"/>
            <w:gridSpan w:val="9"/>
            <w:vMerge w:val="restart"/>
          </w:tcPr>
          <w:p>
            <w:pPr>
              <w:spacing w:after="0"/>
              <w:rPr>
                <w:sz w:val="14"/>
                <w:szCs w:val="14"/>
                <w:color w:val="auto"/>
              </w:rPr>
            </w:pP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280" w:type="dxa"/>
            <w:vAlign w:val="bottom"/>
            <w:gridSpan w:val="9"/>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29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(Unaudited)</w:t>
              </w:r>
            </w:hyperlink>
          </w:p>
        </w:tc>
        <w:tc>
          <w:tcPr>
            <w:tcW w:w="7120" w:type="dxa"/>
            <w:vAlign w:val="bottom"/>
            <w:gridSpan w:val="4"/>
          </w:tcPr>
          <w:p>
            <w:pPr>
              <w:spacing w:after="0"/>
              <w:rPr>
                <w:sz w:val="24"/>
                <w:szCs w:val="24"/>
                <w:color w:val="auto"/>
              </w:rPr>
            </w:pPr>
          </w:p>
        </w:tc>
        <w:tc>
          <w:tcPr>
            <w:tcW w:w="660" w:type="dxa"/>
            <w:vAlign w:val="bottom"/>
          </w:tcPr>
          <w:p>
            <w:pPr>
              <w:jc w:val="center"/>
              <w:ind w:left="11"/>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702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Item 2. Management’s Discussion and Analysis of Financial Condition and Results of Operations</w:t>
              </w:r>
            </w:hyperlink>
          </w:p>
        </w:tc>
        <w:tc>
          <w:tcPr>
            <w:tcW w:w="30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Item 3. Quantitative and Qualitative Disclosures About Market Risk</w:t>
              </w:r>
            </w:hyperlink>
          </w:p>
        </w:tc>
        <w:tc>
          <w:tcPr>
            <w:tcW w:w="518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100" w:type="dxa"/>
            <w:vAlign w:val="bottom"/>
            <w:gridSpan w:val="1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4. Controls and Procedures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40" w:type="dxa"/>
            <w:vAlign w:val="bottom"/>
            <w:gridSpan w:val="14"/>
          </w:tcPr>
          <w:p>
            <w:pPr>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Part II.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1. Legal Proceedings</w:t>
              </w:r>
            </w:hyperlink>
          </w:p>
        </w:tc>
        <w:tc>
          <w:tcPr>
            <w:tcW w:w="8200" w:type="dxa"/>
            <w:vAlign w:val="bottom"/>
            <w:gridSpan w:val="7"/>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Item 1A. Risk Factors</w:t>
              </w:r>
            </w:hyperlink>
          </w:p>
        </w:tc>
        <w:tc>
          <w:tcPr>
            <w:tcW w:w="8480" w:type="dxa"/>
            <w:vAlign w:val="bottom"/>
            <w:gridSpan w:val="10"/>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100" w:type="dxa"/>
            <w:vAlign w:val="bottom"/>
            <w:gridSpan w:val="1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2. Unregistered Sales of Equity Securities and Use of Proceeds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00" w:type="dxa"/>
            <w:vAlign w:val="bottom"/>
            <w:tcBorders>
              <w:top w:val="single" w:sz="8" w:color="0000EE"/>
            </w:tcBorders>
            <w:gridSpan w:val="10"/>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3. Defaults Upon Senior Securities</w:t>
              </w:r>
            </w:hyperlink>
          </w:p>
        </w:tc>
        <w:tc>
          <w:tcPr>
            <w:tcW w:w="5200" w:type="dxa"/>
            <w:vAlign w:val="bottom"/>
            <w:gridSpan w:val="3"/>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880" w:type="dxa"/>
            <w:vAlign w:val="bottom"/>
            <w:tcBorders>
              <w:top w:val="single" w:sz="8" w:color="0000EE"/>
            </w:tcBorders>
            <w:gridSpan w:val="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4. Mine Safety Disclosures</w:t>
              </w:r>
            </w:hyperlink>
          </w:p>
        </w:tc>
        <w:tc>
          <w:tcPr>
            <w:tcW w:w="7220" w:type="dxa"/>
            <w:vAlign w:val="bottom"/>
            <w:gridSpan w:val="5"/>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2"/>
          </w:tcPr>
          <w:p>
            <w:pPr>
              <w:spacing w:after="0"/>
              <w:rPr>
                <w:sz w:val="24"/>
                <w:szCs w:val="24"/>
                <w:color w:val="auto"/>
              </w:rPr>
            </w:pPr>
          </w:p>
        </w:tc>
        <w:tc>
          <w:tcPr>
            <w:tcW w:w="7780" w:type="dxa"/>
            <w:vAlign w:val="bottom"/>
            <w:gridSpan w:val="6"/>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Item 6. Exhibits</w:t>
              </w:r>
            </w:hyperlink>
          </w:p>
        </w:tc>
        <w:tc>
          <w:tcPr>
            <w:tcW w:w="8940" w:type="dxa"/>
            <w:vAlign w:val="bottom"/>
            <w:gridSpan w:val="11"/>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r>
        <w:trPr>
          <w:trHeight w:val="318"/>
        </w:trPr>
        <w:tc>
          <w:tcPr>
            <w:tcW w:w="820" w:type="dxa"/>
            <w:vAlign w:val="bottom"/>
            <w:tcBorders>
              <w:bottom w:val="single" w:sz="8" w:color="0000EE"/>
            </w:tcBorders>
            <w:gridSpan w:val="2"/>
          </w:tcPr>
          <w:p>
            <w:pPr>
              <w:spacing w:after="0"/>
              <w:rPr>
                <w:rFonts w:ascii="Arial" w:cs="Arial" w:eastAsia="Arial" w:hAnsi="Arial"/>
                <w:sz w:val="18"/>
                <w:szCs w:val="18"/>
                <w:b w:val="1"/>
                <w:bCs w:val="1"/>
                <w:color w:val="0000EE"/>
                <w:w w:val="85"/>
              </w:rPr>
            </w:pPr>
            <w:hyperlink w:anchor="page80">
              <w:r>
                <w:rPr>
                  <w:rFonts w:ascii="Arial" w:cs="Arial" w:eastAsia="Arial" w:hAnsi="Arial"/>
                  <w:sz w:val="18"/>
                  <w:szCs w:val="18"/>
                  <w:b w:val="1"/>
                  <w:bCs w:val="1"/>
                  <w:color w:val="0000EE"/>
                  <w:w w:val="85"/>
                </w:rPr>
                <w:t>Signatures</w:t>
              </w:r>
            </w:hyperlink>
          </w:p>
        </w:tc>
        <w:tc>
          <w:tcPr>
            <w:tcW w:w="9720" w:type="dxa"/>
            <w:vAlign w:val="bottom"/>
            <w:gridSpan w:val="1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740" w:type="dxa"/>
            <w:vAlign w:val="bottom"/>
            <w:gridSpan w:val="6"/>
          </w:tcPr>
          <w:p>
            <w:pPr>
              <w:ind w:left="12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9860" w:type="dxa"/>
            <w:vAlign w:val="bottom"/>
            <w:gridSpan w:val="7"/>
          </w:tcPr>
          <w:p>
            <w:pPr>
              <w:ind w:left="22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r>
      <w:tr>
        <w:trPr>
          <w:trHeight w:val="291"/>
        </w:trPr>
        <w:tc>
          <w:tcPr>
            <w:tcW w:w="60" w:type="dxa"/>
            <w:vAlign w:val="bottom"/>
          </w:tcPr>
          <w:p>
            <w:pPr>
              <w:spacing w:after="0"/>
              <w:rPr>
                <w:sz w:val="24"/>
                <w:szCs w:val="24"/>
                <w:color w:val="auto"/>
              </w:rPr>
            </w:pPr>
          </w:p>
        </w:tc>
        <w:tc>
          <w:tcPr>
            <w:tcW w:w="79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as of September 30, 2019 and December 31, 2018</w:t>
              </w:r>
            </w:hyperlink>
          </w:p>
        </w:tc>
        <w:tc>
          <w:tcPr>
            <w:tcW w:w="2780" w:type="dxa"/>
            <w:vAlign w:val="bottom"/>
            <w:gridSpan w:val="5"/>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2</w:t>
            </w:r>
          </w:p>
        </w:tc>
      </w:tr>
      <w:tr>
        <w:trPr>
          <w:trHeight w:val="318"/>
        </w:trPr>
        <w:tc>
          <w:tcPr>
            <w:tcW w:w="60" w:type="dxa"/>
            <w:vAlign w:val="bottom"/>
          </w:tcPr>
          <w:p>
            <w:pPr>
              <w:spacing w:after="0"/>
              <w:rPr>
                <w:sz w:val="24"/>
                <w:szCs w:val="24"/>
                <w:color w:val="auto"/>
              </w:rPr>
            </w:pPr>
          </w:p>
        </w:tc>
        <w:tc>
          <w:tcPr>
            <w:tcW w:w="9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month and nine month periods ended September 30, 2019 and 2018</w:t>
              </w:r>
            </w:hyperlink>
          </w:p>
        </w:tc>
        <w:tc>
          <w:tcPr>
            <w:tcW w:w="1220" w:type="dxa"/>
            <w:vAlign w:val="bottom"/>
            <w:gridSpan w:val="3"/>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4</w:t>
            </w:r>
          </w:p>
        </w:tc>
      </w:tr>
      <w:tr>
        <w:trPr>
          <w:trHeight w:val="318"/>
        </w:trPr>
        <w:tc>
          <w:tcPr>
            <w:tcW w:w="60" w:type="dxa"/>
            <w:vAlign w:val="bottom"/>
          </w:tcPr>
          <w:p>
            <w:pPr>
              <w:spacing w:after="0"/>
              <w:rPr>
                <w:sz w:val="24"/>
                <w:szCs w:val="24"/>
                <w:color w:val="auto"/>
              </w:rPr>
            </w:pPr>
          </w:p>
        </w:tc>
        <w:tc>
          <w:tcPr>
            <w:tcW w:w="104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and nine month periods ended September 30, 2019 and 2018</w:t>
              </w:r>
            </w:hyperlink>
          </w:p>
        </w:tc>
        <w:tc>
          <w:tcPr>
            <w:tcW w:w="300" w:type="dxa"/>
            <w:vAlign w:val="bottom"/>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5</w:t>
            </w:r>
          </w:p>
        </w:tc>
      </w:tr>
      <w:tr>
        <w:trPr>
          <w:trHeight w:val="318"/>
        </w:trPr>
        <w:tc>
          <w:tcPr>
            <w:tcW w:w="60" w:type="dxa"/>
            <w:vAlign w:val="bottom"/>
          </w:tcPr>
          <w:p>
            <w:pPr>
              <w:spacing w:after="0"/>
              <w:rPr>
                <w:sz w:val="24"/>
                <w:szCs w:val="24"/>
                <w:color w:val="auto"/>
              </w:rPr>
            </w:pPr>
          </w:p>
        </w:tc>
        <w:tc>
          <w:tcPr>
            <w:tcW w:w="83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nine month periods ended September 30, 2019 and 2018</w:t>
              </w:r>
            </w:hyperlink>
          </w:p>
        </w:tc>
        <w:tc>
          <w:tcPr>
            <w:tcW w:w="2380" w:type="dxa"/>
            <w:vAlign w:val="bottom"/>
            <w:gridSpan w:val="4"/>
          </w:tcPr>
          <w:p>
            <w:pPr>
              <w:spacing w:after="0"/>
              <w:rPr>
                <w:sz w:val="24"/>
                <w:szCs w:val="24"/>
                <w:color w:val="auto"/>
              </w:rPr>
            </w:pPr>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6</w:t>
            </w:r>
          </w:p>
        </w:tc>
      </w:tr>
      <w:tr>
        <w:trPr>
          <w:trHeight w:val="318"/>
        </w:trPr>
        <w:tc>
          <w:tcPr>
            <w:tcW w:w="60" w:type="dxa"/>
            <w:vAlign w:val="bottom"/>
          </w:tcPr>
          <w:p>
            <w:pPr>
              <w:spacing w:after="0"/>
              <w:rPr>
                <w:sz w:val="24"/>
                <w:szCs w:val="24"/>
                <w:color w:val="auto"/>
              </w:rPr>
            </w:pPr>
          </w:p>
        </w:tc>
        <w:tc>
          <w:tcPr>
            <w:tcW w:w="10740" w:type="dxa"/>
            <w:vAlign w:val="bottom"/>
            <w:gridSpan w:val="9"/>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Condensed Consolidated Statements of Changes in Stockholders’ Equity for the three month and nine month periods ended September 30, 2019</w:t>
              </w:r>
            </w:hyperlink>
          </w:p>
        </w:tc>
        <w:tc>
          <w:tcPr>
            <w:tcW w:w="56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and 2018</w:t>
              </w:r>
            </w:hyperlink>
          </w:p>
        </w:tc>
        <w:tc>
          <w:tcPr>
            <w:tcW w:w="312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center"/>
              <w:ind w:left="33"/>
              <w:spacing w:after="0" w:line="196" w:lineRule="exact"/>
              <w:rPr>
                <w:sz w:val="20"/>
                <w:szCs w:val="20"/>
                <w:color w:val="auto"/>
              </w:rPr>
            </w:pPr>
            <w:r>
              <w:rPr>
                <w:rFonts w:ascii="Arial" w:cs="Arial" w:eastAsia="Arial" w:hAnsi="Arial"/>
                <w:sz w:val="18"/>
                <w:szCs w:val="18"/>
                <w:color w:val="auto"/>
                <w:w w:val="79"/>
              </w:rPr>
              <w:t>7</w:t>
            </w:r>
          </w:p>
        </w:tc>
      </w:tr>
      <w:tr>
        <w:trPr>
          <w:trHeight w:val="318"/>
        </w:trPr>
        <w:tc>
          <w:tcPr>
            <w:tcW w:w="60" w:type="dxa"/>
            <w:vAlign w:val="bottom"/>
          </w:tcPr>
          <w:p>
            <w:pPr>
              <w:spacing w:after="0"/>
              <w:rPr>
                <w:sz w:val="24"/>
                <w:szCs w:val="24"/>
                <w:color w:val="auto"/>
              </w:rPr>
            </w:pPr>
          </w:p>
        </w:tc>
        <w:tc>
          <w:tcPr>
            <w:tcW w:w="10740" w:type="dxa"/>
            <w:vAlign w:val="bottom"/>
            <w:gridSpan w:val="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Notes to Condensed Consolidated Financial Statements</w:t>
              </w:r>
            </w:hyperlink>
          </w:p>
        </w:tc>
        <w:tc>
          <w:tcPr>
            <w:tcW w:w="560" w:type="dxa"/>
            <w:vAlign w:val="bottom"/>
          </w:tcPr>
          <w:p>
            <w:pPr>
              <w:jc w:val="center"/>
              <w:ind w:left="33"/>
              <w:spacing w:after="0"/>
              <w:rPr>
                <w:sz w:val="20"/>
                <w:szCs w:val="20"/>
                <w:color w:val="auto"/>
              </w:rPr>
            </w:pPr>
            <w:r>
              <w:rPr>
                <w:rFonts w:ascii="Arial" w:cs="Arial" w:eastAsia="Arial" w:hAnsi="Arial"/>
                <w:sz w:val="18"/>
                <w:szCs w:val="18"/>
                <w:color w:val="auto"/>
                <w:w w:val="79"/>
              </w:rPr>
              <w:t>11</w:t>
            </w:r>
          </w:p>
        </w:tc>
      </w:tr>
      <w:tr>
        <w:trPr>
          <w:trHeight w:val="20"/>
        </w:trPr>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 AND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2"/>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959,001</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1,246,537</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1,289,288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1,006,969</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40,280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38,379</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$31,288 and $40,164</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September 30, 2019 and December 31, 2018,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Fees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468,780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501,397</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199,387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184,137</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668,167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685,534</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535,848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575,148</w:t>
            </w:r>
          </w:p>
        </w:tc>
        <w:tc>
          <w:tcPr>
            <w:tcW w:w="120" w:type="dxa"/>
            <w:vAlign w:val="bottom"/>
            <w:shd w:val="clear" w:color="auto" w:fill="CFF0FC"/>
          </w:tcPr>
          <w:p>
            <w:pPr>
              <w:spacing w:after="0"/>
              <w:rPr>
                <w:sz w:val="19"/>
                <w:szCs w:val="19"/>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Property (net of accumulated amortization and depreciation of $352,104 and $339,770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at September 30, 2019 and December 31, 2018, respectively)</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216,968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212,946</w:t>
            </w:r>
          </w:p>
        </w:tc>
        <w:tc>
          <w:tcPr>
            <w:tcW w:w="120" w:type="dxa"/>
            <w:vAlign w:val="bottom"/>
          </w:tcPr>
          <w:p>
            <w:pPr>
              <w:spacing w:after="0"/>
              <w:rPr>
                <w:sz w:val="20"/>
                <w:szCs w:val="20"/>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558,723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Goodwill and other intangible assets (net of accumulated amortization of $67,973 and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$65,949 at September 30, 2019 and December 31, 2018, respectively)</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368,996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375,318</w:t>
            </w:r>
          </w:p>
        </w:tc>
        <w:tc>
          <w:tcPr>
            <w:tcW w:w="120" w:type="dxa"/>
            <w:vAlign w:val="bottom"/>
          </w:tcPr>
          <w:p>
            <w:pPr>
              <w:spacing w:after="0"/>
              <w:rPr>
                <w:sz w:val="20"/>
                <w:szCs w:val="20"/>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601,183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597,776</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313,425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258,634</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8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5,551,879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4,997,241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 AND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4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Liabilities: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1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1,405,836</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1,154,207</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418,779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585,484</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652,681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Senior debt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1,678,921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1,434,260</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receivable agreement obligation</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270,640</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Deferred tax liabilities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5,571</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460,490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576,986</w:t>
            </w:r>
          </w:p>
        </w:tc>
        <w:tc>
          <w:tcPr>
            <w:tcW w:w="120" w:type="dxa"/>
            <w:vAlign w:val="bottom"/>
            <w:shd w:val="clear" w:color="auto" w:fill="CFF0FC"/>
          </w:tcPr>
          <w:p>
            <w:pPr>
              <w:spacing w:after="0"/>
              <w:rPr>
                <w:sz w:val="19"/>
                <w:szCs w:val="19"/>
                <w:color w:val="auto"/>
              </w:rPr>
            </w:pPr>
          </w:p>
        </w:tc>
      </w:tr>
      <w:tr>
        <w:trPr>
          <w:trHeight w:val="223"/>
        </w:trPr>
        <w:tc>
          <w:tcPr>
            <w:tcW w:w="69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4,865,658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4,027,148</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500"/>
              <w:spacing w:after="0"/>
              <w:rPr>
                <w:sz w:val="20"/>
                <w:szCs w:val="20"/>
                <w:color w:val="auto"/>
              </w:rPr>
            </w:pPr>
            <w:r>
              <w:rPr>
                <w:rFonts w:ascii="Arial" w:cs="Arial" w:eastAsia="Arial" w:hAnsi="Arial"/>
                <w:sz w:val="18"/>
                <w:szCs w:val="18"/>
                <w:color w:val="auto"/>
              </w:rPr>
              <w:t>Series A - no shares issued and outstanding</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B - no shares issued and outstanding</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Class A, par value $.01 per share (500,000,000 shares authorized;</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129,766,091 shares issued at September 30, 2019 and December 31, 2018,</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including shares held by subsidiaries as indicated below)</w:t>
            </w: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FF0FC"/>
          </w:tcPr>
          <w:p>
            <w:pPr>
              <w:spacing w:after="0"/>
              <w:rPr>
                <w:sz w:val="20"/>
                <w:szCs w:val="20"/>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Additional paid-in-capital</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682,003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750,692</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1,168,382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1,195,563</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(288,621)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(273,818)</w:t>
            </w:r>
          </w:p>
        </w:tc>
      </w:tr>
      <w:tr>
        <w:trPr>
          <w:trHeight w:val="223"/>
        </w:trPr>
        <w:tc>
          <w:tcPr>
            <w:tcW w:w="69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1,563,062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1,673,735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6940" w:type="dxa"/>
            <w:vAlign w:val="bottom"/>
          </w:tcPr>
          <w:p>
            <w:pPr>
              <w:ind w:left="260"/>
              <w:spacing w:after="0"/>
              <w:rPr>
                <w:sz w:val="20"/>
                <w:szCs w:val="20"/>
                <w:color w:val="auto"/>
              </w:rPr>
            </w:pPr>
            <w:r>
              <w:rPr>
                <w:rFonts w:ascii="Arial" w:cs="Arial" w:eastAsia="Arial" w:hAnsi="Arial"/>
                <w:sz w:val="18"/>
                <w:szCs w:val="18"/>
                <w:color w:val="auto"/>
              </w:rPr>
              <w:t>Class A common stock held by subsidiaries, at cost (23,950,582 and 17,574,805</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40" w:type="dxa"/>
            <w:vAlign w:val="bottom"/>
          </w:tcPr>
          <w:p>
            <w:pPr>
              <w:ind w:left="380"/>
              <w:spacing w:after="0"/>
              <w:rPr>
                <w:sz w:val="20"/>
                <w:szCs w:val="20"/>
                <w:color w:val="auto"/>
              </w:rPr>
            </w:pPr>
            <w:r>
              <w:rPr>
                <w:rFonts w:ascii="Arial" w:cs="Arial" w:eastAsia="Arial" w:hAnsi="Arial"/>
                <w:sz w:val="18"/>
                <w:szCs w:val="18"/>
                <w:color w:val="auto"/>
              </w:rPr>
              <w:t>shares at September 30, 2019 and December 31, 2018, respectively)</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(949,620)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(756,884)</w:t>
            </w:r>
          </w:p>
        </w:tc>
      </w:tr>
      <w:tr>
        <w:trPr>
          <w:trHeight w:val="223"/>
        </w:trPr>
        <w:tc>
          <w:tcPr>
            <w:tcW w:w="69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Lazard Ltd Stockholders’ Equity</w:t>
            </w:r>
          </w:p>
        </w:tc>
        <w:tc>
          <w:tcPr>
            <w:tcW w:w="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613,442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916,851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53,242</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686,221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970,093</w:t>
            </w:r>
          </w:p>
        </w:tc>
        <w:tc>
          <w:tcPr>
            <w:tcW w:w="120" w:type="dxa"/>
            <w:vAlign w:val="bottom"/>
            <w:shd w:val="clear" w:color="auto" w:fill="CFF0FC"/>
          </w:tcPr>
          <w:p>
            <w:pPr>
              <w:spacing w:after="0"/>
              <w:rPr>
                <w:sz w:val="19"/>
                <w:szCs w:val="19"/>
                <w:color w:val="auto"/>
              </w:rPr>
            </w:pPr>
          </w:p>
        </w:tc>
      </w:tr>
      <w:tr>
        <w:trPr>
          <w:trHeight w:val="223"/>
        </w:trPr>
        <w:tc>
          <w:tcPr>
            <w:tcW w:w="694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9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5,551,879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4,997,241</w:t>
            </w:r>
          </w:p>
        </w:tc>
        <w:tc>
          <w:tcPr>
            <w:tcW w:w="12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5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5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7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305,303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309,690</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970,081</w:t>
            </w:r>
          </w:p>
        </w:tc>
        <w:tc>
          <w:tcPr>
            <w:tcW w:w="240" w:type="dxa"/>
            <w:vAlign w:val="bottom"/>
          </w:tcPr>
          <w:p>
            <w:pPr>
              <w:spacing w:after="0"/>
              <w:rPr>
                <w:sz w:val="19"/>
                <w:szCs w:val="19"/>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1,139,860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287,140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312,790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876,159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986,777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11,775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14,668</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611,073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640,800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1,923,552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2,180,533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14,319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58,120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591,068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626,481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1,865,432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2,139,117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391,363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343,987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1,136,087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1,165,193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89,104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84,086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36,394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104,956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48,466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85,848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(5,851)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9,534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(13,468)</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11,530</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33,630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538,695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487,800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1,591,711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1,614,668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52,373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138,681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273,721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524,449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48,196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218,185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tcPr>
          <w:p>
            <w:pPr>
              <w:spacing w:after="0"/>
              <w:rPr>
                <w:sz w:val="20"/>
                <w:szCs w:val="20"/>
                <w:color w:val="auto"/>
              </w:rPr>
            </w:pPr>
            <w:r>
              <w:rPr>
                <w:rFonts w:ascii="Arial" w:cs="Arial" w:eastAsia="Arial" w:hAnsi="Arial"/>
                <w:sz w:val="18"/>
                <w:szCs w:val="18"/>
                <w:b w:val="1"/>
                <w:bCs w:val="1"/>
                <w:color w:val="auto"/>
              </w:rPr>
              <w:t>LESS - NET INCOME ATTRIBUTABLE TO</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5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8,662</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5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46,704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107,074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209,523</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413,729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ATTRIBUTABLE TO LAZARD LTD CLASS A</w:t>
            </w: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80"/>
              <w:spacing w:after="0"/>
              <w:rPr>
                <w:sz w:val="20"/>
                <w:szCs w:val="20"/>
                <w:color w:val="auto"/>
              </w:rPr>
            </w:pPr>
            <w:r>
              <w:rPr>
                <w:rFonts w:ascii="Arial" w:cs="Arial" w:eastAsia="Arial" w:hAnsi="Arial"/>
                <w:sz w:val="18"/>
                <w:szCs w:val="18"/>
                <w:b w:val="1"/>
                <w:bCs w:val="1"/>
                <w:color w:val="auto"/>
              </w:rPr>
              <w:t>COMMON STOCKHOLDERS: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WEIGHTED AVERAGE SHARES OF COMMON STOCK</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OUTSTANDING:</w:t>
            </w: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109,285,727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119,456,516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111,070,395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119,897,626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113,881,690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129,859,728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116,959,041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130,750,392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b w:val="1"/>
                <w:bCs w:val="1"/>
                <w:color w:val="auto"/>
              </w:rPr>
              <w:t>NET INCOME PER SHARE OF COMMON STOCK:</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7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ind w:left="500"/>
              <w:spacing w:after="0"/>
              <w:rPr>
                <w:sz w:val="20"/>
                <w:szCs w:val="20"/>
                <w:color w:val="auto"/>
              </w:rPr>
            </w:pPr>
            <w:r>
              <w:rPr>
                <w:rFonts w:ascii="Arial" w:cs="Arial" w:eastAsia="Arial" w:hAnsi="Arial"/>
                <w:sz w:val="18"/>
                <w:szCs w:val="18"/>
                <w:color w:val="auto"/>
              </w:rPr>
              <w:t>Diluted</w:t>
            </w: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48,196</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108,725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218,185</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418,765</w:t>
            </w:r>
          </w:p>
        </w:tc>
        <w:tc>
          <w:tcPr>
            <w:tcW w:w="120" w:type="dxa"/>
            <w:vAlign w:val="bottom"/>
            <w:shd w:val="clear" w:color="auto" w:fill="CFF0FC"/>
          </w:tcPr>
          <w:p>
            <w:pPr>
              <w:spacing w:after="0"/>
              <w:rPr>
                <w:sz w:val="19"/>
                <w:szCs w:val="19"/>
                <w:color w:val="auto"/>
              </w:rPr>
            </w:pPr>
          </w:p>
        </w:tc>
      </w:tr>
      <w:tr>
        <w:trPr>
          <w:trHeight w:val="205"/>
        </w:trPr>
        <w:tc>
          <w:tcPr>
            <w:tcW w:w="664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64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(26,760)</w:t>
            </w: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(8,676)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(30,033)</w:t>
            </w: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(34,783)</w:t>
            </w: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gain (net of tax expense (benefit) of $(1,607)</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$214 for the three months ended September 30, 2019</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2018, respectively, and $1,113 and $618</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nine months ended September 30, 2019 and 2018,</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11,911</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120" w:type="dxa"/>
            <w:vAlign w:val="bottom"/>
            <w:shd w:val="clear" w:color="auto" w:fill="CFF0FC"/>
          </w:tcPr>
          <w:p>
            <w:pPr>
              <w:spacing w:after="0"/>
              <w:rPr>
                <w:sz w:val="20"/>
                <w:szCs w:val="20"/>
                <w:color w:val="auto"/>
              </w:rPr>
            </w:pPr>
          </w:p>
        </w:tc>
      </w:tr>
      <w:tr>
        <w:trPr>
          <w:trHeight w:val="215"/>
        </w:trPr>
        <w:tc>
          <w:tcPr>
            <w:tcW w:w="664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tcPr>
          <w:p>
            <w:pPr>
              <w:ind w:left="640"/>
              <w:spacing w:after="0"/>
              <w:rPr>
                <w:sz w:val="20"/>
                <w:szCs w:val="20"/>
                <w:color w:val="auto"/>
              </w:rPr>
            </w:pPr>
            <w:r>
              <w:rPr>
                <w:rFonts w:ascii="Arial" w:cs="Arial" w:eastAsia="Arial" w:hAnsi="Arial"/>
                <w:sz w:val="18"/>
                <w:szCs w:val="18"/>
                <w:color w:val="auto"/>
              </w:rPr>
              <w:t>tax expense of $172 and $264 for the three months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tcPr>
          <w:p>
            <w:pPr>
              <w:ind w:left="640"/>
              <w:spacing w:after="0"/>
              <w:rPr>
                <w:sz w:val="20"/>
                <w:szCs w:val="20"/>
                <w:color w:val="auto"/>
              </w:rPr>
            </w:pPr>
            <w:r>
              <w:rPr>
                <w:rFonts w:ascii="Arial" w:cs="Arial" w:eastAsia="Arial" w:hAnsi="Arial"/>
                <w:sz w:val="18"/>
                <w:szCs w:val="18"/>
                <w:color w:val="auto"/>
              </w:rPr>
              <w:t>ended September 30, 2019 and 2018, respectively,</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tcPr>
          <w:p>
            <w:pPr>
              <w:ind w:left="640"/>
              <w:spacing w:after="0"/>
              <w:rPr>
                <w:sz w:val="20"/>
                <w:szCs w:val="20"/>
                <w:color w:val="auto"/>
              </w:rPr>
            </w:pPr>
            <w:r>
              <w:rPr>
                <w:rFonts w:ascii="Arial" w:cs="Arial" w:eastAsia="Arial" w:hAnsi="Arial"/>
                <w:sz w:val="18"/>
                <w:szCs w:val="18"/>
                <w:color w:val="auto"/>
              </w:rPr>
              <w:t>and $524 and $948 for the nine months ended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64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September 30, 2019 and 2018, respectively)</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2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120" w:type="dxa"/>
            <w:vAlign w:val="bottom"/>
            <w:tcBorders>
              <w:bottom w:val="single" w:sz="8" w:color="CFF0FC"/>
            </w:tcBorders>
          </w:tcPr>
          <w:p>
            <w:pPr>
              <w:spacing w:after="0"/>
              <w:rPr>
                <w:sz w:val="20"/>
                <w:szCs w:val="20"/>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(16,636)</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(14,803)</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(27,846)</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31,560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101,861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203,382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390,919</w:t>
            </w:r>
          </w:p>
        </w:tc>
        <w:tc>
          <w:tcPr>
            <w:tcW w:w="120" w:type="dxa"/>
            <w:vAlign w:val="bottom"/>
          </w:tcPr>
          <w:p>
            <w:pPr>
              <w:spacing w:after="0"/>
              <w:rPr>
                <w:sz w:val="19"/>
                <w:szCs w:val="19"/>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2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8,662</w:t>
            </w:r>
          </w:p>
        </w:tc>
        <w:tc>
          <w:tcPr>
            <w:tcW w:w="2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w:t>
            </w:r>
          </w:p>
        </w:tc>
        <w:tc>
          <w:tcPr>
            <w:tcW w:w="120" w:type="dxa"/>
            <w:vAlign w:val="bottom"/>
            <w:shd w:val="clear" w:color="auto" w:fill="CFF0FC"/>
          </w:tcPr>
          <w:p>
            <w:pPr>
              <w:spacing w:after="0"/>
              <w:rPr>
                <w:sz w:val="20"/>
                <w:szCs w:val="20"/>
                <w:color w:val="auto"/>
              </w:rPr>
            </w:pPr>
          </w:p>
        </w:tc>
      </w:tr>
      <w:tr>
        <w:trPr>
          <w:trHeight w:val="205"/>
        </w:trPr>
        <w:tc>
          <w:tcPr>
            <w:tcW w:w="664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640" w:type="dxa"/>
            <w:vAlign w:val="bottom"/>
          </w:tcPr>
          <w:p>
            <w:pPr>
              <w:ind w:left="140"/>
              <w:spacing w:after="0"/>
              <w:rPr>
                <w:sz w:val="20"/>
                <w:szCs w:val="20"/>
                <w:color w:val="auto"/>
              </w:rPr>
            </w:pPr>
            <w:r>
              <w:rPr>
                <w:rFonts w:ascii="Arial" w:cs="Arial" w:eastAsia="Arial" w:hAnsi="Arial"/>
                <w:sz w:val="18"/>
                <w:szCs w:val="18"/>
                <w:b w:val="1"/>
                <w:bCs w:val="1"/>
                <w:color w:val="auto"/>
              </w:rPr>
              <w:t>LAZARD LTD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30,067</w:t>
            </w:r>
          </w:p>
        </w:tc>
        <w:tc>
          <w:tcPr>
            <w:tcW w:w="220" w:type="dxa"/>
            <w:vAlign w:val="bottom"/>
          </w:tcPr>
          <w:p>
            <w:pPr>
              <w:spacing w:after="0"/>
              <w:rPr>
                <w:sz w:val="20"/>
                <w:szCs w:val="20"/>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100,208</w:t>
            </w:r>
          </w:p>
        </w:tc>
        <w:tc>
          <w:tcPr>
            <w:tcW w:w="140" w:type="dxa"/>
            <w:vAlign w:val="bottom"/>
          </w:tcPr>
          <w:p>
            <w:pPr>
              <w:spacing w:after="0"/>
              <w:rPr>
                <w:sz w:val="20"/>
                <w:szCs w:val="20"/>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194,720</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385,882</w:t>
            </w:r>
          </w:p>
        </w:tc>
        <w:tc>
          <w:tcPr>
            <w:tcW w:w="12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5140"/>
        <w:spacing w:after="0"/>
        <w:rPr>
          <w:sz w:val="20"/>
          <w:szCs w:val="20"/>
          <w:color w:val="auto"/>
        </w:rPr>
      </w:pPr>
      <w:r>
        <w:rPr>
          <w:rFonts w:ascii="Arial" w:cs="Arial" w:eastAsia="Arial" w:hAnsi="Arial"/>
          <w:sz w:val="18"/>
          <w:szCs w:val="18"/>
          <w:b w:val="1"/>
          <w:bCs w:val="1"/>
          <w:color w:val="auto"/>
        </w:rPr>
        <w:t>LAZARD LTD</w:t>
      </w:r>
    </w:p>
    <w:p>
      <w:pPr>
        <w:spacing w:after="0" w:line="104"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gridSpan w:val="5"/>
          </w:tcPr>
          <w:p>
            <w:pPr>
              <w:jc w:val="right"/>
              <w:ind w:right="116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7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60" w:type="dxa"/>
            <w:vAlign w:val="bottom"/>
            <w:gridSpan w:val="5"/>
          </w:tcPr>
          <w:p>
            <w:pPr>
              <w:jc w:val="right"/>
              <w:ind w:right="134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716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218,185</w:t>
            </w:r>
          </w:p>
        </w:tc>
        <w:tc>
          <w:tcPr>
            <w:tcW w:w="28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418,765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24,857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25,303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Noncash lease expense</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40,268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Amortization of deferred expenses and share-based incentive compensation</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317,111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294,380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and other acquisition-related (benefits) costs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(13,468)</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Deferred tax provision (benefit)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(6,413)</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extinguishment of debt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160" w:type="dxa"/>
            <w:vAlign w:val="bottom"/>
          </w:tcPr>
          <w:p>
            <w:pPr>
              <w:ind w:left="260"/>
              <w:spacing w:after="0"/>
              <w:rPr>
                <w:sz w:val="20"/>
                <w:szCs w:val="20"/>
                <w:color w:val="auto"/>
              </w:rPr>
            </w:pPr>
            <w:r>
              <w:rPr>
                <w:rFonts w:ascii="Arial" w:cs="Arial" w:eastAsia="Arial" w:hAnsi="Arial"/>
                <w:sz w:val="16"/>
                <w:szCs w:val="16"/>
                <w:color w:val="auto"/>
              </w:rPr>
              <w:t>(Increase) decrease in operating assets and increase (decrease) in</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60" w:type="dxa"/>
            <w:vAlign w:val="bottom"/>
          </w:tcPr>
          <w:p>
            <w:pPr>
              <w:ind w:left="380"/>
              <w:spacing w:after="0"/>
              <w:rPr>
                <w:sz w:val="20"/>
                <w:szCs w:val="20"/>
                <w:color w:val="auto"/>
              </w:rPr>
            </w:pPr>
            <w:r>
              <w:rPr>
                <w:rFonts w:ascii="Arial" w:cs="Arial" w:eastAsia="Arial" w:hAnsi="Arial"/>
                <w:sz w:val="16"/>
                <w:szCs w:val="16"/>
                <w:color w:val="auto"/>
              </w:rPr>
              <w:t>operating liabilities: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Receivables-net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(82,161)</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Investments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43,559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(184,542)</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(128,562)</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(144,592)</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(213,501)</w:t>
            </w: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(56,035)</w:t>
            </w:r>
          </w:p>
        </w:tc>
        <w:tc>
          <w:tcPr>
            <w:tcW w:w="0" w:type="dxa"/>
            <w:vAlign w:val="bottom"/>
          </w:tcPr>
          <w:p>
            <w:pPr>
              <w:spacing w:after="0"/>
              <w:rPr>
                <w:sz w:val="1"/>
                <w:szCs w:val="1"/>
                <w:color w:val="auto"/>
              </w:rPr>
            </w:pPr>
          </w:p>
        </w:tc>
      </w:tr>
      <w:tr>
        <w:trPr>
          <w:trHeight w:val="213"/>
        </w:trPr>
        <w:tc>
          <w:tcPr>
            <w:tcW w:w="71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7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318,409</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291,460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Additions to property</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(40,669)</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(39,343)</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Disposals of property</w:t>
            </w:r>
          </w:p>
        </w:tc>
        <w:tc>
          <w:tcPr>
            <w:tcW w:w="7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used in investing activities</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(40,571)</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(37,978)</w:t>
            </w: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Issuance of senior debt, net of expenses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492,032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490,970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Customer deposits, net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345,394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Contributions from noncontrolling interests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1,193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for:</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Senior debt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(255,746)</w:t>
            </w: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(255,543)</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(8,913)</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(10,232)</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Payments under tax receivable agreement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(23,687)</w:t>
            </w: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(31,897)</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 of Class A common stock</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(430,281)</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(306,591)</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Class A common stock dividends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(205,559)</w:t>
            </w: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(307,850)</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Settlement of share-based incentive compensation</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(96,956)</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(109,485)</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(6,144)</w:t>
            </w: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(5,566)</w:t>
            </w:r>
          </w:p>
        </w:tc>
        <w:tc>
          <w:tcPr>
            <w:tcW w:w="0" w:type="dxa"/>
            <w:vAlign w:val="bottom"/>
          </w:tcPr>
          <w:p>
            <w:pPr>
              <w:spacing w:after="0"/>
              <w:rPr>
                <w:sz w:val="1"/>
                <w:szCs w:val="1"/>
                <w:color w:val="auto"/>
              </w:rPr>
            </w:pPr>
          </w:p>
        </w:tc>
      </w:tr>
      <w:tr>
        <w:trPr>
          <w:trHeight w:val="20"/>
        </w:trPr>
        <w:tc>
          <w:tcPr>
            <w:tcW w:w="716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financing activities</w:t>
            </w:r>
          </w:p>
        </w:tc>
        <w:tc>
          <w:tcPr>
            <w:tcW w:w="7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60" w:type="dxa"/>
            <w:vAlign w:val="bottom"/>
            <w:vMerge w:val="continue"/>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(188,667)</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(455,681)</w:t>
            </w:r>
          </w:p>
        </w:tc>
        <w:tc>
          <w:tcPr>
            <w:tcW w:w="0" w:type="dxa"/>
            <w:vAlign w:val="bottom"/>
          </w:tcPr>
          <w:p>
            <w:pPr>
              <w:spacing w:after="0"/>
              <w:rPr>
                <w:sz w:val="1"/>
                <w:szCs w:val="1"/>
                <w:color w:val="auto"/>
              </w:rPr>
            </w:pPr>
          </w:p>
        </w:tc>
      </w:tr>
      <w:tr>
        <w:trPr>
          <w:trHeight w:val="196"/>
        </w:trPr>
        <w:tc>
          <w:tcPr>
            <w:tcW w:w="7160" w:type="dxa"/>
            <w:vAlign w:val="bottom"/>
          </w:tcPr>
          <w:p>
            <w:pPr>
              <w:spacing w:after="0"/>
              <w:rPr>
                <w:sz w:val="20"/>
                <w:szCs w:val="20"/>
                <w:color w:val="auto"/>
              </w:rPr>
            </w:pPr>
            <w:r>
              <w:rPr>
                <w:rFonts w:ascii="Arial" w:cs="Arial" w:eastAsia="Arial" w:hAnsi="Arial"/>
                <w:sz w:val="16"/>
                <w:szCs w:val="16"/>
                <w:b w:val="1"/>
                <w:bCs w:val="1"/>
                <w:color w:val="auto"/>
              </w:rPr>
              <w:t>EFFECT OF EXCHANGE RATE CHANGES ON CASH AND CASH EQUIVALENTS AND</w:t>
            </w:r>
          </w:p>
        </w:tc>
        <w:tc>
          <w:tcPr>
            <w:tcW w:w="7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b w:val="1"/>
                <w:bCs w:val="1"/>
                <w:color w:val="auto"/>
              </w:rPr>
              <w:t>RESTRICTED CASH</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(92,487)</w:t>
            </w: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(66,355)</w:t>
            </w:r>
          </w:p>
        </w:tc>
        <w:tc>
          <w:tcPr>
            <w:tcW w:w="0" w:type="dxa"/>
            <w:vAlign w:val="bottom"/>
          </w:tcPr>
          <w:p>
            <w:pPr>
              <w:spacing w:after="0"/>
              <w:rPr>
                <w:sz w:val="1"/>
                <w:szCs w:val="1"/>
                <w:color w:val="auto"/>
              </w:rPr>
            </w:pPr>
          </w:p>
        </w:tc>
      </w:tr>
      <w:tr>
        <w:trPr>
          <w:trHeight w:val="199"/>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DECREASE IN CASH AND CASH EQUIVALENTS AND</w:t>
            </w:r>
          </w:p>
        </w:tc>
        <w:tc>
          <w:tcPr>
            <w:tcW w:w="7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RESTRICTED CASH</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(3,316)</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(268,554)</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AND CASH EQUIVALENTS AND RESTRICTED CASH—January 1</w:t>
            </w:r>
          </w:p>
        </w:tc>
        <w:tc>
          <w:tcPr>
            <w:tcW w:w="7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2,291,885</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2,454,806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AND RESTRICTED CASH—September 30</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2,288,569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2,186,252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71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120"/>
              <w:spacing w:after="0"/>
              <w:rPr>
                <w:sz w:val="20"/>
                <w:szCs w:val="20"/>
                <w:color w:val="auto"/>
              </w:rPr>
            </w:pPr>
            <w:r>
              <w:rPr>
                <w:rFonts w:ascii="Arial" w:cs="Arial" w:eastAsia="Arial" w:hAnsi="Arial"/>
                <w:sz w:val="16"/>
                <w:szCs w:val="16"/>
                <w:b w:val="1"/>
                <w:bCs w:val="1"/>
                <w:color w:val="auto"/>
              </w:rPr>
              <w:t>WITHIN THE CONDENSED CONSOLIDATED STATEMENTS OF FINANCIAL</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120"/>
              <w:spacing w:after="0"/>
              <w:rPr>
                <w:sz w:val="20"/>
                <w:szCs w:val="20"/>
                <w:color w:val="auto"/>
              </w:rPr>
            </w:pPr>
            <w:r>
              <w:rPr>
                <w:rFonts w:ascii="Arial" w:cs="Arial" w:eastAsia="Arial" w:hAnsi="Arial"/>
                <w:sz w:val="16"/>
                <w:szCs w:val="16"/>
                <w:b w:val="1"/>
                <w:bCs w:val="1"/>
                <w:color w:val="auto"/>
              </w:rPr>
              <w:t>CONDITION:</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96"/>
              </w:rPr>
              <w:t>September 30,</w:t>
            </w:r>
          </w:p>
        </w:tc>
        <w:tc>
          <w:tcPr>
            <w:tcW w:w="20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9"/>
        </w:trPr>
        <w:tc>
          <w:tcPr>
            <w:tcW w:w="716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959,001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1,246,537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Deposits with banks and short-term investments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1,289,288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1,006,969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7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40,280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Arial" w:cs="Arial" w:eastAsia="Arial" w:hAnsi="Arial"/>
                <w:sz w:val="16"/>
                <w:szCs w:val="16"/>
                <w:b w:val="1"/>
                <w:bCs w:val="1"/>
                <w:color w:val="auto"/>
              </w:rPr>
              <w:t>TOTAL CASH AND CASH EQUIVALENTS AND RESTRICTED CASH</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2,288,569</w:t>
            </w:r>
          </w:p>
        </w:tc>
        <w:tc>
          <w:tcPr>
            <w:tcW w:w="2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2,291,885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8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Additional</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3"/>
              </w:rPr>
              <w:t>Comprehensive</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Lazard Ltd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Total</w:t>
            </w:r>
          </w:p>
        </w:tc>
      </w:tr>
      <w:tr>
        <w:trPr>
          <w:trHeight w:val="161"/>
        </w:trPr>
        <w:tc>
          <w:tcPr>
            <w:tcW w:w="19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Paid-In-</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Income (Loss),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Held By Subsidiaries</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rPr>
              <w:t>Noncontrolling</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Stockholders’</w:t>
            </w:r>
          </w:p>
        </w:tc>
      </w:tr>
      <w:tr>
        <w:trPr>
          <w:trHeight w:val="156"/>
        </w:trPr>
        <w:tc>
          <w:tcPr>
            <w:tcW w:w="1960" w:type="dxa"/>
            <w:vAlign w:val="bottom"/>
          </w:tcPr>
          <w:p>
            <w:pPr>
              <w:spacing w:after="0"/>
              <w:rPr>
                <w:sz w:val="13"/>
                <w:szCs w:val="13"/>
                <w:color w:val="auto"/>
              </w:rPr>
            </w:pPr>
          </w:p>
        </w:tc>
        <w:tc>
          <w:tcPr>
            <w:tcW w:w="900" w:type="dxa"/>
            <w:vAlign w:val="bottom"/>
            <w:tcBorders>
              <w:top w:val="single" w:sz="8" w:color="auto"/>
            </w:tcBorders>
          </w:tcPr>
          <w:p>
            <w:pPr>
              <w:jc w:val="right"/>
              <w:ind w:right="186"/>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183"/>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4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89"/>
              </w:rPr>
              <w:t>Capital</w:t>
            </w:r>
          </w:p>
        </w:tc>
        <w:tc>
          <w:tcPr>
            <w:tcW w:w="90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8"/>
              </w:rPr>
              <w:t>Net of Tax</w:t>
            </w:r>
          </w:p>
        </w:tc>
        <w:tc>
          <w:tcPr>
            <w:tcW w:w="100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2"/>
              </w:rPr>
              <w:t>Interests</w:t>
            </w:r>
          </w:p>
        </w:tc>
        <w:tc>
          <w:tcPr>
            <w:tcW w:w="20" w:type="dxa"/>
            <w:vAlign w:val="bottom"/>
          </w:tcPr>
          <w:p>
            <w:pPr>
              <w:spacing w:after="0"/>
              <w:rPr>
                <w:sz w:val="13"/>
                <w:szCs w:val="13"/>
                <w:color w:val="auto"/>
              </w:rPr>
            </w:pPr>
          </w:p>
        </w:tc>
        <w:tc>
          <w:tcPr>
            <w:tcW w:w="8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3"/>
              </w:rPr>
              <w:t>Equity</w:t>
            </w:r>
          </w:p>
        </w:tc>
      </w:tr>
      <w:tr>
        <w:trPr>
          <w:trHeight w:val="210"/>
        </w:trPr>
        <w:tc>
          <w:tcPr>
            <w:tcW w:w="1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July 1, 2018</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1,298</w:t>
            </w:r>
          </w:p>
        </w:tc>
        <w:tc>
          <w:tcPr>
            <w:tcW w:w="16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$ 652,013</w:t>
            </w:r>
          </w:p>
        </w:tc>
        <w:tc>
          <w:tcPr>
            <w:tcW w:w="1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$ 1,092,381</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(253,499)</w:t>
            </w:r>
          </w:p>
        </w:tc>
        <w:tc>
          <w:tcPr>
            <w:tcW w:w="1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9,719,895</w:t>
            </w: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(437,031)</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$ 1,055,162</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57,942</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$ 1,113,104</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1960" w:type="dxa"/>
            <w:vAlign w:val="bottom"/>
          </w:tcPr>
          <w:p>
            <w:pPr>
              <w:spacing w:after="0"/>
              <w:rPr>
                <w:sz w:val="20"/>
                <w:szCs w:val="20"/>
                <w:color w:val="auto"/>
              </w:rPr>
            </w:pPr>
            <w:r>
              <w:rPr>
                <w:rFonts w:ascii="Arial" w:cs="Arial" w:eastAsia="Arial" w:hAnsi="Arial"/>
                <w:sz w:val="16"/>
                <w:szCs w:val="16"/>
                <w:color w:val="auto"/>
              </w:rPr>
              <w:t>Comprehensive income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60" w:type="dxa"/>
            <w:vAlign w:val="bottom"/>
          </w:tcPr>
          <w:p>
            <w:pPr>
              <w:spacing w:after="0"/>
              <w:rPr>
                <w:sz w:val="20"/>
                <w:szCs w:val="20"/>
                <w:color w:val="auto"/>
              </w:rPr>
            </w:pPr>
            <w:r>
              <w:rPr>
                <w:rFonts w:ascii="Arial" w:cs="Arial" w:eastAsia="Arial" w:hAnsi="Arial"/>
                <w:sz w:val="16"/>
                <w:szCs w:val="16"/>
                <w:color w:val="auto"/>
              </w:rPr>
              <w:t>(loss):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19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107,074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107,074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1,651</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108,725</w:t>
            </w:r>
          </w:p>
        </w:tc>
        <w:tc>
          <w:tcPr>
            <w:tcW w:w="100" w:type="dxa"/>
            <w:vAlign w:val="bottom"/>
            <w:shd w:val="clear" w:color="auto" w:fill="CFF0FC"/>
          </w:tcPr>
          <w:p>
            <w:pPr>
              <w:spacing w:after="0"/>
              <w:rPr>
                <w:sz w:val="19"/>
                <w:szCs w:val="19"/>
                <w:color w:val="auto"/>
              </w:rPr>
            </w:pPr>
          </w:p>
        </w:tc>
      </w:tr>
      <w:tr>
        <w:trPr>
          <w:trHeight w:val="206"/>
        </w:trPr>
        <w:tc>
          <w:tcPr>
            <w:tcW w:w="1960" w:type="dxa"/>
            <w:vAlign w:val="bottom"/>
          </w:tcPr>
          <w:p>
            <w:pPr>
              <w:ind w:left="140"/>
              <w:spacing w:after="0"/>
              <w:rPr>
                <w:sz w:val="20"/>
                <w:szCs w:val="20"/>
                <w:color w:val="auto"/>
              </w:rPr>
            </w:pPr>
            <w:r>
              <w:rPr>
                <w:rFonts w:ascii="Arial" w:cs="Arial" w:eastAsia="Arial" w:hAnsi="Arial"/>
                <w:sz w:val="16"/>
                <w:szCs w:val="16"/>
                <w:color w:val="auto"/>
              </w:rPr>
              <w:t>Other comprehensive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60" w:type="dxa"/>
            <w:vAlign w:val="bottom"/>
          </w:tcPr>
          <w:p>
            <w:pPr>
              <w:ind w:left="140"/>
              <w:spacing w:after="0"/>
              <w:rPr>
                <w:sz w:val="20"/>
                <w:szCs w:val="20"/>
                <w:color w:val="auto"/>
              </w:rPr>
            </w:pPr>
            <w:r>
              <w:rPr>
                <w:rFonts w:ascii="Arial" w:cs="Arial" w:eastAsia="Arial" w:hAnsi="Arial"/>
                <w:sz w:val="16"/>
                <w:szCs w:val="16"/>
                <w:color w:val="auto"/>
              </w:rPr>
              <w:t>income (loss) - net of</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60" w:type="dxa"/>
            <w:vAlign w:val="bottom"/>
          </w:tcPr>
          <w:p>
            <w:pPr>
              <w:ind w:left="260"/>
              <w:spacing w:after="0"/>
              <w:rPr>
                <w:sz w:val="20"/>
                <w:szCs w:val="20"/>
                <w:color w:val="auto"/>
              </w:rPr>
            </w:pPr>
            <w:r>
              <w:rPr>
                <w:rFonts w:ascii="Arial" w:cs="Arial" w:eastAsia="Arial" w:hAnsi="Arial"/>
                <w:sz w:val="16"/>
                <w:szCs w:val="16"/>
                <w:color w:val="auto"/>
              </w:rPr>
              <w:t>tax</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(6,866)</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(6,866)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(6,864)</w:t>
            </w:r>
          </w:p>
        </w:tc>
      </w:tr>
      <w:tr>
        <w:trPr>
          <w:trHeight w:val="209"/>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w w:val="96"/>
              </w:rPr>
              <w:t>Amortization of share-based</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48,356</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48,356</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48,356</w:t>
            </w:r>
          </w:p>
        </w:tc>
        <w:tc>
          <w:tcPr>
            <w:tcW w:w="100" w:type="dxa"/>
            <w:vAlign w:val="bottom"/>
            <w:shd w:val="clear" w:color="auto" w:fill="CFF0FC"/>
          </w:tcPr>
          <w:p>
            <w:pPr>
              <w:spacing w:after="0"/>
              <w:rPr>
                <w:sz w:val="18"/>
                <w:szCs w:val="18"/>
                <w:color w:val="auto"/>
              </w:rPr>
            </w:pPr>
          </w:p>
        </w:tc>
      </w:tr>
      <w:tr>
        <w:trPr>
          <w:trHeight w:val="213"/>
        </w:trPr>
        <w:tc>
          <w:tcPr>
            <w:tcW w:w="1960" w:type="dxa"/>
            <w:vAlign w:val="bottom"/>
          </w:tcPr>
          <w:p>
            <w:pPr>
              <w:spacing w:after="0"/>
              <w:rPr>
                <w:sz w:val="20"/>
                <w:szCs w:val="20"/>
                <w:color w:val="auto"/>
              </w:rPr>
            </w:pPr>
            <w:r>
              <w:rPr>
                <w:rFonts w:ascii="Arial" w:cs="Arial" w:eastAsia="Arial" w:hAnsi="Arial"/>
                <w:sz w:val="16"/>
                <w:szCs w:val="16"/>
                <w:color w:val="auto"/>
              </w:rPr>
              <w:t>Dividend equivalents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5,296</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(6,124)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(828)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(828)</w:t>
            </w:r>
          </w:p>
        </w:tc>
      </w:tr>
      <w:tr>
        <w:trPr>
          <w:trHeight w:val="209"/>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($0.44 per share)</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(52,622)</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(52,622)</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(52,622)</w:t>
            </w:r>
          </w:p>
        </w:tc>
      </w:tr>
      <w:tr>
        <w:trPr>
          <w:trHeight w:val="206"/>
        </w:trPr>
        <w:tc>
          <w:tcPr>
            <w:tcW w:w="1960" w:type="dxa"/>
            <w:vAlign w:val="bottom"/>
          </w:tcPr>
          <w:p>
            <w:pPr>
              <w:spacing w:after="0"/>
              <w:rPr>
                <w:sz w:val="20"/>
                <w:szCs w:val="20"/>
                <w:color w:val="auto"/>
              </w:rPr>
            </w:pPr>
            <w:r>
              <w:rPr>
                <w:rFonts w:ascii="Arial" w:cs="Arial" w:eastAsia="Arial" w:hAnsi="Arial"/>
                <w:sz w:val="16"/>
                <w:szCs w:val="16"/>
                <w:color w:val="auto"/>
              </w:rPr>
              <w:t>Purchase of Class A</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60" w:type="dxa"/>
            <w:vAlign w:val="bottom"/>
          </w:tcPr>
          <w:p>
            <w:pPr>
              <w:spacing w:after="0"/>
              <w:rPr>
                <w:sz w:val="20"/>
                <w:szCs w:val="20"/>
                <w:color w:val="auto"/>
              </w:rPr>
            </w:pPr>
            <w:r>
              <w:rPr>
                <w:rFonts w:ascii="Arial" w:cs="Arial" w:eastAsia="Arial" w:hAnsi="Arial"/>
                <w:sz w:val="16"/>
                <w:szCs w:val="16"/>
                <w:color w:val="auto"/>
              </w:rPr>
              <w:t>common stock</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1,650,263</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(82,796)</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(82,796)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(82,796)</w:t>
            </w:r>
          </w:p>
        </w:tc>
      </w:tr>
      <w:tr>
        <w:trPr>
          <w:trHeight w:val="209"/>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Delivery of Class A</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common stock in</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8"/>
              </w:rPr>
              <w:t>compensation and related</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tax expense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$233</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(4,060)</w:t>
            </w: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(76,904)</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3,560</w:t>
            </w: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(500)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(500)</w:t>
            </w:r>
          </w:p>
        </w:tc>
      </w:tr>
      <w:tr>
        <w:trPr>
          <w:trHeight w:val="206"/>
        </w:trPr>
        <w:tc>
          <w:tcPr>
            <w:tcW w:w="196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60" w:type="dxa"/>
            <w:vAlign w:val="bottom"/>
          </w:tcPr>
          <w:p>
            <w:pPr>
              <w:spacing w:after="0"/>
              <w:rPr>
                <w:sz w:val="20"/>
                <w:szCs w:val="20"/>
                <w:color w:val="auto"/>
              </w:rPr>
            </w:pPr>
            <w:r>
              <w:rPr>
                <w:rFonts w:ascii="Arial" w:cs="Arial" w:eastAsia="Arial" w:hAnsi="Arial"/>
                <w:sz w:val="16"/>
                <w:szCs w:val="16"/>
                <w:color w:val="auto"/>
              </w:rPr>
              <w:t>related equity</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6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issuable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(including related</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FF0FC"/>
          </w:tcPr>
          <w:p>
            <w:pPr>
              <w:spacing w:after="0"/>
              <w:rPr>
                <w:sz w:val="18"/>
                <w:szCs w:val="18"/>
                <w:color w:val="auto"/>
              </w:rPr>
            </w:pPr>
          </w:p>
        </w:tc>
      </w:tr>
      <w:tr>
        <w:trPr>
          <w:trHeight w:val="213"/>
        </w:trPr>
        <w:tc>
          <w:tcPr>
            <w:tcW w:w="1960" w:type="dxa"/>
            <w:vAlign w:val="bottom"/>
          </w:tcPr>
          <w:p>
            <w:pPr>
              <w:ind w:left="260"/>
              <w:spacing w:after="0"/>
              <w:rPr>
                <w:sz w:val="20"/>
                <w:szCs w:val="20"/>
                <w:color w:val="auto"/>
              </w:rPr>
            </w:pPr>
            <w:r>
              <w:rPr>
                <w:rFonts w:ascii="Arial" w:cs="Arial" w:eastAsia="Arial" w:hAnsi="Arial"/>
                <w:sz w:val="16"/>
                <w:szCs w:val="16"/>
                <w:color w:val="auto"/>
              </w:rPr>
              <w:t>Dividend equivalents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9"/>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Distributions to</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w w:val="99"/>
              </w:rPr>
              <w:t>noncontrolling interests, net</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(5,135)</w:t>
            </w: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(5,135)</w:t>
            </w:r>
          </w:p>
        </w:tc>
      </w:tr>
      <w:tr>
        <w:trPr>
          <w:trHeight w:val="196"/>
        </w:trPr>
        <w:tc>
          <w:tcPr>
            <w:tcW w:w="1960" w:type="dxa"/>
            <w:vAlign w:val="bottom"/>
          </w:tcPr>
          <w:p>
            <w:pPr>
              <w:spacing w:after="0"/>
              <w:rPr>
                <w:sz w:val="20"/>
                <w:szCs w:val="20"/>
                <w:color w:val="auto"/>
              </w:rPr>
            </w:pPr>
            <w:r>
              <w:rPr>
                <w:rFonts w:ascii="Arial" w:cs="Arial" w:eastAsia="Arial" w:hAnsi="Arial"/>
                <w:sz w:val="16"/>
                <w:szCs w:val="16"/>
                <w:b w:val="1"/>
                <w:bCs w:val="1"/>
                <w:color w:val="auto"/>
              </w:rPr>
              <w:t>Balance - September 30,</w:t>
            </w: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960" w:type="dxa"/>
            <w:vAlign w:val="bottom"/>
          </w:tcPr>
          <w:p>
            <w:pPr>
              <w:spacing w:after="0"/>
              <w:rPr>
                <w:sz w:val="20"/>
                <w:szCs w:val="20"/>
                <w:color w:val="auto"/>
              </w:rPr>
            </w:pPr>
            <w:r>
              <w:rPr>
                <w:rFonts w:ascii="Arial" w:cs="Arial" w:eastAsia="Arial" w:hAnsi="Arial"/>
                <w:sz w:val="16"/>
                <w:szCs w:val="16"/>
                <w:b w:val="1"/>
                <w:bCs w:val="1"/>
                <w:color w:val="auto"/>
              </w:rPr>
              <w:t>2018</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34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w w:val="89"/>
              </w:rPr>
              <w:t>1,298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w w:val="89"/>
              </w:rPr>
              <w:t>$ 701,849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87"/>
              </w:rPr>
              <w:t>$ 1,140,610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(260,365)</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9"/>
              </w:rPr>
              <w:t>11,293,254</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0"/>
              </w:rPr>
              <w:t>$ (516,267)</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$ 1,067,125</w:t>
            </w:r>
          </w:p>
        </w:tc>
        <w:tc>
          <w:tcPr>
            <w:tcW w:w="12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54,460</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$ 1,121,585</w:t>
            </w:r>
          </w:p>
        </w:tc>
        <w:tc>
          <w:tcPr>
            <w:tcW w:w="100" w:type="dxa"/>
            <w:vAlign w:val="bottom"/>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8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Additional</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3"/>
              </w:rPr>
              <w:t>Comprehensive</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Lazard Ltd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Total</w:t>
            </w:r>
          </w:p>
        </w:tc>
      </w:tr>
      <w:tr>
        <w:trPr>
          <w:trHeight w:val="161"/>
        </w:trPr>
        <w:tc>
          <w:tcPr>
            <w:tcW w:w="194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Paid-In-</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Income (Loss),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Held By Subsidiaries</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Noncontrolling</w:t>
            </w: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Stockholders’</w:t>
            </w:r>
          </w:p>
        </w:tc>
      </w:tr>
      <w:tr>
        <w:trPr>
          <w:trHeight w:val="156"/>
        </w:trPr>
        <w:tc>
          <w:tcPr>
            <w:tcW w:w="1940" w:type="dxa"/>
            <w:vAlign w:val="bottom"/>
          </w:tcPr>
          <w:p>
            <w:pPr>
              <w:spacing w:after="0"/>
              <w:rPr>
                <w:sz w:val="13"/>
                <w:szCs w:val="13"/>
                <w:color w:val="auto"/>
              </w:rPr>
            </w:pPr>
          </w:p>
        </w:tc>
        <w:tc>
          <w:tcPr>
            <w:tcW w:w="900" w:type="dxa"/>
            <w:vAlign w:val="bottom"/>
            <w:tcBorders>
              <w:top w:val="single" w:sz="8" w:color="auto"/>
            </w:tcBorders>
          </w:tcPr>
          <w:p>
            <w:pPr>
              <w:jc w:val="right"/>
              <w:ind w:right="186"/>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183"/>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89"/>
              </w:rPr>
              <w:t>Capital</w:t>
            </w:r>
          </w:p>
        </w:tc>
        <w:tc>
          <w:tcPr>
            <w:tcW w:w="90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8"/>
              </w:rPr>
              <w:t>Net of Tax</w:t>
            </w:r>
          </w:p>
        </w:tc>
        <w:tc>
          <w:tcPr>
            <w:tcW w:w="100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3"/>
                <w:szCs w:val="13"/>
                <w:color w:val="auto"/>
              </w:rPr>
            </w:pPr>
          </w:p>
        </w:tc>
        <w:tc>
          <w:tcPr>
            <w:tcW w:w="90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Equity</w:t>
            </w:r>
          </w:p>
        </w:tc>
      </w:tr>
      <w:tr>
        <w:trPr>
          <w:trHeight w:val="210"/>
        </w:trPr>
        <w:tc>
          <w:tcPr>
            <w:tcW w:w="1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w w:val="98"/>
              </w:rPr>
              <w:t>Balance - January 1, 2018</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4"/>
              </w:rPr>
              <w:t>1,298</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788,140</w:t>
            </w:r>
          </w:p>
        </w:tc>
        <w:tc>
          <w:tcPr>
            <w:tcW w:w="1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$ 1,080,413</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(232,518)</w:t>
            </w:r>
          </w:p>
        </w:tc>
        <w:tc>
          <w:tcPr>
            <w:tcW w:w="1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10,747,142</w:t>
            </w: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(437,530)</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$ 1,199,803</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59,102</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$ 1,258,905</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Comprehensive income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40" w:type="dxa"/>
            <w:vAlign w:val="bottom"/>
          </w:tcPr>
          <w:p>
            <w:pPr>
              <w:spacing w:after="0"/>
              <w:rPr>
                <w:sz w:val="20"/>
                <w:szCs w:val="20"/>
                <w:color w:val="auto"/>
              </w:rPr>
            </w:pPr>
            <w:r>
              <w:rPr>
                <w:rFonts w:ascii="Arial" w:cs="Arial" w:eastAsia="Arial" w:hAnsi="Arial"/>
                <w:sz w:val="16"/>
                <w:szCs w:val="16"/>
                <w:color w:val="auto"/>
              </w:rPr>
              <w:t>(loss):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19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413,729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413,729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5,036</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418,765</w:t>
            </w:r>
          </w:p>
        </w:tc>
        <w:tc>
          <w:tcPr>
            <w:tcW w:w="100" w:type="dxa"/>
            <w:vAlign w:val="bottom"/>
            <w:shd w:val="clear" w:color="auto" w:fill="CFF0FC"/>
          </w:tcPr>
          <w:p>
            <w:pPr>
              <w:spacing w:after="0"/>
              <w:rPr>
                <w:sz w:val="19"/>
                <w:szCs w:val="19"/>
                <w:color w:val="auto"/>
              </w:rPr>
            </w:pPr>
          </w:p>
        </w:tc>
      </w:tr>
      <w:tr>
        <w:trPr>
          <w:trHeight w:val="206"/>
        </w:trPr>
        <w:tc>
          <w:tcPr>
            <w:tcW w:w="1940" w:type="dxa"/>
            <w:vAlign w:val="bottom"/>
          </w:tcPr>
          <w:p>
            <w:pPr>
              <w:ind w:left="140"/>
              <w:spacing w:after="0"/>
              <w:rPr>
                <w:sz w:val="20"/>
                <w:szCs w:val="20"/>
                <w:color w:val="auto"/>
              </w:rPr>
            </w:pPr>
            <w:r>
              <w:rPr>
                <w:rFonts w:ascii="Arial" w:cs="Arial" w:eastAsia="Arial" w:hAnsi="Arial"/>
                <w:sz w:val="16"/>
                <w:szCs w:val="16"/>
                <w:color w:val="auto"/>
              </w:rPr>
              <w:t>Other comprehensive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40" w:type="dxa"/>
            <w:vAlign w:val="bottom"/>
          </w:tcPr>
          <w:p>
            <w:pPr>
              <w:ind w:left="140"/>
              <w:spacing w:after="0"/>
              <w:rPr>
                <w:sz w:val="20"/>
                <w:szCs w:val="20"/>
                <w:color w:val="auto"/>
              </w:rPr>
            </w:pPr>
            <w:r>
              <w:rPr>
                <w:rFonts w:ascii="Arial" w:cs="Arial" w:eastAsia="Arial" w:hAnsi="Arial"/>
                <w:sz w:val="16"/>
                <w:szCs w:val="16"/>
                <w:color w:val="auto"/>
              </w:rPr>
              <w:t>income (loss) - net of</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40" w:type="dxa"/>
            <w:vAlign w:val="bottom"/>
          </w:tcPr>
          <w:p>
            <w:pPr>
              <w:ind w:left="260"/>
              <w:spacing w:after="0"/>
              <w:rPr>
                <w:sz w:val="20"/>
                <w:szCs w:val="20"/>
                <w:color w:val="auto"/>
              </w:rPr>
            </w:pPr>
            <w:r>
              <w:rPr>
                <w:rFonts w:ascii="Arial" w:cs="Arial" w:eastAsia="Arial" w:hAnsi="Arial"/>
                <w:sz w:val="16"/>
                <w:szCs w:val="16"/>
                <w:color w:val="auto"/>
              </w:rPr>
              <w:t>tax</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(27,847)</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(27,847)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(27,846)</w:t>
            </w:r>
          </w:p>
        </w:tc>
      </w:tr>
      <w:tr>
        <w:trPr>
          <w:trHeight w:val="209"/>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w w:val="95"/>
              </w:rPr>
              <w:t>Amortization of share-based</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218,186</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218,186</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218,186</w:t>
            </w:r>
          </w:p>
        </w:tc>
        <w:tc>
          <w:tcPr>
            <w:tcW w:w="100" w:type="dxa"/>
            <w:vAlign w:val="bottom"/>
            <w:shd w:val="clear" w:color="auto" w:fill="CFF0FC"/>
          </w:tcPr>
          <w:p>
            <w:pPr>
              <w:spacing w:after="0"/>
              <w:rPr>
                <w:sz w:val="18"/>
                <w:szCs w:val="18"/>
                <w:color w:val="auto"/>
              </w:rPr>
            </w:pPr>
          </w:p>
        </w:tc>
      </w:tr>
      <w:tr>
        <w:trPr>
          <w:trHeight w:val="213"/>
        </w:trPr>
        <w:tc>
          <w:tcPr>
            <w:tcW w:w="1940" w:type="dxa"/>
            <w:vAlign w:val="bottom"/>
          </w:tcPr>
          <w:p>
            <w:pPr>
              <w:spacing w:after="0"/>
              <w:rPr>
                <w:sz w:val="20"/>
                <w:szCs w:val="20"/>
                <w:color w:val="auto"/>
              </w:rPr>
            </w:pPr>
            <w:r>
              <w:rPr>
                <w:rFonts w:ascii="Arial" w:cs="Arial" w:eastAsia="Arial" w:hAnsi="Arial"/>
                <w:sz w:val="16"/>
                <w:szCs w:val="16"/>
                <w:color w:val="auto"/>
              </w:rPr>
              <w:t>Dividend equivalents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38,923</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(44,432)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(5,509)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(5,509)</w:t>
            </w:r>
          </w:p>
        </w:tc>
      </w:tr>
      <w:tr>
        <w:trPr>
          <w:trHeight w:val="209"/>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($2.59 per share)</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(307,850)</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(307,850)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(307,850)</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Purchase of Class A</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40" w:type="dxa"/>
            <w:vAlign w:val="bottom"/>
          </w:tcPr>
          <w:p>
            <w:pPr>
              <w:spacing w:after="0"/>
              <w:rPr>
                <w:sz w:val="20"/>
                <w:szCs w:val="20"/>
                <w:color w:val="auto"/>
              </w:rPr>
            </w:pPr>
            <w:r>
              <w:rPr>
                <w:rFonts w:ascii="Arial" w:cs="Arial" w:eastAsia="Arial" w:hAnsi="Arial"/>
                <w:sz w:val="16"/>
                <w:szCs w:val="16"/>
                <w:color w:val="auto"/>
              </w:rPr>
              <w:t>common stock</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5,797,789</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(306,591)</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(306,591)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(306,591)</w:t>
            </w:r>
          </w:p>
        </w:tc>
      </w:tr>
      <w:tr>
        <w:trPr>
          <w:trHeight w:val="209"/>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Delivery of Class A</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common stock in</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4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7"/>
              </w:rPr>
              <w:t>compensation and related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tax expense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$7,745</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3"/>
              </w:rPr>
              <w:t>(345,023)</w:t>
            </w: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(5,249,819)</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227,793</w:t>
            </w: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(117,230)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(117,230)</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6"/>
                <w:szCs w:val="16"/>
                <w:color w:val="auto"/>
              </w:rPr>
              <w:t>related equity</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4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Delivery of Class A</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1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(61)</w:t>
            </w: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(1,858)</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06"/>
        </w:trPr>
        <w:tc>
          <w:tcPr>
            <w:tcW w:w="1940" w:type="dxa"/>
            <w:vAlign w:val="bottom"/>
          </w:tcPr>
          <w:p>
            <w:pPr>
              <w:ind w:left="260"/>
              <w:spacing w:after="0"/>
              <w:rPr>
                <w:sz w:val="20"/>
                <w:szCs w:val="20"/>
                <w:color w:val="auto"/>
              </w:rPr>
            </w:pPr>
            <w:r>
              <w:rPr>
                <w:rFonts w:ascii="Arial" w:cs="Arial" w:eastAsia="Arial" w:hAnsi="Arial"/>
                <w:sz w:val="16"/>
                <w:szCs w:val="16"/>
                <w:color w:val="auto"/>
              </w:rPr>
              <w:t>Class A common stock</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40" w:type="dxa"/>
            <w:vAlign w:val="bottom"/>
          </w:tcPr>
          <w:p>
            <w:pPr>
              <w:ind w:left="260"/>
              <w:spacing w:after="0"/>
              <w:rPr>
                <w:sz w:val="20"/>
                <w:szCs w:val="20"/>
                <w:color w:val="auto"/>
              </w:rPr>
            </w:pPr>
            <w:r>
              <w:rPr>
                <w:rFonts w:ascii="Arial" w:cs="Arial" w:eastAsia="Arial" w:hAnsi="Arial"/>
                <w:sz w:val="16"/>
                <w:szCs w:val="16"/>
                <w:color w:val="auto"/>
              </w:rPr>
              <w:t>issuable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40" w:type="dxa"/>
            <w:vAlign w:val="bottom"/>
          </w:tcPr>
          <w:p>
            <w:pPr>
              <w:ind w:left="380"/>
              <w:spacing w:after="0"/>
              <w:rPr>
                <w:sz w:val="20"/>
                <w:szCs w:val="20"/>
                <w:color w:val="auto"/>
              </w:rPr>
            </w:pPr>
            <w:r>
              <w:rPr>
                <w:rFonts w:ascii="Arial" w:cs="Arial" w:eastAsia="Arial" w:hAnsi="Arial"/>
                <w:sz w:val="16"/>
                <w:szCs w:val="16"/>
                <w:color w:val="auto"/>
              </w:rPr>
              <w:t>(including related</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40" w:type="dxa"/>
            <w:vAlign w:val="bottom"/>
          </w:tcPr>
          <w:p>
            <w:pPr>
              <w:ind w:left="260"/>
              <w:spacing w:after="0"/>
              <w:rPr>
                <w:sz w:val="20"/>
                <w:szCs w:val="20"/>
                <w:color w:val="auto"/>
              </w:rPr>
            </w:pPr>
            <w:r>
              <w:rPr>
                <w:rFonts w:ascii="Arial" w:cs="Arial" w:eastAsia="Arial" w:hAnsi="Arial"/>
                <w:sz w:val="16"/>
                <w:szCs w:val="16"/>
                <w:color w:val="auto"/>
              </w:rPr>
              <w:t>amortization)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434</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r>
      <w:tr>
        <w:trPr>
          <w:trHeight w:val="219"/>
        </w:trPr>
        <w:tc>
          <w:tcPr>
            <w:tcW w:w="1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 equivalents</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(1,250)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Distributions to</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40" w:type="dxa"/>
            <w:vAlign w:val="bottom"/>
          </w:tcPr>
          <w:p>
            <w:pPr>
              <w:ind w:left="120"/>
              <w:spacing w:after="0"/>
              <w:rPr>
                <w:sz w:val="20"/>
                <w:szCs w:val="20"/>
                <w:color w:val="auto"/>
              </w:rPr>
            </w:pPr>
            <w:r>
              <w:rPr>
                <w:rFonts w:ascii="Arial" w:cs="Arial" w:eastAsia="Arial" w:hAnsi="Arial"/>
                <w:sz w:val="16"/>
                <w:szCs w:val="16"/>
                <w:color w:val="auto"/>
              </w:rPr>
              <w:t>net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(9,679)</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(9,679)</w:t>
            </w:r>
          </w:p>
        </w:tc>
      </w:tr>
      <w:tr>
        <w:trPr>
          <w:trHeight w:val="199"/>
        </w:trPr>
        <w:tc>
          <w:tcPr>
            <w:tcW w:w="1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September 30,</w:t>
            </w: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1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2018</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36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4"/>
              </w:rPr>
              <w:t>1,298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701,849</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$ 1,140,610</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(260,365)</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11,293,254</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90"/>
              </w:rPr>
              <w:t>$ (516,267)</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$ 1,067,125</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54,460</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$ 1,121,585</w:t>
            </w:r>
          </w:p>
        </w:tc>
        <w:tc>
          <w:tcPr>
            <w:tcW w:w="100" w:type="dxa"/>
            <w:vAlign w:val="bottom"/>
            <w:shd w:val="clear" w:color="auto" w:fill="CFF0FC"/>
          </w:tcPr>
          <w:p>
            <w:pPr>
              <w:spacing w:after="0"/>
              <w:rPr>
                <w:sz w:val="18"/>
                <w:szCs w:val="18"/>
                <w:color w:val="auto"/>
              </w:rPr>
            </w:pPr>
          </w:p>
        </w:tc>
      </w:tr>
      <w:tr>
        <w:trPr>
          <w:trHeight w:val="20"/>
        </w:trPr>
        <w:tc>
          <w:tcPr>
            <w:tcW w:w="19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tbl>
      <w:tblPr>
        <w:tblLayout w:type="fixed"/>
        <w:tblInd w:w="0" w:type="dxa"/>
        <w:tblCellMar>
          <w:top w:w="0" w:type="dxa"/>
          <w:left w:w="0" w:type="dxa"/>
          <w:bottom w:w="0" w:type="dxa"/>
          <w:right w:w="0" w:type="dxa"/>
        </w:tblCellMar>
      </w:tblPr>
      <w:tr>
        <w:trPr>
          <w:trHeight w:val="158"/>
        </w:trPr>
        <w:tc>
          <w:tcPr>
            <w:tcW w:w="2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180"/>
              <w:spacing w:after="0" w:line="159" w:lineRule="exact"/>
              <w:rPr>
                <w:sz w:val="20"/>
                <w:szCs w:val="20"/>
                <w:color w:val="auto"/>
              </w:rPr>
            </w:pPr>
            <w:r>
              <w:rPr>
                <w:rFonts w:ascii="Arial" w:cs="Arial" w:eastAsia="Arial" w:hAnsi="Arial"/>
                <w:sz w:val="14"/>
                <w:szCs w:val="14"/>
                <w:b w:val="1"/>
                <w:bCs w:val="1"/>
                <w:color w:val="auto"/>
                <w:w w:val="88"/>
              </w:rPr>
              <w:t>Accumulated</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18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Additional</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Comprehensive</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Lazard Ltd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61"/>
        </w:trPr>
        <w:tc>
          <w:tcPr>
            <w:tcW w:w="2040" w:type="dxa"/>
            <w:vAlign w:val="bottom"/>
          </w:tcPr>
          <w:p>
            <w:pPr>
              <w:spacing w:after="0"/>
              <w:rPr>
                <w:sz w:val="14"/>
                <w:szCs w:val="14"/>
                <w:color w:val="auto"/>
              </w:rPr>
            </w:pPr>
          </w:p>
        </w:tc>
        <w:tc>
          <w:tcPr>
            <w:tcW w:w="1620" w:type="dxa"/>
            <w:vAlign w:val="bottom"/>
            <w:gridSpan w:val="4"/>
          </w:tcPr>
          <w:p>
            <w:pPr>
              <w:jc w:val="right"/>
              <w:ind w:right="303"/>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Paid-In-</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Retained</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Income (Loss),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Held By Subsidiaries</w:t>
            </w: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Noncontrolling</w:t>
            </w: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Stockholders’</w:t>
            </w:r>
          </w:p>
        </w:tc>
      </w:tr>
      <w:tr>
        <w:trPr>
          <w:trHeight w:val="156"/>
        </w:trPr>
        <w:tc>
          <w:tcPr>
            <w:tcW w:w="2040" w:type="dxa"/>
            <w:vAlign w:val="bottom"/>
          </w:tcPr>
          <w:p>
            <w:pPr>
              <w:spacing w:after="0"/>
              <w:rPr>
                <w:sz w:val="13"/>
                <w:szCs w:val="13"/>
                <w:color w:val="auto"/>
              </w:rPr>
            </w:pPr>
          </w:p>
        </w:tc>
        <w:tc>
          <w:tcPr>
            <w:tcW w:w="900" w:type="dxa"/>
            <w:vAlign w:val="bottom"/>
            <w:tcBorders>
              <w:top w:val="single" w:sz="8" w:color="auto"/>
            </w:tcBorders>
          </w:tcPr>
          <w:p>
            <w:pPr>
              <w:jc w:val="right"/>
              <w:ind w:right="186"/>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83"/>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4"/>
              </w:rPr>
              <w:t>Capital</w:t>
            </w:r>
          </w:p>
        </w:tc>
        <w:tc>
          <w:tcPr>
            <w:tcW w:w="9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9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Net of Tax</w:t>
            </w:r>
          </w:p>
        </w:tc>
        <w:tc>
          <w:tcPr>
            <w:tcW w:w="100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r>
      <w:tr>
        <w:trPr>
          <w:trHeight w:val="210"/>
        </w:trPr>
        <w:tc>
          <w:tcPr>
            <w:tcW w:w="2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July 1, 2019</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14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$ 582,342</w:t>
            </w:r>
          </w:p>
        </w:tc>
        <w:tc>
          <w:tcPr>
            <w:tcW w:w="1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5"/>
              </w:rPr>
              <w:t>$ 1,179,901</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(271,984)</w:t>
            </w:r>
          </w:p>
        </w:tc>
        <w:tc>
          <w:tcPr>
            <w:tcW w:w="16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21,761,253</w:t>
            </w: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(872,755)</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618,802</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99,076</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717,878</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2040" w:type="dxa"/>
            <w:vAlign w:val="bottom"/>
          </w:tcPr>
          <w:p>
            <w:pPr>
              <w:spacing w:after="0"/>
              <w:rPr>
                <w:sz w:val="20"/>
                <w:szCs w:val="20"/>
                <w:color w:val="auto"/>
              </w:rPr>
            </w:pPr>
            <w:r>
              <w:rPr>
                <w:rFonts w:ascii="Arial" w:cs="Arial" w:eastAsia="Arial" w:hAnsi="Arial"/>
                <w:sz w:val="16"/>
                <w:szCs w:val="16"/>
                <w:color w:val="auto"/>
              </w:rPr>
              <w:t>Comprehensive income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6"/>
                <w:szCs w:val="16"/>
                <w:color w:val="auto"/>
              </w:rPr>
              <w:t>(loss):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46,704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48,196</w:t>
            </w:r>
          </w:p>
        </w:tc>
        <w:tc>
          <w:tcPr>
            <w:tcW w:w="100" w:type="dxa"/>
            <w:vAlign w:val="bottom"/>
            <w:shd w:val="clear" w:color="auto" w:fill="CFF0FC"/>
          </w:tcPr>
          <w:p>
            <w:pPr>
              <w:spacing w:after="0"/>
              <w:rPr>
                <w:sz w:val="19"/>
                <w:szCs w:val="19"/>
                <w:color w:val="auto"/>
              </w:rPr>
            </w:pPr>
          </w:p>
        </w:tc>
      </w:tr>
      <w:tr>
        <w:trPr>
          <w:trHeight w:val="206"/>
        </w:trPr>
        <w:tc>
          <w:tcPr>
            <w:tcW w:w="2040" w:type="dxa"/>
            <w:vAlign w:val="bottom"/>
          </w:tcPr>
          <w:p>
            <w:pPr>
              <w:ind w:left="260"/>
              <w:spacing w:after="0"/>
              <w:rPr>
                <w:sz w:val="20"/>
                <w:szCs w:val="20"/>
                <w:color w:val="auto"/>
              </w:rPr>
            </w:pPr>
            <w:r>
              <w:rPr>
                <w:rFonts w:ascii="Arial" w:cs="Arial" w:eastAsia="Arial" w:hAnsi="Arial"/>
                <w:sz w:val="16"/>
                <w:szCs w:val="16"/>
                <w:color w:val="auto"/>
              </w:rPr>
              <w:t>Other comprehensive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40" w:type="dxa"/>
            <w:vAlign w:val="bottom"/>
          </w:tcPr>
          <w:p>
            <w:pPr>
              <w:ind w:left="260"/>
              <w:spacing w:after="0"/>
              <w:rPr>
                <w:sz w:val="20"/>
                <w:szCs w:val="20"/>
                <w:color w:val="auto"/>
              </w:rPr>
            </w:pPr>
            <w:r>
              <w:rPr>
                <w:rFonts w:ascii="Arial" w:cs="Arial" w:eastAsia="Arial" w:hAnsi="Arial"/>
                <w:sz w:val="16"/>
                <w:szCs w:val="16"/>
                <w:color w:val="auto"/>
              </w:rPr>
              <w:t>income (loss) - net of</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40" w:type="dxa"/>
            <w:vAlign w:val="bottom"/>
          </w:tcPr>
          <w:p>
            <w:pPr>
              <w:ind w:left="380"/>
              <w:spacing w:after="0"/>
              <w:rPr>
                <w:sz w:val="20"/>
                <w:szCs w:val="20"/>
                <w:color w:val="auto"/>
              </w:rPr>
            </w:pPr>
            <w:r>
              <w:rPr>
                <w:rFonts w:ascii="Arial" w:cs="Arial" w:eastAsia="Arial" w:hAnsi="Arial"/>
                <w:sz w:val="16"/>
                <w:szCs w:val="16"/>
                <w:color w:val="auto"/>
              </w:rPr>
              <w:t>tax</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(16,637)</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(16,637)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(16,636)</w:t>
            </w:r>
          </w:p>
        </w:tc>
      </w:tr>
      <w:tr>
        <w:trPr>
          <w:trHeight w:val="209"/>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share-based</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95,162</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95,162</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(29,973)</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65,189</w:t>
            </w:r>
          </w:p>
        </w:tc>
        <w:tc>
          <w:tcPr>
            <w:tcW w:w="100" w:type="dxa"/>
            <w:vAlign w:val="bottom"/>
            <w:shd w:val="clear" w:color="auto" w:fill="CFF0FC"/>
          </w:tcPr>
          <w:p>
            <w:pPr>
              <w:spacing w:after="0"/>
              <w:rPr>
                <w:sz w:val="18"/>
                <w:szCs w:val="18"/>
                <w:color w:val="auto"/>
              </w:rPr>
            </w:pPr>
          </w:p>
        </w:tc>
      </w:tr>
      <w:tr>
        <w:trPr>
          <w:trHeight w:val="213"/>
        </w:trPr>
        <w:tc>
          <w:tcPr>
            <w:tcW w:w="2040" w:type="dxa"/>
            <w:vAlign w:val="bottom"/>
          </w:tcPr>
          <w:p>
            <w:pPr>
              <w:spacing w:after="0"/>
              <w:rPr>
                <w:sz w:val="20"/>
                <w:szCs w:val="20"/>
                <w:color w:val="auto"/>
              </w:rPr>
            </w:pPr>
            <w:r>
              <w:rPr>
                <w:rFonts w:ascii="Arial" w:cs="Arial" w:eastAsia="Arial" w:hAnsi="Arial"/>
                <w:sz w:val="16"/>
                <w:szCs w:val="16"/>
                <w:color w:val="auto"/>
              </w:rPr>
              <w:t>Dividend equivalents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4,350</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(7,852)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(3,502)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(1,440)</w:t>
            </w:r>
          </w:p>
        </w:tc>
      </w:tr>
      <w:tr>
        <w:trPr>
          <w:trHeight w:val="209"/>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($0.47 per share)</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(50,235)</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(50,235)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(50,235)</w:t>
            </w:r>
          </w:p>
        </w:tc>
      </w:tr>
      <w:tr>
        <w:trPr>
          <w:trHeight w:val="206"/>
        </w:trPr>
        <w:tc>
          <w:tcPr>
            <w:tcW w:w="2040" w:type="dxa"/>
            <w:vAlign w:val="bottom"/>
          </w:tcPr>
          <w:p>
            <w:pPr>
              <w:spacing w:after="0"/>
              <w:rPr>
                <w:sz w:val="20"/>
                <w:szCs w:val="20"/>
                <w:color w:val="auto"/>
              </w:rPr>
            </w:pPr>
            <w:r>
              <w:rPr>
                <w:rFonts w:ascii="Arial" w:cs="Arial" w:eastAsia="Arial" w:hAnsi="Arial"/>
                <w:sz w:val="16"/>
                <w:szCs w:val="16"/>
                <w:color w:val="auto"/>
                <w:w w:val="95"/>
              </w:rPr>
              <w:t>Purchase of Class A common</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6"/>
                <w:szCs w:val="16"/>
                <w:color w:val="auto"/>
              </w:rPr>
              <w:t>stock</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2,231,940</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(78,569)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(78,569)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(78,569)</w:t>
            </w:r>
          </w:p>
        </w:tc>
      </w:tr>
      <w:tr>
        <w:trPr>
          <w:trHeight w:val="209"/>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Delivery of Class A common</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stock in</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related</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tax benefit</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$61</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(2,510)</w:t>
            </w: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(42,611)</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(806)</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(806)</w:t>
            </w:r>
          </w:p>
        </w:tc>
      </w:tr>
      <w:tr>
        <w:trPr>
          <w:trHeight w:val="206"/>
        </w:trPr>
        <w:tc>
          <w:tcPr>
            <w:tcW w:w="204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related equity</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4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issuable</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(including related</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2,523</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2,523</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2,523</w:t>
            </w:r>
          </w:p>
        </w:tc>
        <w:tc>
          <w:tcPr>
            <w:tcW w:w="100" w:type="dxa"/>
            <w:vAlign w:val="bottom"/>
            <w:shd w:val="clear" w:color="auto" w:fill="CFF0FC"/>
          </w:tcPr>
          <w:p>
            <w:pPr>
              <w:spacing w:after="0"/>
              <w:rPr>
                <w:sz w:val="18"/>
                <w:szCs w:val="18"/>
                <w:color w:val="auto"/>
              </w:rPr>
            </w:pPr>
          </w:p>
        </w:tc>
      </w:tr>
      <w:tr>
        <w:trPr>
          <w:trHeight w:val="213"/>
        </w:trPr>
        <w:tc>
          <w:tcPr>
            <w:tcW w:w="2040" w:type="dxa"/>
            <w:vAlign w:val="bottom"/>
          </w:tcPr>
          <w:p>
            <w:pPr>
              <w:ind w:left="260"/>
              <w:spacing w:after="0"/>
              <w:rPr>
                <w:sz w:val="20"/>
                <w:szCs w:val="20"/>
                <w:color w:val="auto"/>
              </w:rPr>
            </w:pPr>
            <w:r>
              <w:rPr>
                <w:rFonts w:ascii="Arial" w:cs="Arial" w:eastAsia="Arial" w:hAnsi="Arial"/>
                <w:sz w:val="16"/>
                <w:szCs w:val="16"/>
                <w:color w:val="auto"/>
              </w:rPr>
              <w:t>Dividend equivalents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136</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9"/>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Distributions to</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noncontrolling interests,</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(1,102)</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(1,102)</w:t>
            </w:r>
          </w:p>
        </w:tc>
      </w:tr>
      <w:tr>
        <w:trPr>
          <w:trHeight w:val="213"/>
        </w:trPr>
        <w:tc>
          <w:tcPr>
            <w:tcW w:w="2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Consolidation of VIEs</w:t>
            </w: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w:t>
            </w: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w:t>
            </w:r>
          </w:p>
        </w:tc>
        <w:tc>
          <w:tcPr>
            <w:tcW w:w="100" w:type="dxa"/>
            <w:vAlign w:val="bottom"/>
            <w:tcBorders>
              <w:bottom w:val="single" w:sz="8" w:color="CFF0FC"/>
            </w:tcBorders>
          </w:tcPr>
          <w:p>
            <w:pPr>
              <w:spacing w:after="0"/>
              <w:rPr>
                <w:sz w:val="18"/>
                <w:szCs w:val="18"/>
                <w:color w:val="auto"/>
              </w:rPr>
            </w:pPr>
          </w:p>
        </w:tc>
      </w:tr>
      <w:tr>
        <w:trPr>
          <w:trHeight w:val="199"/>
        </w:trPr>
        <w:tc>
          <w:tcPr>
            <w:tcW w:w="2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 September 30,</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2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2019</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$ 682,003</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5"/>
              </w:rPr>
              <w:t>$ 1,168,382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(288,621)</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23,950,582</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90"/>
              </w:rPr>
              <w:t>$ (949,620)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613,442</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72,779</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686,221</w:t>
            </w:r>
          </w:p>
        </w:tc>
        <w:tc>
          <w:tcPr>
            <w:tcW w:w="100" w:type="dxa"/>
            <w:vAlign w:val="bottom"/>
            <w:shd w:val="clear" w:color="auto" w:fill="CFF0FC"/>
          </w:tcPr>
          <w:p>
            <w:pPr>
              <w:spacing w:after="0"/>
              <w:rPr>
                <w:sz w:val="18"/>
                <w:szCs w:val="18"/>
                <w:color w:val="auto"/>
              </w:rPr>
            </w:pPr>
          </w:p>
        </w:tc>
      </w:tr>
      <w:tr>
        <w:trPr>
          <w:trHeight w:val="20"/>
        </w:trPr>
        <w:tc>
          <w:tcPr>
            <w:tcW w:w="20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8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Additional</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Comprehensive</w:t>
            </w: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Lazard Ltd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61"/>
        </w:trPr>
        <w:tc>
          <w:tcPr>
            <w:tcW w:w="2000" w:type="dxa"/>
            <w:vAlign w:val="bottom"/>
          </w:tcPr>
          <w:p>
            <w:pPr>
              <w:spacing w:after="0"/>
              <w:rPr>
                <w:sz w:val="14"/>
                <w:szCs w:val="14"/>
                <w:color w:val="auto"/>
              </w:rPr>
            </w:pPr>
          </w:p>
        </w:tc>
        <w:tc>
          <w:tcPr>
            <w:tcW w:w="178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Paid-In-</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Retained</w:t>
            </w: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Income (Loss),</w:t>
            </w: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Held By Subsidiaries</w:t>
            </w: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Noncontrolling</w:t>
            </w: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Stockholders’</w:t>
            </w:r>
          </w:p>
        </w:tc>
      </w:tr>
      <w:tr>
        <w:trPr>
          <w:trHeight w:val="156"/>
        </w:trPr>
        <w:tc>
          <w:tcPr>
            <w:tcW w:w="2000" w:type="dxa"/>
            <w:vAlign w:val="bottom"/>
          </w:tcPr>
          <w:p>
            <w:pPr>
              <w:spacing w:after="0"/>
              <w:rPr>
                <w:sz w:val="13"/>
                <w:szCs w:val="13"/>
                <w:color w:val="auto"/>
              </w:rPr>
            </w:pPr>
          </w:p>
        </w:tc>
        <w:tc>
          <w:tcPr>
            <w:tcW w:w="920" w:type="dxa"/>
            <w:vAlign w:val="bottom"/>
            <w:tcBorders>
              <w:top w:val="single" w:sz="8" w:color="auto"/>
            </w:tcBorders>
          </w:tcPr>
          <w:p>
            <w:pPr>
              <w:jc w:val="right"/>
              <w:ind w:right="206"/>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163"/>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4"/>
              </w:rPr>
              <w:t>Capital</w:t>
            </w:r>
          </w:p>
        </w:tc>
        <w:tc>
          <w:tcPr>
            <w:tcW w:w="9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9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88"/>
              </w:rPr>
              <w:t>Net of Tax</w:t>
            </w:r>
          </w:p>
        </w:tc>
        <w:tc>
          <w:tcPr>
            <w:tcW w:w="98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r>
      <w:tr>
        <w:trPr>
          <w:trHeight w:val="210"/>
        </w:trPr>
        <w:tc>
          <w:tcPr>
            <w:tcW w:w="2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2019</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750,692</w:t>
            </w:r>
          </w:p>
        </w:tc>
        <w:tc>
          <w:tcPr>
            <w:tcW w:w="1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$ 1,195,563</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(273,818)</w:t>
            </w:r>
          </w:p>
        </w:tc>
        <w:tc>
          <w:tcPr>
            <w:tcW w:w="16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17,574,805</w:t>
            </w:r>
          </w:p>
        </w:tc>
        <w:tc>
          <w:tcPr>
            <w:tcW w:w="1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(756,884)</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916,851</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53,242</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970,093</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rPr>
              <w:t>Comprehensive income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(loss):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209,523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209,523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218,185</w:t>
            </w:r>
          </w:p>
        </w:tc>
        <w:tc>
          <w:tcPr>
            <w:tcW w:w="100" w:type="dxa"/>
            <w:vAlign w:val="bottom"/>
            <w:shd w:val="clear" w:color="auto" w:fill="CFF0FC"/>
          </w:tcPr>
          <w:p>
            <w:pPr>
              <w:spacing w:after="0"/>
              <w:rPr>
                <w:sz w:val="19"/>
                <w:szCs w:val="19"/>
                <w:color w:val="auto"/>
              </w:rPr>
            </w:pPr>
          </w:p>
        </w:tc>
      </w:tr>
      <w:tr>
        <w:trPr>
          <w:trHeight w:val="206"/>
        </w:trPr>
        <w:tc>
          <w:tcPr>
            <w:tcW w:w="2000" w:type="dxa"/>
            <w:vAlign w:val="bottom"/>
          </w:tcPr>
          <w:p>
            <w:pPr>
              <w:ind w:left="260"/>
              <w:spacing w:after="0"/>
              <w:rPr>
                <w:sz w:val="20"/>
                <w:szCs w:val="20"/>
                <w:color w:val="auto"/>
              </w:rPr>
            </w:pPr>
            <w:r>
              <w:rPr>
                <w:rFonts w:ascii="Arial" w:cs="Arial" w:eastAsia="Arial" w:hAnsi="Arial"/>
                <w:sz w:val="16"/>
                <w:szCs w:val="16"/>
                <w:color w:val="auto"/>
              </w:rPr>
              <w:t>Other comprehensive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ind w:left="260"/>
              <w:spacing w:after="0"/>
              <w:rPr>
                <w:sz w:val="20"/>
                <w:szCs w:val="20"/>
                <w:color w:val="auto"/>
              </w:rPr>
            </w:pPr>
            <w:r>
              <w:rPr>
                <w:rFonts w:ascii="Arial" w:cs="Arial" w:eastAsia="Arial" w:hAnsi="Arial"/>
                <w:sz w:val="16"/>
                <w:szCs w:val="16"/>
                <w:color w:val="auto"/>
              </w:rPr>
              <w:t>loss - net of tax</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(14,803)</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(14,803)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(14,803)</w:t>
            </w: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w w:val="98"/>
              </w:rPr>
              <w:t>Amortization of share-based</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220,364</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220,364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5,908</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226,272</w:t>
            </w:r>
          </w:p>
        </w:tc>
        <w:tc>
          <w:tcPr>
            <w:tcW w:w="100" w:type="dxa"/>
            <w:vAlign w:val="bottom"/>
            <w:shd w:val="clear" w:color="auto" w:fill="CFF0FC"/>
          </w:tcPr>
          <w:p>
            <w:pPr>
              <w:spacing w:after="0"/>
              <w:rPr>
                <w:sz w:val="18"/>
                <w:szCs w:val="18"/>
                <w:color w:val="auto"/>
              </w:rPr>
            </w:pPr>
          </w:p>
        </w:tc>
      </w:tr>
      <w:tr>
        <w:trPr>
          <w:trHeight w:val="213"/>
        </w:trPr>
        <w:tc>
          <w:tcPr>
            <w:tcW w:w="2000" w:type="dxa"/>
            <w:vAlign w:val="bottom"/>
          </w:tcPr>
          <w:p>
            <w:pPr>
              <w:spacing w:after="0"/>
              <w:rPr>
                <w:sz w:val="20"/>
                <w:szCs w:val="20"/>
                <w:color w:val="auto"/>
              </w:rPr>
            </w:pPr>
            <w:r>
              <w:rPr>
                <w:rFonts w:ascii="Arial" w:cs="Arial" w:eastAsia="Arial" w:hAnsi="Arial"/>
                <w:sz w:val="16"/>
                <w:szCs w:val="16"/>
                <w:color w:val="auto"/>
              </w:rPr>
              <w:t>Dividend equivalents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24,492</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(30,613)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(6,121)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(6,121)</w:t>
            </w: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($1.88 per share)</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(205,559)</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(205,559)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(205,559)</w:t>
            </w: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w w:val="93"/>
              </w:rPr>
              <w:t>Purchase of Class A common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11,946,943</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(430,281)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(430,281)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(430,281)</w:t>
            </w: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w w:val="98"/>
              </w:rPr>
              <w:t>Delivery of Class A common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stock in</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related</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tax benefit</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$4,419</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6"/>
              </w:rPr>
              <w:t>(330,082)</w:t>
            </w: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(5,571,166)</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237,545</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(92,537)</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(92,537)</w:t>
            </w: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related equity</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 common stock</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issuable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(including related</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16,005</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16,005</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16,005</w:t>
            </w:r>
          </w:p>
        </w:tc>
        <w:tc>
          <w:tcPr>
            <w:tcW w:w="100" w:type="dxa"/>
            <w:vAlign w:val="bottom"/>
            <w:shd w:val="clear" w:color="auto" w:fill="CFF0FC"/>
          </w:tcPr>
          <w:p>
            <w:pPr>
              <w:spacing w:after="0"/>
              <w:rPr>
                <w:sz w:val="18"/>
                <w:szCs w:val="18"/>
                <w:color w:val="auto"/>
              </w:rPr>
            </w:pPr>
          </w:p>
        </w:tc>
      </w:tr>
      <w:tr>
        <w:trPr>
          <w:trHeight w:val="213"/>
        </w:trPr>
        <w:tc>
          <w:tcPr>
            <w:tcW w:w="2000" w:type="dxa"/>
            <w:vAlign w:val="bottom"/>
          </w:tcPr>
          <w:p>
            <w:pPr>
              <w:ind w:left="260"/>
              <w:spacing w:after="0"/>
              <w:rPr>
                <w:sz w:val="20"/>
                <w:szCs w:val="20"/>
                <w:color w:val="auto"/>
              </w:rPr>
            </w:pPr>
            <w:r>
              <w:rPr>
                <w:rFonts w:ascii="Arial" w:cs="Arial" w:eastAsia="Arial" w:hAnsi="Arial"/>
                <w:sz w:val="16"/>
                <w:szCs w:val="16"/>
                <w:color w:val="auto"/>
              </w:rPr>
              <w:t>Dividend equivalents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532</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Distributions to</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noncontrolling interests,</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(7,720)</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(7,720)</w:t>
            </w:r>
          </w:p>
        </w:tc>
      </w:tr>
      <w:tr>
        <w:trPr>
          <w:trHeight w:val="213"/>
        </w:trPr>
        <w:tc>
          <w:tcPr>
            <w:tcW w:w="2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Consolidation of VIEs</w:t>
            </w: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12,687</w:t>
            </w: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12,687</w:t>
            </w:r>
          </w:p>
        </w:tc>
        <w:tc>
          <w:tcPr>
            <w:tcW w:w="100" w:type="dxa"/>
            <w:vAlign w:val="bottom"/>
            <w:tcBorders>
              <w:bottom w:val="single" w:sz="8" w:color="CFF0FC"/>
            </w:tcBorders>
          </w:tcPr>
          <w:p>
            <w:pPr>
              <w:spacing w:after="0"/>
              <w:rPr>
                <w:sz w:val="18"/>
                <w:szCs w:val="18"/>
                <w:color w:val="auto"/>
              </w:rPr>
            </w:pPr>
          </w:p>
        </w:tc>
      </w:tr>
      <w:tr>
        <w:trPr>
          <w:trHeight w:val="199"/>
        </w:trPr>
        <w:tc>
          <w:tcPr>
            <w:tcW w:w="2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 September 30,</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2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2019</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682,003</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$ 1,168,382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(288,621)</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23,950,582</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90"/>
              </w:rPr>
              <w:t>$ (949,620)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613,442</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72,779</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686,221</w:t>
            </w:r>
          </w:p>
        </w:tc>
        <w:tc>
          <w:tcPr>
            <w:tcW w:w="100" w:type="dxa"/>
            <w:vAlign w:val="bottom"/>
            <w:shd w:val="clear" w:color="auto" w:fill="CFF0FC"/>
          </w:tcPr>
          <w:p>
            <w:pPr>
              <w:spacing w:after="0"/>
              <w:rPr>
                <w:sz w:val="18"/>
                <w:szCs w:val="18"/>
                <w:color w:val="auto"/>
              </w:rPr>
            </w:pPr>
          </w:p>
        </w:tc>
      </w:tr>
      <w:tr>
        <w:trPr>
          <w:trHeight w:val="20"/>
        </w:trPr>
        <w:tc>
          <w:tcPr>
            <w:tcW w:w="20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38"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8"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Lazard Ltd indirectly held 100% of all outstanding Lazard Group common membership interests as of September 30, 2019 and December 31, 2018. Lazard Ltd, through its control of the managing members of Lazard Group, controls Lazard Group, which is governed by an Amended and Restated Operating Agreement dated as of February 4, 2019 (the “Operating Agreement”).</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62" w:lineRule="exact"/>
        <w:rPr>
          <w:sz w:val="20"/>
          <w:szCs w:val="20"/>
          <w:color w:val="auto"/>
        </w:rPr>
      </w:pPr>
    </w:p>
    <w:p>
      <w:pPr>
        <w:ind w:left="900" w:right="10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and</w:t>
      </w:r>
    </w:p>
    <w:p>
      <w:pPr>
        <w:spacing w:after="0" w:line="73"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2018. The accompanying December 31, 2018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and nine month periods ended September 30, 2019 are not indicative of the results to be expected for any future interim or annual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60" w:hanging="379"/>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 (see Note 22).</w:t>
      </w:r>
    </w:p>
    <w:p>
      <w:pPr>
        <w:spacing w:after="0" w:line="18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31"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i w:val="1"/>
          <w:iCs w:val="1"/>
          <w:color w:val="auto"/>
        </w:rPr>
        <w:t>Leases</w:t>
      </w:r>
      <w:r>
        <w:rPr>
          <w:rFonts w:ascii="Arial" w:cs="Arial" w:eastAsia="Arial" w:hAnsi="Arial"/>
          <w:sz w:val="17"/>
          <w:szCs w:val="17"/>
          <w:color w:val="auto"/>
        </w:rPr>
        <w:t>—In February 2016, the Financial Accounting Standards Board (the “FASB”) issued updated guidance for leases.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lessee to (i) recognize a right-of-use asset and a lease liability that is initially measured at the present value of the lease payments, in the condensed consolidated statement of financial condition, (ii) recognize a single lease cost, calculated so that the cost of the lease is allocated over the lease term on a straight-line basis and (iii) classify operating lease related cash payments within operating activities and finance lease related principal cash payments within financing activities (with interest included in interest paid) in the condensed consolidated statement of cash flows.</w:t>
      </w:r>
    </w:p>
    <w:p>
      <w:pPr>
        <w:spacing w:after="0" w:line="173"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The Company adopted the new guidance on January 1, 2019 using the optional transition method, which allows such guidance to be applied initially at the adoption date with a cumulative-effect adjustment and without restating comparative periods. Lazard elected the package of practical expedients, which allows the carry-forward of the prior conclusions on lease definition, classification and initial direct costs related to the existing leases as of the adoption date.</w:t>
      </w:r>
    </w:p>
    <w:p>
      <w:pPr>
        <w:spacing w:after="0" w:line="14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Substantially all of the Company’s existing lease arrangements are operating leases. The adoption of the new guidance on January 1, 2019 resulted in a recognition of $502,000 of operating lease right-of-use assets (“ROU assets”) and $581,000 of operating lease liabilities in the Company’s condensed consolidated statements of financial condition. The operating lease liabilities at January 1, 2019 reflect any remaining lease payments discounted using an incremental borrowing rate (on a collateralized basis) based on the remaining lease term (the “Discount”), as an implicit rate was not readily determinable for any of the Company’s existing operating leases. The operating lease ROU assets are lower than the operating lease liabilities primarily because lease incentives reduce the ROU assets (see Note 9).</w:t>
      </w:r>
    </w:p>
    <w:p>
      <w:pPr>
        <w:spacing w:after="0" w:line="193"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In June 2018, the FASB issued updated guidance to simplify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share-based payment transactions. The new guidance generally requires equity-classified nonemployee share-based payment awards to be measured at the grant date, which is the date at which a grantor and grantee reach a mutual understanding of the key terms and conditions of a share-based payment award. This update generally aligns the accounting for equity-classified share-based payment awards to nonemployees with the measurement date required for employees. The Company adopted the new guidance on January 1, 2019 and its application did not have a material impact on the Company’s financial statements.</w:t>
      </w:r>
    </w:p>
    <w:p>
      <w:pPr>
        <w:spacing w:after="0" w:line="19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In February 2018, the FASB issued updated guidance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tax effects of items in “accumulated other comprehensive income (loss), net of tax” (“AOCI”). Specifically, the new guidance will permit, but not require, a reclassification from AOCI to retained earnings for stranded tax effects resulting from the newly enacted federal corporate income tax rate under the Tax Cuts and Jobs Act of 2017. The amount of the reclassification would be the difference between the historical corporate income tax rate and the newly enacted 21% corporate income tax rate.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Company adopted the new guidance on January 1, 2019 without reclassifying any amounts from AOCI to retained earnings. The application of the guidance did not have a material impact on the Company’s financial statements.</w:t>
      </w:r>
    </w:p>
    <w:p>
      <w:pPr>
        <w:spacing w:after="0" w:line="170"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—In June 2016, the FASB issued new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new guidance is required to be applied using a modified retrospective approach. The Company is currently evaluating the new guidance.</w:t>
      </w:r>
    </w:p>
    <w:p>
      <w:pPr>
        <w:spacing w:after="0" w:line="193"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1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Intangibles—Internal-Use Software: Customer’s Accounting for Implementation Costs Incurred in a Cloud Computing Arrangement that is a Service Contract</w:t>
      </w:r>
      <w:r>
        <w:rPr>
          <w:rFonts w:ascii="Arial" w:cs="Arial" w:eastAsia="Arial" w:hAnsi="Arial"/>
          <w:sz w:val="18"/>
          <w:szCs w:val="18"/>
          <w:color w:val="auto"/>
        </w:rPr>
        <w:t>—In August 2018, the FASB issued updated guidance on the accounting for implementation costs incurred in a cloud computing arrangement.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guidance requires the capitalization of the implementation costs incurred in a cloud computing arrangement to be aligned with the requirements for capitalizing costs incurred to develop or obtain internal-use software. The new guidance is effective for annual and interim reporting periods beginning after December 15, 2019, with early adoption permitted. Upon adoption, the Company may elect to apply the new guidance on either a prospective or retrospective basis. The Company is currently evaluating the new guidance.</w:t>
      </w:r>
    </w:p>
    <w:p>
      <w:pPr>
        <w:spacing w:after="0" w:line="193"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i w:val="1"/>
          <w:iCs w:val="1"/>
          <w:color w:val="auto"/>
        </w:rPr>
        <w:t>Related Party Guidance for Variable Interest Entities</w:t>
      </w:r>
      <w:r>
        <w:rPr>
          <w:rFonts w:ascii="Arial" w:cs="Arial" w:eastAsia="Arial" w:hAnsi="Arial"/>
          <w:sz w:val="16"/>
          <w:szCs w:val="16"/>
          <w:color w:val="auto"/>
        </w:rPr>
        <w:t>—In October 2018, the FASB issued updated guidance that requires consideration of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held through related parties under common control for determining whether fees paid to decision makers and service providers are variable interests. The new guidance is effective for fiscal years and interim periods beginning after December 15, 2019, with early adoption permitted. The amendments are required to be applied retrospectively with a cumulative-effect adjustment. The Company is currently evaluating the new guidance.</w:t>
      </w:r>
    </w:p>
    <w:p>
      <w:pPr>
        <w:spacing w:after="0" w:line="154"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i w:val="1"/>
          <w:iCs w:val="1"/>
          <w:color w:val="auto"/>
        </w:rPr>
        <w:t>Fair Value Measurement: Changes to the Disclosure Requirements for Fair Value Measurement</w:t>
      </w:r>
      <w:r>
        <w:rPr>
          <w:rFonts w:ascii="Arial" w:cs="Arial" w:eastAsia="Arial" w:hAnsi="Arial"/>
          <w:sz w:val="18"/>
          <w:szCs w:val="18"/>
          <w:color w:val="auto"/>
        </w:rPr>
        <w:t>—In August 2018, the FASB issued updated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which modifies the disclosure requirements on fair value measurement. The updated guidance eliminates or modifies various required disclosures under the current guidance and includes additional requirements. The new guidance is effective for annual and interim reporting periods beginning after December 15, 2019, with early adoption permitted. With certain exceptions, the guidance is required to be applied retrospectively. The Company is currently evaluating the new guidance.</w:t>
      </w:r>
    </w:p>
    <w:p>
      <w:pPr>
        <w:spacing w:after="0" w:line="188"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i w:val="1"/>
          <w:iCs w:val="1"/>
          <w:color w:val="auto"/>
        </w:rPr>
        <w:t>Compensation–Retirement Benefits: Changes to the Disclosure Requirements for Defined Benefit Plans</w:t>
      </w:r>
      <w:r>
        <w:rPr>
          <w:rFonts w:ascii="Arial" w:cs="Arial" w:eastAsia="Arial" w:hAnsi="Arial"/>
          <w:sz w:val="18"/>
          <w:szCs w:val="18"/>
          <w:color w:val="auto"/>
        </w:rPr>
        <w:t>—In August 2018, the FASB issued updated</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which modifies the disclosure requirements regarding defined benefit plans and other postretirement plans. The updated guidance eliminates or clarifies certain currently required disclosures and includes additional requirements. The new guidance is effective for annual and interim reporting periods beginning after December 15, 2020, with early adoption permitted. A retrospective application is required. The Company is currently evaluating the new guidance.</w:t>
      </w:r>
    </w:p>
    <w:p>
      <w:pPr>
        <w:spacing w:after="0" w:line="37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b w:val="1"/>
          <w:bCs w:val="1"/>
          <w:i w:val="1"/>
          <w:iCs w:val="1"/>
          <w:color w:val="auto"/>
        </w:rPr>
        <w:t>Investment Banking and Other Advisory Fees</w:t>
      </w:r>
      <w:r>
        <w:rPr>
          <w:rFonts w:ascii="Arial" w:cs="Arial" w:eastAsia="Arial" w:hAnsi="Arial"/>
          <w:sz w:val="18"/>
          <w:szCs w:val="18"/>
          <w:color w:val="auto"/>
        </w:rPr>
        <w:t>—Fees for Financial Advisory services are recorded when: (i) a contract with a client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identified, (ii) the performance obligations in the contract have been identified, (iii) 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arrangement. Revenues associated with the reimbursement of such expenses are recorded when the Company is contractually entitled to reimbursement and presented within investment banking and other advisory fees.</w:t>
      </w:r>
    </w:p>
    <w:p>
      <w:pPr>
        <w:spacing w:after="0" w:line="19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b w:val="1"/>
          <w:bCs w:val="1"/>
          <w:i w:val="1"/>
          <w:iCs w:val="1"/>
          <w:color w:val="auto"/>
        </w:rPr>
        <w:t>Asset Management Fees</w:t>
      </w:r>
      <w:r>
        <w:rPr>
          <w:rFonts w:ascii="Arial" w:cs="Arial" w:eastAsia="Arial" w:hAnsi="Arial"/>
          <w:sz w:val="17"/>
          <w:szCs w:val="17"/>
          <w:color w:val="auto"/>
        </w:rPr>
        <w:t>—Fees for Asset Management services are primarily comprised of management fees and incentive fees. Management fees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derived from fees for investment management and other services provided to clients. Revenue is recorded in accordance with the same five criteria as Financial Advisory fees, which generally results in management fees being recorded on a daily, monthly or quarterly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asset management fees.</w:t>
      </w:r>
    </w:p>
    <w:p>
      <w:pPr>
        <w:spacing w:after="0" w:line="179"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248" w:lineRule="exact"/>
        <w:rPr>
          <w:sz w:val="20"/>
          <w:szCs w:val="20"/>
          <w:color w:val="auto"/>
        </w:rPr>
      </w:pPr>
    </w:p>
    <w:p>
      <w:pPr>
        <w:ind w:right="760" w:firstLine="518"/>
        <w:spacing w:after="0" w:line="308" w:lineRule="auto"/>
        <w:rPr>
          <w:sz w:val="20"/>
          <w:szCs w:val="20"/>
          <w:color w:val="auto"/>
        </w:rPr>
      </w:pPr>
      <w:r>
        <w:rPr>
          <w:rFonts w:ascii="Arial" w:cs="Arial" w:eastAsia="Arial" w:hAnsi="Arial"/>
          <w:sz w:val="17"/>
          <w:szCs w:val="17"/>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50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Financial Advisory (a)</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305,982</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310,418</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973,964</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1,141,628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80" w:type="dxa"/>
            <w:vAlign w:val="bottom"/>
            <w:vMerge w:val="restart"/>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5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32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Management Fees and Other (b)</w:t>
            </w:r>
          </w:p>
        </w:tc>
        <w:tc>
          <w:tcPr>
            <w:tcW w:w="1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298,752</w:t>
            </w:r>
          </w:p>
        </w:tc>
        <w:tc>
          <w:tcPr>
            <w:tcW w:w="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323,283</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910,321</w:t>
            </w:r>
          </w:p>
        </w:tc>
        <w:tc>
          <w:tcPr>
            <w:tcW w:w="54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1,012,127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326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Incentive Fees (c)</w:t>
            </w:r>
          </w:p>
        </w:tc>
        <w:tc>
          <w:tcPr>
            <w:tcW w:w="8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7,118</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3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 Management</w:t>
            </w:r>
          </w:p>
        </w:tc>
        <w:tc>
          <w:tcPr>
            <w:tcW w:w="8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300,015</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325,240</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917,439</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1,032,111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200" w:hanging="372"/>
        <w:spacing w:after="0" w:line="25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19" w:lineRule="exact"/>
        <w:rPr>
          <w:sz w:val="20"/>
          <w:szCs w:val="20"/>
          <w:color w:val="auto"/>
        </w:rPr>
      </w:pPr>
    </w:p>
    <w:p>
      <w:pPr>
        <w:ind w:left="380" w:right="180"/>
        <w:spacing w:after="0" w:line="302" w:lineRule="auto"/>
        <w:rPr>
          <w:sz w:val="20"/>
          <w:szCs w:val="20"/>
          <w:color w:val="auto"/>
        </w:rPr>
      </w:pPr>
      <w:r>
        <w:rPr>
          <w:rFonts w:ascii="Arial" w:cs="Arial" w:eastAsia="Arial" w:hAnsi="Arial"/>
          <w:sz w:val="16"/>
          <w:szCs w:val="16"/>
          <w:color w:val="auto"/>
        </w:rPr>
        <w:t>to constraints, and they are typically not recognized until there is an announcement date or a completion date, respectively, due to the uncertainty associated with those events. Therefore, in any given period, advisory fees recognized for certain transactions will relate to services performed in prior periods.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6" w:lineRule="exact"/>
        <w:rPr>
          <w:sz w:val="20"/>
          <w:szCs w:val="20"/>
          <w:color w:val="auto"/>
        </w:rPr>
      </w:pPr>
    </w:p>
    <w:p>
      <w:pPr>
        <w:ind w:left="380" w:right="80" w:hanging="372"/>
        <w:spacing w:after="0" w:line="25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39" w:lineRule="exact"/>
        <w:rPr>
          <w:rFonts w:ascii="Arial" w:cs="Arial" w:eastAsia="Arial" w:hAnsi="Arial"/>
          <w:sz w:val="18"/>
          <w:szCs w:val="18"/>
          <w:color w:val="auto"/>
        </w:rPr>
      </w:pPr>
    </w:p>
    <w:p>
      <w:pPr>
        <w:ind w:left="380" w:right="100" w:hanging="372"/>
        <w:spacing w:after="0" w:line="259"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254"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181"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 expedients, amounts related to remaining performance obligations are not material to the Company’s financial statements.</w:t>
      </w:r>
    </w:p>
    <w:p>
      <w:pPr>
        <w:spacing w:after="0" w:line="362"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fee receivables, amounts due from customers and other receivables.</w:t>
      </w:r>
    </w:p>
    <w:p>
      <w:pPr>
        <w:spacing w:after="0" w:line="225"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Activity in the allowance for doubtful accounts for the three month and nine month periods ended September 30, 2019 and 2018 was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33,535</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34,956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23,746</w:t>
            </w: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8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(546)</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(6,097)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18,106</w:t>
            </w:r>
          </w:p>
        </w:tc>
        <w:tc>
          <w:tcPr>
            <w:tcW w:w="120" w:type="dxa"/>
            <w:vAlign w:val="bottom"/>
          </w:tcPr>
          <w:p>
            <w:pPr>
              <w:spacing w:after="0"/>
              <w:rPr>
                <w:sz w:val="19"/>
                <w:szCs w:val="19"/>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8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(1,701)</w:t>
            </w:r>
          </w:p>
        </w:tc>
        <w:tc>
          <w:tcPr>
            <w:tcW w:w="8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(1,920)</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(2,779)</w:t>
            </w: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(7,328)</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Ending Balance</w:t>
            </w:r>
          </w:p>
        </w:tc>
        <w:tc>
          <w:tcPr>
            <w:tcW w:w="80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31,288</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34,524</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34,524</w:t>
            </w:r>
          </w:p>
        </w:tc>
        <w:tc>
          <w:tcPr>
            <w:tcW w:w="12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Bad debt expense, net of recoveries is included in “operating expenses</w:t>
      </w:r>
      <w:r>
        <w:rPr>
          <w:rFonts w:ascii="Arial" w:cs="Arial" w:eastAsia="Arial" w:hAnsi="Arial"/>
          <w:sz w:val="17"/>
          <w:szCs w:val="17"/>
          <w:i w:val="1"/>
          <w:iCs w:val="1"/>
          <w:color w:val="auto"/>
        </w:rPr>
        <w:t>—</w:t>
      </w:r>
      <w:r>
        <w:rPr>
          <w:rFonts w:ascii="Arial" w:cs="Arial" w:eastAsia="Arial" w:hAnsi="Arial"/>
          <w:sz w:val="17"/>
          <w:szCs w:val="17"/>
          <w:color w:val="auto"/>
        </w:rPr>
        <w:t>other” on the condensed consolidated statements of operations.</w:t>
      </w:r>
    </w:p>
    <w:p>
      <w:pPr>
        <w:spacing w:after="0" w:line="237"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At September 30, 2019 and December 31, 2018, the Company had receivables past due or deemed uncollectible of $37,732 and $42,309,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Of the Company’s fee receivables at September 30, 2019 and December 31, 2018, $77,304 and $90,966,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$590,863 and $594,568 at September 30, 2019 and December 31, 2018, respectively, approximates fair value.</w:t>
      </w:r>
    </w:p>
    <w:p>
      <w:pPr>
        <w:spacing w:after="0" w:line="360"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The Company’s investments and securities sold, not yet purchased, consist of the following at September 30, 2019 and December 31, 2018:</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3700" w:type="dxa"/>
            <w:vAlign w:val="bottom"/>
            <w:tcBorders>
              <w:bottom w:val="single" w:sz="8" w:color="CFF0FC"/>
            </w:tcBorders>
          </w:tcPr>
          <w:p>
            <w:pPr>
              <w:spacing w:after="0"/>
              <w:rPr>
                <w:sz w:val="14"/>
                <w:szCs w:val="14"/>
                <w:color w:val="auto"/>
              </w:rPr>
            </w:pPr>
          </w:p>
        </w:tc>
        <w:tc>
          <w:tcPr>
            <w:tcW w:w="2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2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2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99,535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2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Funds:</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112,258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2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535,848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2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2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535,353</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574,638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w:t>
            </w:r>
          </w:p>
        </w:tc>
        <w:tc>
          <w:tcPr>
            <w:tcW w:w="2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(included in “other liabilities”)</w:t>
            </w:r>
          </w:p>
        </w:tc>
        <w:tc>
          <w:tcPr>
            <w:tcW w:w="2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1,555</w:t>
            </w:r>
          </w:p>
        </w:tc>
        <w:tc>
          <w:tcPr>
            <w:tcW w:w="280" w:type="dxa"/>
            <w:vAlign w:val="bottom"/>
          </w:tcPr>
          <w:p>
            <w:pPr>
              <w:spacing w:after="0"/>
              <w:rPr>
                <w:sz w:val="20"/>
                <w:szCs w:val="20"/>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37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140" w:hanging="372"/>
        <w:spacing w:after="0" w:line="25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$9,330, $72,790 and $168,553, respectively, at September 30, 2019 and $9,741, $60,081 and $132,038, respectively, at December 31, 2018,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7 and 14).</w:t>
      </w:r>
    </w:p>
    <w:p>
      <w:pPr>
        <w:spacing w:after="0" w:line="202"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primarily consists of U.S. Treasury securities with original maturities of greater than three months and less than one year.</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Alternative investment funds primarily consist of interests in various Lazard-managed hedge funds, funds of funds and mutual funds. Such amounts primarily consist of seed investments in funds related to our Asset Management business and amounts related to LFI discussed above.</w:t>
      </w:r>
    </w:p>
    <w:p>
      <w:pPr>
        <w:spacing w:after="0" w:line="14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and (ii) a fund targeting significant noncontrolling-stake investments in established private companies.</w:t>
      </w:r>
    </w:p>
    <w:p>
      <w:pPr>
        <w:spacing w:after="0" w:line="18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During the three month and nine month periods ended September 30, 2019 and 2018, the Company reported in “revenue-other” on its condensed consolidated statements of operations net unrealized investment gains and losses pertaining to “equity securities and trading debt securities” still held as of the reporting date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20" w:type="dxa"/>
            <w:vAlign w:val="bottom"/>
            <w:gridSpan w:val="4"/>
          </w:tcPr>
          <w:p>
            <w:pPr>
              <w:jc w:val="center"/>
              <w:ind w:left="327"/>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6"/>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 (losses)</w:t>
            </w: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(590)</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1,972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87"/>
              </w:rPr>
              <w:t>26,562</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580" w:right="420" w:hanging="58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580" w:right="200" w:hanging="58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580" w:hanging="580"/>
        <w:spacing w:after="0" w:line="30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Assets and liabilities whose values are based on prices or valuation techniques that require inputs that are both unobservable and significant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debt is classified as Level 1 when the fair values are based on unadjusted quoted prices in active markets.</w:t>
      </w:r>
    </w:p>
    <w:p>
      <w:pPr>
        <w:spacing w:after="0" w:line="225"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fair value of investments in private equity funds is classified as Level 3 for certain investments that are valued based on the potential transaction value as of September 30, 2019.</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when assessing certain performance thresholds for the relevant periods. Any change in the fair value is recognized in “amortization and other acquisition-related (benefits) costs” in the condensed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condensed consolidated statements of financial condition. See Note 12.</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9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The following tables present, as of September 30, 2019 and December 31, 2018, the classification of (i) investments and certain other assets and liabilities measured at fair value on a recurring basis within the fair value hierarchy and (ii) investments measured at NAV or its equivalent as a practical expedient: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99,535</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10,194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112,251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215,782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480,888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3,870</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50,595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538,631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228,116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228,116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202,874</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515,743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57,273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188,962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three month and nine month periods ended September 30, 2019 and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Three Months Ended September 30, 2019</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Transfers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Settlements</w:t>
            </w:r>
          </w:p>
        </w:tc>
        <w:tc>
          <w:tcPr>
            <w:tcW w:w="8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Private equity funds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4,386</w:t>
            </w:r>
          </w:p>
        </w:tc>
        <w:tc>
          <w:tcPr>
            <w:tcW w:w="180" w:type="dxa"/>
            <w:vAlign w:val="bottom"/>
          </w:tcPr>
          <w:p>
            <w:pPr>
              <w:spacing w:after="0"/>
              <w:rPr>
                <w:sz w:val="19"/>
                <w:szCs w:val="19"/>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(2,418)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9"/>
          </w:tcPr>
          <w:p>
            <w:pPr>
              <w:jc w:val="center"/>
              <w:ind w:left="759"/>
              <w:spacing w:after="0"/>
              <w:rPr>
                <w:sz w:val="20"/>
                <w:szCs w:val="20"/>
                <w:color w:val="auto"/>
              </w:rPr>
            </w:pPr>
            <w:r>
              <w:rPr>
                <w:rFonts w:ascii="Arial" w:cs="Arial" w:eastAsia="Arial" w:hAnsi="Arial"/>
                <w:sz w:val="14"/>
                <w:szCs w:val="14"/>
                <w:b w:val="1"/>
                <w:bCs w:val="1"/>
                <w:color w:val="auto"/>
                <w:w w:val="93"/>
              </w:rPr>
              <w:t>Nine Months Ended September 30, 2019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22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Transfers (b)</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Settlements</w:t>
            </w: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Private equity funds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10,009</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7,577</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(15,691)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(15,691</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1"/>
          </w:tcPr>
          <w:p>
            <w:pPr>
              <w:jc w:val="center"/>
              <w:ind w:left="679"/>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22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1,629</w:t>
            </w:r>
          </w:p>
        </w:tc>
        <w:tc>
          <w:tcPr>
            <w:tcW w:w="220" w:type="dxa"/>
            <w:vAlign w:val="bottom"/>
            <w:vMerge w:val="continue"/>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19,628</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(6,707)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19,628</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center"/>
              <w:ind w:left="759"/>
              <w:spacing w:after="0"/>
              <w:rPr>
                <w:sz w:val="20"/>
                <w:szCs w:val="20"/>
                <w:color w:val="auto"/>
              </w:rPr>
            </w:pPr>
            <w:r>
              <w:rPr>
                <w:rFonts w:ascii="Arial" w:cs="Arial" w:eastAsia="Arial" w:hAnsi="Arial"/>
                <w:sz w:val="14"/>
                <w:szCs w:val="14"/>
                <w:b w:val="1"/>
                <w:bCs w:val="1"/>
                <w:color w:val="auto"/>
                <w:w w:val="93"/>
              </w:rPr>
              <w:t>Nine Months Ended September 30, 2018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22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28,941</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(16,020)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28,941</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380" w:right="280" w:hanging="372"/>
        <w:spacing w:after="0" w:line="253"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three month and nine month periods ended September 30, 2019 and the three month and nine month periods ended September 30, 2018 include net unrealized gains (losses) of $163, $149, $0 and $61, respectively. Earnings recorded in “amortization and other acquisition-related (benefits) costs” for the contingent consideration liability for the three month and nine month periods ended September 30, 2019 and the three month and nine month periods ended September 30, 2018 include unrealized (gains) losses of $(73), $7,577, $(6,707) and $(16,020), respectively.</w:t>
      </w:r>
    </w:p>
    <w:p>
      <w:pPr>
        <w:spacing w:after="0" w:line="3" w:lineRule="exact"/>
        <w:rPr>
          <w:rFonts w:ascii="Arial" w:cs="Arial" w:eastAsia="Arial" w:hAnsi="Arial"/>
          <w:sz w:val="18"/>
          <w:szCs w:val="18"/>
          <w:color w:val="auto"/>
        </w:rPr>
      </w:pPr>
    </w:p>
    <w:p>
      <w:pPr>
        <w:ind w:left="380" w:right="240" w:hanging="372"/>
        <w:spacing w:after="0" w:line="276"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investments that were valued at NAV as of December 31, 2018 were transferred to Level 3 during the nine month period ended September 30, 2019 as these investments are valued based on a potential transaction value that differs from NAV.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nine month periods ended September 30, 2019 and 2018.</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tables present, at September 30, 2019 and December 31, 2018,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September 30, 2019</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2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9,578</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&gt;90 days</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&lt;30-30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 days</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40,355</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8,264</w:t>
            </w:r>
          </w:p>
        </w:tc>
        <w:tc>
          <w:tcPr>
            <w:tcW w:w="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20%</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14%</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66%</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50,595</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8,264</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monthly (99%) and quarterly (1%)</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22"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(24%), monthly (71%) and annually (5%)</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$13,400 are excluded. Such commitments are required to be funded by capital contributions from noncontrolling interest holders.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December 31, 2018</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7"/>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299</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&gt;90 days</w:t>
            </w: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&lt;30-30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 days</w:t>
            </w:r>
          </w:p>
        </w:tc>
        <w:tc>
          <w:tcPr>
            <w:tcW w:w="0" w:type="dxa"/>
            <w:vAlign w:val="bottom"/>
          </w:tcPr>
          <w:p>
            <w:pPr>
              <w:spacing w:after="0"/>
              <w:rPr>
                <w:sz w:val="1"/>
                <w:szCs w:val="1"/>
                <w:color w:val="auto"/>
              </w:rPr>
            </w:pPr>
          </w:p>
        </w:tc>
      </w:tr>
      <w:tr>
        <w:trPr>
          <w:trHeight w:val="213"/>
        </w:trPr>
        <w:tc>
          <w:tcPr>
            <w:tcW w:w="216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6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56,343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8,338</w:t>
            </w:r>
          </w:p>
        </w:tc>
        <w:tc>
          <w:tcPr>
            <w:tcW w:w="40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60" w:type="dxa"/>
            <w:vAlign w:val="bottom"/>
            <w:tcBorders>
              <w:bottom w:val="single" w:sz="8" w:color="CFF0FC"/>
            </w:tcBorders>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20"/>
              <w:spacing w:after="0"/>
              <w:rPr>
                <w:sz w:val="20"/>
                <w:szCs w:val="20"/>
                <w:color w:val="auto"/>
              </w:rPr>
            </w:pPr>
            <w:r>
              <w:rPr>
                <w:rFonts w:ascii="Arial" w:cs="Arial" w:eastAsia="Arial" w:hAnsi="Arial"/>
                <w:sz w:val="16"/>
                <w:szCs w:val="16"/>
                <w:color w:val="auto"/>
              </w:rPr>
              <w:t>14%</w:t>
            </w:r>
          </w:p>
        </w:tc>
        <w:tc>
          <w:tcPr>
            <w:tcW w:w="1160" w:type="dxa"/>
            <w:vAlign w:val="bottom"/>
            <w:tcBorders>
              <w:bottom w:val="single" w:sz="8" w:color="CFF0FC"/>
            </w:tcBorders>
            <w:gridSpan w:val="2"/>
          </w:tcPr>
          <w:p>
            <w:pPr>
              <w:ind w:left="720"/>
              <w:spacing w:after="0"/>
              <w:rPr>
                <w:sz w:val="20"/>
                <w:szCs w:val="20"/>
                <w:color w:val="auto"/>
              </w:rPr>
            </w:pPr>
            <w:r>
              <w:rPr>
                <w:rFonts w:ascii="Arial" w:cs="Arial" w:eastAsia="Arial" w:hAnsi="Arial"/>
                <w:sz w:val="16"/>
                <w:szCs w:val="16"/>
                <w:color w:val="auto"/>
              </w:rPr>
              <w:t>34%</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52%</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57,273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8,338</w:t>
            </w:r>
          </w:p>
        </w:tc>
        <w:tc>
          <w:tcPr>
            <w:tcW w:w="4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monthly (100%)</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(25%), monthly (70%) and annually (5%)</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$14,437 are excluded. Such commitments are required to be funded by capital contributions from noncontrolling interest 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September 30, 2019,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$7,602.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77"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14) on the accompanying condensed consolidated statements of financial condition as of September 30, 2019 and December 31,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3,278</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10,424</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2,371</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222,026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188,022</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228,116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380" w:right="60" w:hanging="372"/>
        <w:spacing w:after="0" w:line="259"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$518 and $4,237 as of September 30, 2019, respectively, and $10,792 and $369 as of December 31, 2018, respectively, for contracts with the same counterparty under legally enforceable master netting agreements. Such amounts are recorded “net” in “other assets”, with receivables for net cash collateral under such contracts of $5,580 as of September 30, 2019.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nine month periods ended September 30, 2019 and 2018,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(1,764)</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(3,647)</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(22,118)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(1,712)</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(1,847)</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(8,309)</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September 30, 2019 and December 31, 2018, property consisted of the following:</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193,381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188,956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205,835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569,072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552,716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352,104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339,770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216,968</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212,946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adopted the new lease accounting guidance as of January 1, 2019, which resulted in recognition of ROU assets and lease liabilities related to operating leases on the condensed consolidated statements of financial condition. The Company determines if an arrangement is, or contains, a lease at its inception and reevaluates the arrangement if the terms are modified. Operating lease ROU assets represent the right to use an underlying asset for the lease term and operating lease liabilities reflect the obligation to make lease payments arising from the lease. At any given time during the lease term, the operating lease liability represents the present value of the remaining lease payments and the operating lease ROU asset is measured at the amount of the lease liability, adjusted for rent prepayments, unamortized initial direct costs and the remaining balance of lease incentives received. Both the operating lease ROU asset and the operating lease liability are reduced to zero at the end of the lease.</w:t>
      </w:r>
    </w:p>
    <w:p>
      <w:pPr>
        <w:spacing w:after="0" w:line="17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leases office space and equipment under non-cancelable lease agreements, which expire on various dates through 2033. Substantially all of these arrangements are operating leases relating to office space. Certain leases have renewal options that can be exercised at the discretion of the Company. The Company only includes renewal options in the lease term when it is reasonably certain to exercise the option. The Company does not record leases with a lease term of 12 months or less on the condensed consolidated statements of financial condition; lease expense for these leases is recognized over the lease term on a straight-line basis.</w:t>
      </w:r>
    </w:p>
    <w:p>
      <w:pPr>
        <w:spacing w:after="0" w:line="188" w:lineRule="exact"/>
        <w:rPr>
          <w:sz w:val="20"/>
          <w:szCs w:val="20"/>
          <w:color w:val="auto"/>
        </w:rPr>
      </w:pPr>
    </w:p>
    <w:p>
      <w:pPr>
        <w:ind w:right="400" w:firstLine="518"/>
        <w:spacing w:after="0" w:line="259" w:lineRule="auto"/>
        <w:rPr>
          <w:sz w:val="20"/>
          <w:szCs w:val="20"/>
          <w:color w:val="auto"/>
        </w:rPr>
      </w:pPr>
      <w:r>
        <w:rPr>
          <w:rFonts w:ascii="Arial" w:cs="Arial" w:eastAsia="Arial" w:hAnsi="Arial"/>
          <w:sz w:val="18"/>
          <w:szCs w:val="18"/>
          <w:color w:val="auto"/>
        </w:rPr>
        <w:t>For leases commencing on January 1, 2019 or thereafter that are recognized on the condensed consolidated statements of financial condition, the Company applies its estimated Discount. The Company bases this Discount on the information available at the lease commencement date. The Company determines its Discount with consideration of the Company’s public debt issuances as well as publicly available data for instruments with similar characteristics.</w:t>
      </w:r>
    </w:p>
    <w:p>
      <w:pPr>
        <w:spacing w:after="0" w:line="214"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For leases commencing on January 1, 2019 or thereafter that relate to office space and equipment, the Company accounts for the lease and non-lease components as a single lease component.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In addition to rent payments, operating leases for office space generally contain payments for real estate taxes, insurance costs, common area maintenance, and utilities that are not fixed. The Company accounts for these costs as variable payments and does not include them in the lease component. There are certain office leases outside of the U.S. that have annual rent increases that are also accounted for as variable payments and are excluded from the lease component.</w:t>
      </w:r>
    </w:p>
    <w:p>
      <w:pPr>
        <w:spacing w:after="0" w:line="18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following table summarizes the components of operating lease expense reflected on the accompanying condensed consolidated statements of operations for the three month and nine month periods ended September 30,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6"/>
                <w:szCs w:val="16"/>
                <w:color w:val="auto"/>
              </w:rPr>
            </w:pPr>
          </w:p>
        </w:tc>
        <w:tc>
          <w:tcPr>
            <w:tcW w:w="1760" w:type="dxa"/>
            <w:vAlign w:val="bottom"/>
            <w:gridSpan w:val="2"/>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7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September 30, 2019</w:t>
            </w:r>
          </w:p>
        </w:tc>
        <w:tc>
          <w:tcPr>
            <w:tcW w:w="200" w:type="dxa"/>
            <w:vAlign w:val="bottom"/>
          </w:tcPr>
          <w:p>
            <w:pPr>
              <w:spacing w:after="0"/>
              <w:rPr>
                <w:sz w:val="19"/>
                <w:szCs w:val="19"/>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2019</w:t>
            </w:r>
          </w:p>
        </w:tc>
      </w:tr>
      <w:tr>
        <w:trPr>
          <w:trHeight w:val="237"/>
        </w:trPr>
        <w:tc>
          <w:tcPr>
            <w:tcW w:w="7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19,966</w:t>
            </w:r>
          </w:p>
        </w:tc>
        <w:tc>
          <w:tcPr>
            <w:tcW w:w="26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58,866</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Variable lease cost</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4,647</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13,698</w:t>
            </w:r>
          </w:p>
        </w:tc>
        <w:tc>
          <w:tcPr>
            <w:tcW w:w="100" w:type="dxa"/>
            <w:vAlign w:val="bottom"/>
          </w:tcPr>
          <w:p>
            <w:pPr>
              <w:spacing w:after="0"/>
              <w:rPr>
                <w:sz w:val="21"/>
                <w:szCs w:val="21"/>
                <w:color w:val="auto"/>
              </w:rPr>
            </w:pPr>
          </w:p>
        </w:tc>
      </w:tr>
      <w:tr>
        <w:trPr>
          <w:trHeight w:val="24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Less - sublease income</w:t>
            </w:r>
          </w:p>
        </w:tc>
        <w:tc>
          <w:tcPr>
            <w:tcW w:w="18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2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5,083</w:t>
            </w:r>
          </w:p>
        </w:tc>
        <w:tc>
          <w:tcPr>
            <w:tcW w:w="100" w:type="dxa"/>
            <w:vAlign w:val="bottom"/>
            <w:shd w:val="clear" w:color="auto" w:fill="CFF0FC"/>
          </w:tcPr>
          <w:p>
            <w:pPr>
              <w:spacing w:after="0"/>
              <w:rPr>
                <w:sz w:val="21"/>
                <w:szCs w:val="21"/>
                <w:color w:val="auto"/>
              </w:rPr>
            </w:pPr>
          </w:p>
        </w:tc>
      </w:tr>
      <w:tr>
        <w:trPr>
          <w:trHeight w:val="237"/>
        </w:trPr>
        <w:tc>
          <w:tcPr>
            <w:tcW w:w="73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22,992</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67,481</w:t>
            </w:r>
          </w:p>
        </w:tc>
        <w:tc>
          <w:tcPr>
            <w:tcW w:w="100" w:type="dxa"/>
            <w:vAlign w:val="bottom"/>
          </w:tcPr>
          <w:p>
            <w:pPr>
              <w:spacing w:after="0"/>
              <w:rPr>
                <w:sz w:val="20"/>
                <w:szCs w:val="20"/>
                <w:color w:val="auto"/>
              </w:rPr>
            </w:pPr>
          </w:p>
        </w:tc>
      </w:tr>
      <w:tr>
        <w:trPr>
          <w:trHeight w:val="20"/>
        </w:trPr>
        <w:tc>
          <w:tcPr>
            <w:tcW w:w="7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 summarizes the supplemental cash flow information and certain other information related to operating leases for the nine month period ended September 30,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8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September 30, 2019</w:t>
            </w:r>
          </w:p>
        </w:tc>
      </w:tr>
      <w:tr>
        <w:trPr>
          <w:trHeight w:val="237"/>
        </w:trPr>
        <w:tc>
          <w:tcPr>
            <w:tcW w:w="8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tcBorders>
              <w:top w:val="single" w:sz="8" w:color="auto"/>
            </w:tcBorders>
            <w:shd w:val="clear" w:color="auto" w:fill="CFF0FC"/>
          </w:tcPr>
          <w:p>
            <w:pPr>
              <w:spacing w:after="0"/>
              <w:rPr>
                <w:sz w:val="20"/>
                <w:szCs w:val="20"/>
                <w:color w:val="auto"/>
              </w:rPr>
            </w:pPr>
          </w:p>
        </w:tc>
        <w:tc>
          <w:tcPr>
            <w:tcW w:w="198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62,073</w:t>
            </w:r>
          </w:p>
        </w:tc>
        <w:tc>
          <w:tcPr>
            <w:tcW w:w="180" w:type="dxa"/>
            <w:vAlign w:val="bottom"/>
          </w:tcPr>
          <w:p>
            <w:pPr>
              <w:spacing w:after="0"/>
              <w:rPr>
                <w:sz w:val="21"/>
                <w:szCs w:val="21"/>
                <w:color w:val="auto"/>
              </w:rPr>
            </w:pPr>
          </w:p>
        </w:tc>
      </w:tr>
      <w:tr>
        <w:trPr>
          <w:trHeight w:val="243"/>
        </w:trPr>
        <w:tc>
          <w:tcPr>
            <w:tcW w:w="89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603,288</w:t>
            </w:r>
          </w:p>
        </w:tc>
        <w:tc>
          <w:tcPr>
            <w:tcW w:w="180" w:type="dxa"/>
            <w:vAlign w:val="bottom"/>
          </w:tcPr>
          <w:p>
            <w:pPr>
              <w:spacing w:after="0"/>
              <w:rPr>
                <w:sz w:val="21"/>
                <w:szCs w:val="21"/>
                <w:color w:val="auto"/>
              </w:rPr>
            </w:pPr>
          </w:p>
        </w:tc>
      </w:tr>
      <w:tr>
        <w:trPr>
          <w:trHeight w:val="243"/>
        </w:trPr>
        <w:tc>
          <w:tcPr>
            <w:tcW w:w="89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tcPr>
          <w:p>
            <w:pPr>
              <w:spacing w:after="0"/>
              <w:rPr>
                <w:sz w:val="21"/>
                <w:szCs w:val="21"/>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12 years</w:t>
            </w:r>
          </w:p>
        </w:tc>
      </w:tr>
      <w:tr>
        <w:trPr>
          <w:trHeight w:val="243"/>
        </w:trPr>
        <w:tc>
          <w:tcPr>
            <w:tcW w:w="89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320" w:type="dxa"/>
            <w:vAlign w:val="bottom"/>
          </w:tcPr>
          <w:p>
            <w:pPr>
              <w:spacing w:after="0"/>
              <w:rPr>
                <w:sz w:val="21"/>
                <w:szCs w:val="21"/>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bl>
    <w:p>
      <w:pPr>
        <w:spacing w:after="0" w:line="229"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Maturities of the operating lease liabilities outstanding at September 30, 2019 for each of the years in the period ending December 31, 2024 and thereafter are set forth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7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9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2019 (October 1 through December 31)</w:t>
            </w:r>
          </w:p>
        </w:tc>
        <w:tc>
          <w:tcPr>
            <w:tcW w:w="880" w:type="dxa"/>
            <w:vAlign w:val="bottom"/>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22,441</w:t>
            </w:r>
          </w:p>
        </w:tc>
        <w:tc>
          <w:tcPr>
            <w:tcW w:w="100" w:type="dxa"/>
            <w:vAlign w:val="bottom"/>
            <w:shd w:val="clear" w:color="auto" w:fill="CFF0FC"/>
          </w:tcPr>
          <w:p>
            <w:pPr>
              <w:spacing w:after="0"/>
              <w:rPr>
                <w:sz w:val="20"/>
                <w:szCs w:val="20"/>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2020</w:t>
            </w:r>
          </w:p>
        </w:tc>
        <w:tc>
          <w:tcPr>
            <w:tcW w:w="7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86,862</w:t>
            </w:r>
          </w:p>
        </w:tc>
        <w:tc>
          <w:tcPr>
            <w:tcW w:w="100" w:type="dxa"/>
            <w:vAlign w:val="bottom"/>
          </w:tcPr>
          <w:p>
            <w:pPr>
              <w:spacing w:after="0"/>
              <w:rPr>
                <w:sz w:val="21"/>
                <w:szCs w:val="21"/>
                <w:color w:val="auto"/>
              </w:rPr>
            </w:pPr>
          </w:p>
        </w:tc>
      </w:tr>
      <w:tr>
        <w:trPr>
          <w:trHeight w:val="243"/>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82,649</w:t>
            </w:r>
          </w:p>
        </w:tc>
        <w:tc>
          <w:tcPr>
            <w:tcW w:w="100" w:type="dxa"/>
            <w:vAlign w:val="bottom"/>
            <w:shd w:val="clear" w:color="auto" w:fill="CFF0FC"/>
          </w:tcPr>
          <w:p>
            <w:pPr>
              <w:spacing w:after="0"/>
              <w:rPr>
                <w:sz w:val="21"/>
                <w:szCs w:val="2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2022</w:t>
            </w:r>
          </w:p>
        </w:tc>
        <w:tc>
          <w:tcPr>
            <w:tcW w:w="7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66,608</w:t>
            </w:r>
          </w:p>
        </w:tc>
        <w:tc>
          <w:tcPr>
            <w:tcW w:w="100" w:type="dxa"/>
            <w:vAlign w:val="bottom"/>
          </w:tcPr>
          <w:p>
            <w:pPr>
              <w:spacing w:after="0"/>
              <w:rPr>
                <w:sz w:val="21"/>
                <w:szCs w:val="21"/>
                <w:color w:val="auto"/>
              </w:rPr>
            </w:pPr>
          </w:p>
        </w:tc>
      </w:tr>
      <w:tr>
        <w:trPr>
          <w:trHeight w:val="243"/>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7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62,065</w:t>
            </w:r>
          </w:p>
        </w:tc>
        <w:tc>
          <w:tcPr>
            <w:tcW w:w="100" w:type="dxa"/>
            <w:vAlign w:val="bottom"/>
            <w:shd w:val="clear" w:color="auto" w:fill="CFF0FC"/>
          </w:tcPr>
          <w:p>
            <w:pPr>
              <w:spacing w:after="0"/>
              <w:rPr>
                <w:sz w:val="21"/>
                <w:szCs w:val="2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2024</w:t>
            </w:r>
          </w:p>
        </w:tc>
        <w:tc>
          <w:tcPr>
            <w:tcW w:w="7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60,898</w:t>
            </w:r>
          </w:p>
        </w:tc>
        <w:tc>
          <w:tcPr>
            <w:tcW w:w="100" w:type="dxa"/>
            <w:vAlign w:val="bottom"/>
          </w:tcPr>
          <w:p>
            <w:pPr>
              <w:spacing w:after="0"/>
              <w:rPr>
                <w:sz w:val="21"/>
                <w:szCs w:val="21"/>
                <w:color w:val="auto"/>
              </w:rPr>
            </w:pPr>
          </w:p>
        </w:tc>
      </w:tr>
      <w:tr>
        <w:trPr>
          <w:trHeight w:val="243"/>
        </w:trPr>
        <w:tc>
          <w:tcPr>
            <w:tcW w:w="9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426,209</w:t>
            </w:r>
          </w:p>
        </w:tc>
        <w:tc>
          <w:tcPr>
            <w:tcW w:w="100" w:type="dxa"/>
            <w:vAlign w:val="bottom"/>
            <w:shd w:val="clear" w:color="auto" w:fill="CFF0FC"/>
          </w:tcPr>
          <w:p>
            <w:pPr>
              <w:spacing w:after="0"/>
              <w:rPr>
                <w:sz w:val="21"/>
                <w:szCs w:val="21"/>
                <w:color w:val="auto"/>
              </w:rPr>
            </w:pPr>
          </w:p>
        </w:tc>
      </w:tr>
      <w:tr>
        <w:trPr>
          <w:trHeight w:val="237"/>
        </w:trPr>
        <w:tc>
          <w:tcPr>
            <w:tcW w:w="902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8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807,732</w:t>
            </w:r>
          </w:p>
        </w:tc>
        <w:tc>
          <w:tcPr>
            <w:tcW w:w="100" w:type="dxa"/>
            <w:vAlign w:val="bottom"/>
          </w:tcPr>
          <w:p>
            <w:pPr>
              <w:spacing w:after="0"/>
              <w:rPr>
                <w:sz w:val="20"/>
                <w:szCs w:val="20"/>
                <w:color w:val="auto"/>
              </w:rPr>
            </w:pPr>
          </w:p>
        </w:tc>
      </w:tr>
      <w:tr>
        <w:trPr>
          <w:trHeight w:val="243"/>
        </w:trPr>
        <w:tc>
          <w:tcPr>
            <w:tcW w:w="9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 Discount</w:t>
            </w:r>
          </w:p>
        </w:tc>
        <w:tc>
          <w:tcPr>
            <w:tcW w:w="8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155,051</w:t>
            </w:r>
          </w:p>
        </w:tc>
        <w:tc>
          <w:tcPr>
            <w:tcW w:w="100" w:type="dxa"/>
            <w:vAlign w:val="bottom"/>
            <w:shd w:val="clear" w:color="auto" w:fill="CFF0FC"/>
          </w:tcPr>
          <w:p>
            <w:pPr>
              <w:spacing w:after="0"/>
              <w:rPr>
                <w:sz w:val="21"/>
                <w:szCs w:val="21"/>
                <w:color w:val="auto"/>
              </w:rPr>
            </w:pPr>
          </w:p>
        </w:tc>
      </w:tr>
      <w:tr>
        <w:trPr>
          <w:trHeight w:val="237"/>
        </w:trPr>
        <w:tc>
          <w:tcPr>
            <w:tcW w:w="902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880" w:type="dxa"/>
            <w:vAlign w:val="bottom"/>
            <w:tcBorders>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652,681</w:t>
            </w:r>
          </w:p>
        </w:tc>
        <w:tc>
          <w:tcPr>
            <w:tcW w:w="100" w:type="dxa"/>
            <w:vAlign w:val="bottom"/>
          </w:tcPr>
          <w:p>
            <w:pPr>
              <w:spacing w:after="0"/>
              <w:rPr>
                <w:sz w:val="20"/>
                <w:szCs w:val="20"/>
                <w:color w:val="auto"/>
              </w:rPr>
            </w:pPr>
          </w:p>
        </w:tc>
      </w:tr>
      <w:tr>
        <w:trPr>
          <w:trHeight w:val="20"/>
        </w:trPr>
        <w:tc>
          <w:tcPr>
            <w:tcW w:w="16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August 2018, the Company entered into a lease agreement for additional office facilities, which are currently under construction. The lease commenced in the third quarter of 2019 when the facilities were delivered to the Company. The Company recognized the related operating lease right-of-use assets and the operating lease liability on the lease commencement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Prior to the adoption of the new lease accounting guidance, the minimum rental commitments under non-cancelable operating leases at December 31, 2018, net of sublease income, were approximately as follows: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shd w:val="clear" w:color="auto" w:fill="CFF0FC"/>
          </w:tcPr>
          <w:p>
            <w:pPr>
              <w:jc w:val="right"/>
              <w:ind w:right="1210"/>
              <w:spacing w:after="0"/>
              <w:rPr>
                <w:sz w:val="20"/>
                <w:szCs w:val="20"/>
                <w:color w:val="auto"/>
              </w:rPr>
            </w:pPr>
            <w:r>
              <w:rPr>
                <w:rFonts w:ascii="Arial" w:cs="Arial" w:eastAsia="Arial" w:hAnsi="Arial"/>
                <w:sz w:val="18"/>
                <w:szCs w:val="18"/>
                <w:color w:val="auto"/>
                <w:w w:val="79"/>
              </w:rPr>
              <w:t>2019</w:t>
            </w:r>
          </w:p>
        </w:tc>
        <w:tc>
          <w:tcPr>
            <w:tcW w:w="3400" w:type="dxa"/>
            <w:vAlign w:val="bottom"/>
            <w:shd w:val="clear" w:color="auto" w:fill="CFF0FC"/>
          </w:tcPr>
          <w:p>
            <w:pPr>
              <w:spacing w:after="0"/>
              <w:rPr>
                <w:sz w:val="20"/>
                <w:szCs w:val="20"/>
                <w:color w:val="auto"/>
              </w:rPr>
            </w:pPr>
          </w:p>
        </w:tc>
        <w:tc>
          <w:tcPr>
            <w:tcW w:w="29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86,839</w:t>
            </w:r>
          </w:p>
        </w:tc>
        <w:tc>
          <w:tcPr>
            <w:tcW w:w="80" w:type="dxa"/>
            <w:vAlign w:val="bottom"/>
            <w:shd w:val="clear" w:color="auto" w:fill="CFF0FC"/>
          </w:tcPr>
          <w:p>
            <w:pPr>
              <w:spacing w:after="0"/>
              <w:rPr>
                <w:sz w:val="20"/>
                <w:szCs w:val="20"/>
                <w:color w:val="auto"/>
              </w:rPr>
            </w:pPr>
          </w:p>
        </w:tc>
      </w:tr>
      <w:tr>
        <w:trPr>
          <w:trHeight w:val="243"/>
        </w:trPr>
        <w:tc>
          <w:tcPr>
            <w:tcW w:w="1660" w:type="dxa"/>
            <w:vAlign w:val="bottom"/>
            <w:gridSpan w:val="2"/>
          </w:tcPr>
          <w:p>
            <w:pPr>
              <w:jc w:val="right"/>
              <w:ind w:right="1210"/>
              <w:spacing w:after="0"/>
              <w:rPr>
                <w:sz w:val="20"/>
                <w:szCs w:val="20"/>
                <w:color w:val="auto"/>
              </w:rPr>
            </w:pPr>
            <w:r>
              <w:rPr>
                <w:rFonts w:ascii="Arial" w:cs="Arial" w:eastAsia="Arial" w:hAnsi="Arial"/>
                <w:sz w:val="18"/>
                <w:szCs w:val="18"/>
                <w:color w:val="auto"/>
                <w:w w:val="84"/>
              </w:rPr>
              <w:t>2020</w:t>
            </w:r>
          </w:p>
        </w:tc>
        <w:tc>
          <w:tcPr>
            <w:tcW w:w="34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89,445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640" w:type="dxa"/>
            <w:vAlign w:val="bottom"/>
            <w:shd w:val="clear" w:color="auto" w:fill="CFF0FC"/>
          </w:tcPr>
          <w:p>
            <w:pPr>
              <w:jc w:val="right"/>
              <w:ind w:right="1210"/>
              <w:spacing w:after="0"/>
              <w:rPr>
                <w:sz w:val="20"/>
                <w:szCs w:val="20"/>
                <w:color w:val="auto"/>
              </w:rPr>
            </w:pPr>
            <w:r>
              <w:rPr>
                <w:rFonts w:ascii="Arial" w:cs="Arial" w:eastAsia="Arial" w:hAnsi="Arial"/>
                <w:sz w:val="18"/>
                <w:szCs w:val="18"/>
                <w:color w:val="auto"/>
                <w:w w:val="79"/>
              </w:rPr>
              <w:t>2021</w:t>
            </w:r>
          </w:p>
        </w:tc>
        <w:tc>
          <w:tcPr>
            <w:tcW w:w="3400" w:type="dxa"/>
            <w:vAlign w:val="bottom"/>
            <w:shd w:val="clear" w:color="auto" w:fill="CFF0FC"/>
          </w:tcPr>
          <w:p>
            <w:pPr>
              <w:spacing w:after="0"/>
              <w:rPr>
                <w:sz w:val="21"/>
                <w:szCs w:val="21"/>
                <w:color w:val="auto"/>
              </w:rPr>
            </w:pPr>
          </w:p>
        </w:tc>
        <w:tc>
          <w:tcPr>
            <w:tcW w:w="24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83,701</w:t>
            </w:r>
          </w:p>
        </w:tc>
        <w:tc>
          <w:tcPr>
            <w:tcW w:w="80" w:type="dxa"/>
            <w:vAlign w:val="bottom"/>
            <w:shd w:val="clear" w:color="auto" w:fill="CFF0FC"/>
          </w:tcPr>
          <w:p>
            <w:pPr>
              <w:spacing w:after="0"/>
              <w:rPr>
                <w:sz w:val="21"/>
                <w:szCs w:val="21"/>
                <w:color w:val="auto"/>
              </w:rPr>
            </w:pPr>
          </w:p>
        </w:tc>
      </w:tr>
      <w:tr>
        <w:trPr>
          <w:trHeight w:val="243"/>
        </w:trPr>
        <w:tc>
          <w:tcPr>
            <w:tcW w:w="1660" w:type="dxa"/>
            <w:vAlign w:val="bottom"/>
            <w:gridSpan w:val="2"/>
          </w:tcPr>
          <w:p>
            <w:pPr>
              <w:jc w:val="right"/>
              <w:ind w:right="1210"/>
              <w:spacing w:after="0"/>
              <w:rPr>
                <w:sz w:val="20"/>
                <w:szCs w:val="20"/>
                <w:color w:val="auto"/>
              </w:rPr>
            </w:pPr>
            <w:r>
              <w:rPr>
                <w:rFonts w:ascii="Arial" w:cs="Arial" w:eastAsia="Arial" w:hAnsi="Arial"/>
                <w:sz w:val="18"/>
                <w:szCs w:val="18"/>
                <w:color w:val="auto"/>
                <w:w w:val="84"/>
              </w:rPr>
              <w:t>2022</w:t>
            </w:r>
          </w:p>
        </w:tc>
        <w:tc>
          <w:tcPr>
            <w:tcW w:w="34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70,780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640" w:type="dxa"/>
            <w:vAlign w:val="bottom"/>
            <w:shd w:val="clear" w:color="auto" w:fill="CFF0FC"/>
          </w:tcPr>
          <w:p>
            <w:pPr>
              <w:jc w:val="right"/>
              <w:ind w:right="1210"/>
              <w:spacing w:after="0"/>
              <w:rPr>
                <w:sz w:val="20"/>
                <w:szCs w:val="20"/>
                <w:color w:val="auto"/>
              </w:rPr>
            </w:pPr>
            <w:r>
              <w:rPr>
                <w:rFonts w:ascii="Arial" w:cs="Arial" w:eastAsia="Arial" w:hAnsi="Arial"/>
                <w:sz w:val="18"/>
                <w:szCs w:val="18"/>
                <w:color w:val="auto"/>
                <w:w w:val="79"/>
              </w:rPr>
              <w:t>2023</w:t>
            </w:r>
          </w:p>
        </w:tc>
        <w:tc>
          <w:tcPr>
            <w:tcW w:w="3400" w:type="dxa"/>
            <w:vAlign w:val="bottom"/>
            <w:shd w:val="clear" w:color="auto" w:fill="CFF0FC"/>
          </w:tcPr>
          <w:p>
            <w:pPr>
              <w:spacing w:after="0"/>
              <w:rPr>
                <w:sz w:val="21"/>
                <w:szCs w:val="21"/>
                <w:color w:val="auto"/>
              </w:rPr>
            </w:pPr>
          </w:p>
        </w:tc>
        <w:tc>
          <w:tcPr>
            <w:tcW w:w="24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59,973</w:t>
            </w:r>
          </w:p>
        </w:tc>
        <w:tc>
          <w:tcPr>
            <w:tcW w:w="80" w:type="dxa"/>
            <w:vAlign w:val="bottom"/>
            <w:shd w:val="clear" w:color="auto" w:fill="CFF0FC"/>
          </w:tcPr>
          <w:p>
            <w:pPr>
              <w:spacing w:after="0"/>
              <w:rPr>
                <w:sz w:val="21"/>
                <w:szCs w:val="21"/>
                <w:color w:val="auto"/>
              </w:rPr>
            </w:pPr>
          </w:p>
        </w:tc>
      </w:tr>
      <w:tr>
        <w:trPr>
          <w:trHeight w:val="243"/>
        </w:trPr>
        <w:tc>
          <w:tcPr>
            <w:tcW w:w="506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2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488,612</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minimum rental commitments</w:t>
            </w:r>
          </w:p>
        </w:tc>
        <w:tc>
          <w:tcPr>
            <w:tcW w:w="2460" w:type="dxa"/>
            <w:vAlign w:val="bottom"/>
            <w:tcBorders>
              <w:top w:val="single" w:sz="8" w:color="CFF0FC"/>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879,350</w:t>
            </w:r>
          </w:p>
        </w:tc>
        <w:tc>
          <w:tcPr>
            <w:tcW w:w="80" w:type="dxa"/>
            <w:vAlign w:val="bottom"/>
            <w:tcBorders>
              <w:top w:val="single" w:sz="8" w:color="CFF0FC"/>
            </w:tcBorders>
            <w:shd w:val="clear" w:color="auto" w:fill="CFF0FC"/>
          </w:tcPr>
          <w:p>
            <w:pPr>
              <w:spacing w:after="0"/>
              <w:rPr>
                <w:sz w:val="20"/>
                <w:szCs w:val="20"/>
                <w:color w:val="auto"/>
              </w:rPr>
            </w:pPr>
          </w:p>
        </w:tc>
      </w:tr>
      <w:tr>
        <w:trPr>
          <w:trHeight w:val="243"/>
        </w:trPr>
        <w:tc>
          <w:tcPr>
            <w:tcW w:w="5060" w:type="dxa"/>
            <w:vAlign w:val="bottom"/>
            <w:gridSpan w:val="3"/>
          </w:tcPr>
          <w:p>
            <w:pPr>
              <w:spacing w:after="0"/>
              <w:rPr>
                <w:sz w:val="20"/>
                <w:szCs w:val="20"/>
                <w:color w:val="auto"/>
              </w:rPr>
            </w:pPr>
            <w:r>
              <w:rPr>
                <w:rFonts w:ascii="Arial" w:cs="Arial" w:eastAsia="Arial" w:hAnsi="Arial"/>
                <w:sz w:val="18"/>
                <w:szCs w:val="18"/>
                <w:color w:val="auto"/>
              </w:rPr>
              <w:t>Less - sublease proceeds</w:t>
            </w:r>
          </w:p>
        </w:tc>
        <w:tc>
          <w:tcPr>
            <w:tcW w:w="2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26,941</w:t>
            </w:r>
          </w:p>
        </w:tc>
        <w:tc>
          <w:tcPr>
            <w:tcW w:w="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3400" w:type="dxa"/>
            <w:vAlign w:val="bottom"/>
            <w:shd w:val="clear" w:color="auto" w:fill="CFF0FC"/>
          </w:tcPr>
          <w:p>
            <w:pPr>
              <w:spacing w:after="0" w:line="20" w:lineRule="exact"/>
              <w:rPr>
                <w:sz w:val="1"/>
                <w:szCs w:val="1"/>
                <w:color w:val="auto"/>
              </w:rPr>
            </w:pPr>
          </w:p>
        </w:tc>
        <w:tc>
          <w:tcPr>
            <w:tcW w:w="24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rental commitments</w:t>
            </w:r>
          </w:p>
        </w:tc>
        <w:tc>
          <w:tcPr>
            <w:tcW w:w="29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852,409</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3400" w:type="dxa"/>
            <w:vAlign w:val="bottom"/>
            <w:tcBorders>
              <w:top w:val="single" w:sz="8" w:color="CFF0FC"/>
            </w:tcBorders>
          </w:tcPr>
          <w:p>
            <w:pPr>
              <w:spacing w:after="0" w:line="20" w:lineRule="exact"/>
              <w:rPr>
                <w:sz w:val="1"/>
                <w:szCs w:val="1"/>
                <w:color w:val="auto"/>
              </w:rPr>
            </w:pPr>
          </w:p>
        </w:tc>
        <w:tc>
          <w:tcPr>
            <w:tcW w:w="24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September 30, 2019 and December 31, 2018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680" w:type="dxa"/>
            <w:vAlign w:val="bottom"/>
            <w:tcBorders>
              <w:bottom w:val="single" w:sz="8" w:color="CFF0FC"/>
            </w:tcBorders>
          </w:tcPr>
          <w:p>
            <w:pPr>
              <w:spacing w:after="0"/>
              <w:rPr>
                <w:sz w:val="14"/>
                <w:szCs w:val="14"/>
                <w:color w:val="auto"/>
              </w:rPr>
            </w:pPr>
          </w:p>
        </w:tc>
        <w:tc>
          <w:tcPr>
            <w:tcW w:w="15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366,892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371,561</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intangible assets (net of accumulated</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amortization)</w:t>
            </w:r>
          </w:p>
        </w:tc>
        <w:tc>
          <w:tcPr>
            <w:tcW w:w="15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8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368,996</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375,318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80" w:firstLine="518"/>
        <w:spacing w:after="0" w:line="342" w:lineRule="auto"/>
        <w:rPr>
          <w:sz w:val="20"/>
          <w:szCs w:val="20"/>
          <w:color w:val="auto"/>
        </w:rPr>
      </w:pPr>
      <w:r>
        <w:rPr>
          <w:rFonts w:ascii="Arial" w:cs="Arial" w:eastAsia="Arial" w:hAnsi="Arial"/>
          <w:sz w:val="16"/>
          <w:szCs w:val="16"/>
          <w:color w:val="auto"/>
        </w:rPr>
        <w:t>At September 30, 2019 and December 31, 2018, goodwill of $302,351 and $307,020, respectively, was attributable to the Company’s Financial Advisory segment and, at each such respective date, $64,541 of goodwill was attributable to the Company’s Asset Management segment.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nine month periods ended September 30, 2019 and 2018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385,292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(4,669)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(10,298)</w:t>
            </w:r>
          </w:p>
        </w:tc>
      </w:tr>
      <w:tr>
        <w:trPr>
          <w:trHeight w:val="223"/>
        </w:trPr>
        <w:tc>
          <w:tcPr>
            <w:tcW w:w="20" w:type="dxa"/>
            <w:vAlign w:val="bottom"/>
          </w:tcPr>
          <w:p>
            <w:pPr>
              <w:spacing w:after="0"/>
              <w:rPr>
                <w:sz w:val="19"/>
                <w:szCs w:val="19"/>
                <w:color w:val="auto"/>
              </w:rPr>
            </w:pPr>
          </w:p>
        </w:tc>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366,892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374,994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All changes in the carrying amount of goodwill for the nine month periods ended September 30, 2019 and 2018 are attributable to the Company’s Financial Advisory segment.</w:t>
      </w:r>
    </w:p>
    <w:p>
      <w:pPr>
        <w:spacing w:after="0" w:line="17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September 30, 2019 and December 31, 2018,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Success/incentive fees</w:t>
            </w: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35,295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33,547</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32,235</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34,782</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34,426</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34,474</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33,714</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70,077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67,973</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69,706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65,949</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7" w:name="page28"/>
    <w:bookmarkEnd w:id="2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Amortization expense of intangible assets, included in “amortization and other acquisition-related (benefits) costs” in the condensed consolidated statements of operations, for the three month and nine month periods ended September 30, 2019 was $1,095 and $1,957, respectively, and for the three month and nine month periods ended September 30, 2018 was $856 and $2,552, respectively. Estimated future amortization expense is as follows:</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540" w:type="dxa"/>
            <w:vAlign w:val="bottom"/>
            <w:vMerge w:val="restart"/>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gridSpan w:val="2"/>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2019 (October 1 through December 31)</w:t>
            </w:r>
          </w:p>
        </w:tc>
        <w:tc>
          <w:tcPr>
            <w:tcW w:w="23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5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5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amortization expense</w:t>
            </w:r>
          </w:p>
        </w:tc>
        <w:tc>
          <w:tcPr>
            <w:tcW w:w="2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September 30, 2019 and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Outstanding as of</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September 30, 2019</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1100" w:type="dxa"/>
            <w:vAlign w:val="bottom"/>
            <w:gridSpan w:val="5"/>
          </w:tcPr>
          <w:p>
            <w:pPr>
              <w:ind w:left="8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1920" w:type="dxa"/>
            <w:vAlign w:val="bottom"/>
            <w:tcBorders>
              <w:top w:val="single" w:sz="8" w:color="CFF0FC"/>
            </w:tcBorders>
            <w:shd w:val="clear" w:color="auto" w:fill="CFF0FC"/>
          </w:tcPr>
          <w:p>
            <w:pPr>
              <w:jc w:val="center"/>
              <w:ind w:right="410"/>
              <w:spacing w:after="0"/>
              <w:rPr>
                <w:sz w:val="20"/>
                <w:szCs w:val="20"/>
                <w:color w:val="auto"/>
              </w:rPr>
            </w:pPr>
            <w:r>
              <w:rPr>
                <w:rFonts w:ascii="Arial" w:cs="Arial" w:eastAsia="Arial" w:hAnsi="Arial"/>
                <w:sz w:val="18"/>
                <w:szCs w:val="18"/>
                <w:color w:val="auto"/>
                <w:w w:val="91"/>
              </w:rPr>
              <w:t>Lazard Group 2020</w:t>
            </w:r>
          </w:p>
        </w:tc>
        <w:tc>
          <w:tcPr>
            <w:tcW w:w="6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jc w:val="center"/>
              <w:ind w:right="370"/>
              <w:spacing w:after="0"/>
              <w:rPr>
                <w:sz w:val="20"/>
                <w:szCs w:val="20"/>
                <w:color w:val="auto"/>
              </w:rPr>
            </w:pPr>
            <w:r>
              <w:rPr>
                <w:rFonts w:ascii="Arial" w:cs="Arial" w:eastAsia="Arial" w:hAnsi="Arial"/>
                <w:sz w:val="18"/>
                <w:szCs w:val="18"/>
                <w:color w:val="auto"/>
                <w:w w:val="90"/>
              </w:rPr>
              <w:t>Senior Notes (a)</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Pr>
          <w:p>
            <w:pPr>
              <w:jc w:val="center"/>
              <w:ind w:right="410"/>
              <w:spacing w:after="0"/>
              <w:rPr>
                <w:sz w:val="20"/>
                <w:szCs w:val="20"/>
                <w:color w:val="auto"/>
              </w:rPr>
            </w:pPr>
            <w:r>
              <w:rPr>
                <w:rFonts w:ascii="Arial" w:cs="Arial" w:eastAsia="Arial" w:hAnsi="Arial"/>
                <w:sz w:val="18"/>
                <w:szCs w:val="18"/>
                <w:color w:val="auto"/>
                <w:w w:val="91"/>
              </w:rPr>
              <w:t>Lazard Group 2025</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397,466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jc w:val="center"/>
              <w:ind w:right="410"/>
              <w:spacing w:after="0"/>
              <w:rPr>
                <w:sz w:val="20"/>
                <w:szCs w:val="20"/>
                <w:color w:val="auto"/>
              </w:rPr>
            </w:pPr>
            <w:r>
              <w:rPr>
                <w:rFonts w:ascii="Arial" w:cs="Arial" w:eastAsia="Arial" w:hAnsi="Arial"/>
                <w:sz w:val="18"/>
                <w:szCs w:val="18"/>
                <w:color w:val="auto"/>
                <w:w w:val="91"/>
              </w:rPr>
              <w:t>Lazard Group 2027</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297,080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Pr>
          <w:p>
            <w:pPr>
              <w:jc w:val="center"/>
              <w:ind w:right="410"/>
              <w:spacing w:after="0"/>
              <w:rPr>
                <w:sz w:val="20"/>
                <w:szCs w:val="20"/>
                <w:color w:val="auto"/>
              </w:rPr>
            </w:pPr>
            <w:r>
              <w:rPr>
                <w:rFonts w:ascii="Arial" w:cs="Arial" w:eastAsia="Arial" w:hAnsi="Arial"/>
                <w:sz w:val="18"/>
                <w:szCs w:val="18"/>
                <w:color w:val="auto"/>
                <w:w w:val="91"/>
              </w:rPr>
              <w:t>Lazard Group 2028</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jc w:val="center"/>
              <w:ind w:right="370"/>
              <w:spacing w:after="0"/>
              <w:rPr>
                <w:sz w:val="20"/>
                <w:szCs w:val="20"/>
                <w:color w:val="auto"/>
              </w:rPr>
            </w:pPr>
            <w:r>
              <w:rPr>
                <w:rFonts w:ascii="Arial" w:cs="Arial" w:eastAsia="Arial" w:hAnsi="Arial"/>
                <w:sz w:val="18"/>
                <w:szCs w:val="18"/>
                <w:color w:val="auto"/>
                <w:w w:val="90"/>
              </w:rPr>
              <w:t>Senior Notes (a)</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9/19/28</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491,962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8,774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jc w:val="center"/>
              <w:ind w:right="410"/>
              <w:spacing w:after="0"/>
              <w:rPr>
                <w:sz w:val="20"/>
                <w:szCs w:val="20"/>
                <w:color w:val="auto"/>
              </w:rPr>
            </w:pPr>
            <w:r>
              <w:rPr>
                <w:rFonts w:ascii="Arial" w:cs="Arial" w:eastAsia="Arial" w:hAnsi="Arial"/>
                <w:sz w:val="18"/>
                <w:szCs w:val="18"/>
                <w:color w:val="auto"/>
                <w:w w:val="91"/>
              </w:rPr>
              <w:t>Lazard Group 2029</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jc w:val="center"/>
              <w:ind w:right="370"/>
              <w:spacing w:after="0"/>
              <w:rPr>
                <w:sz w:val="20"/>
                <w:szCs w:val="20"/>
                <w:color w:val="auto"/>
              </w:rPr>
            </w:pPr>
            <w:r>
              <w:rPr>
                <w:rFonts w:ascii="Arial" w:cs="Arial" w:eastAsia="Arial" w:hAnsi="Arial"/>
                <w:sz w:val="18"/>
                <w:szCs w:val="18"/>
                <w:color w:val="auto"/>
                <w:w w:val="90"/>
              </w:rPr>
              <w:t>Senior Notes (a)</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3/11/29</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4.375%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7,587</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492,413</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Pr>
          <w:p>
            <w:pPr>
              <w:ind w:left="26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1,700,000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21,079</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1,678,921</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1,450,000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15,740</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1,434,260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380" w:right="40" w:hanging="372"/>
        <w:spacing w:after="0" w:line="253"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March 2019, Lazard Group completed an offering of $500,000 aggregate principal amount of 4.375% senior notes due 2029 (the “2029 Notes”). Interest on the 2029 Notes is payable semi-annually on March 11 and September 11 of each year, beginning September 11, 2019. Lazard Group used a portion of the net proceeds of the 2029 Notes to redeem or otherwise retire $250,000 aggregate principal amount of the 4.25% senior notes due 2020 (the “2020 Notes”). In March 2019, $167,943 aggregate principal amount was redeemed or otherwise retired, and the remaining $82,057 was redeemed or otherwise retired in April 2019.</w:t>
      </w:r>
    </w:p>
    <w:p>
      <w:pPr>
        <w:spacing w:after="0" w:line="231" w:lineRule="exact"/>
        <w:rPr>
          <w:rFonts w:ascii="Arial" w:cs="Arial" w:eastAsia="Arial" w:hAnsi="Arial"/>
          <w:sz w:val="18"/>
          <w:szCs w:val="18"/>
          <w:color w:val="auto"/>
        </w:rPr>
      </w:pPr>
    </w:p>
    <w:p>
      <w:pPr>
        <w:jc w:val="both"/>
        <w:ind w:left="380" w:right="160"/>
        <w:spacing w:after="0" w:line="264" w:lineRule="auto"/>
        <w:rPr>
          <w:rFonts w:ascii="Arial" w:cs="Arial" w:eastAsia="Arial" w:hAnsi="Arial"/>
          <w:sz w:val="18"/>
          <w:szCs w:val="18"/>
          <w:color w:val="auto"/>
        </w:rPr>
      </w:pPr>
      <w:r>
        <w:rPr>
          <w:rFonts w:ascii="Arial" w:cs="Arial" w:eastAsia="Arial" w:hAnsi="Arial"/>
          <w:sz w:val="18"/>
          <w:szCs w:val="18"/>
          <w:color w:val="auto"/>
        </w:rPr>
        <w:t>During September 2018, Lazard Group completed an offering of $500,000 aggregate principal amount of the 2028 Notes. Interest on the 2028 Notes is payable semi-annually on March 19 and September 19 of each year, beginning March 19, 2019. Lazard Group used a portion of the net proceeds of the 2028 Notes to redeem or otherwise retire $250,000 aggregate principal amount of the 2020 Notes.</w:t>
      </w:r>
    </w:p>
    <w:p>
      <w:pPr>
        <w:spacing w:after="0" w:line="5" w:lineRule="exact"/>
        <w:rPr>
          <w:rFonts w:ascii="Arial" w:cs="Arial" w:eastAsia="Arial" w:hAnsi="Arial"/>
          <w:sz w:val="18"/>
          <w:szCs w:val="18"/>
          <w:color w:val="auto"/>
        </w:rPr>
      </w:pPr>
    </w:p>
    <w:p>
      <w:pPr>
        <w:ind w:left="380" w:right="220" w:hanging="372"/>
        <w:spacing w:after="0" w:line="264"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 interest rates of Lazard Group’s 3.75% senior notes due February 13, 2025 (the “2025 Notes”), Lazard Group’s 3.625% senior notes due March 1, 2027 (the “2027 Notes”), Lazard Group’s 4.50% senior notes due September 19, 2028 (the “2028 Notes”) and the 2029 Notes are 3.87%, 3.76%, 4.68% and 4.54%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September 30, 2019 and December 31, 2018, no amounts were outstanding under the Amended and Restated Credit Agreement.</w:t>
      </w:r>
    </w:p>
    <w:p>
      <w:pPr>
        <w:spacing w:after="0" w:line="193"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September 30, 2019, the Company was in compliance with such provisions. All of the Company’s senior debt obligations are unsecured.</w:t>
      </w:r>
    </w:p>
    <w:p>
      <w:pPr>
        <w:spacing w:after="0" w:line="14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 of September 30, 2019, the Company had approximately $167,000 in unused lines of credit available to it, including the credit facility provided under the Amended and Restated Credit Agreement and unused lines of credit available to LFB of approximately $16,000.</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Company’s senior debt at September 30, 2019 and December 31, 2018 is carried at historical amounts of $1,678,921 and $1,434,260, respectively. At those dates, the fair value of such senior debt was approximately $1,817,000 and $1,429,000, respectively. The fair value of the Company’s senior debt is based on market quotations. The Company’s senior debt would be categorized within Level 2 of the hierarchy of fair value measurements if carried at fair value.</w:t>
      </w:r>
    </w:p>
    <w:p>
      <w:pPr>
        <w:spacing w:after="0" w:line="376"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September 30, 2019, LFB had $2,422 of such indemnifications and held $2,422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87"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b w:val="1"/>
          <w:bCs w:val="1"/>
          <w:i w:val="1"/>
          <w:iCs w:val="1"/>
          <w:color w:val="auto"/>
        </w:rPr>
        <w:t>Business Acquisitions</w:t>
      </w:r>
      <w:r>
        <w:rPr>
          <w:rFonts w:ascii="Arial" w:cs="Arial" w:eastAsia="Arial" w:hAnsi="Arial"/>
          <w:sz w:val="16"/>
          <w:szCs w:val="16"/>
          <w:color w:val="auto"/>
        </w:rPr>
        <w:t>—For businesses acquired in 2016, the remaining consideration consists of (i) 40,585 shares of Class A common stock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non-compete provisions and employment conditions, and non-contingent interests exchangeable into 202,984 shares of Class A common stock, and (ii) up to 447,443 additional shares of Class A common stock that are subject to certain performance thresholds, as well as applicable related dividend equivalent amounts. During the nine month period ended September 30, 2019, 437,416 of the contingent shares were earned, including dividend equivalent amounts.</w:t>
      </w:r>
    </w:p>
    <w:p>
      <w:pPr>
        <w:spacing w:after="0" w:line="154"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September 30, 2019, LFB and LFNY had no such underwriting commitments.</w:t>
      </w:r>
    </w:p>
    <w:p>
      <w:pPr>
        <w:spacing w:after="0" w:line="18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See Notes 6 and 15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nine month period ended September 30, 2019 and since 2017, the Board of Directors of Lazard authorized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repurchase of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340" w:type="dxa"/>
            <w:vAlign w:val="bottom"/>
            <w:vMerge w:val="restart"/>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16"/>
              <w:spacing w:after="0"/>
              <w:rPr>
                <w:sz w:val="20"/>
                <w:szCs w:val="20"/>
                <w:color w:val="auto"/>
              </w:rPr>
            </w:pPr>
            <w:r>
              <w:rPr>
                <w:rFonts w:ascii="Arial" w:cs="Arial" w:eastAsia="Arial" w:hAnsi="Arial"/>
                <w:sz w:val="14"/>
                <w:szCs w:val="14"/>
                <w:b w:val="1"/>
                <w:bCs w:val="1"/>
                <w:color w:val="auto"/>
              </w:rPr>
              <w:t>Repurchase</w:t>
            </w:r>
          </w:p>
        </w:tc>
        <w:tc>
          <w:tcPr>
            <w:tcW w:w="2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2"/>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36"/>
              <w:spacing w:after="0" w:line="158" w:lineRule="exact"/>
              <w:rPr>
                <w:sz w:val="20"/>
                <w:szCs w:val="20"/>
                <w:color w:val="auto"/>
              </w:rPr>
            </w:pPr>
            <w:r>
              <w:rPr>
                <w:rFonts w:ascii="Arial" w:cs="Arial" w:eastAsia="Arial" w:hAnsi="Arial"/>
                <w:sz w:val="14"/>
                <w:szCs w:val="14"/>
                <w:b w:val="1"/>
                <w:bCs w:val="1"/>
                <w:color w:val="auto"/>
                <w:w w:val="99"/>
              </w:rPr>
              <w:t>Authorization</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October 2017</w:t>
            </w:r>
          </w:p>
        </w:tc>
        <w:tc>
          <w:tcPr>
            <w:tcW w:w="25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31,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April 2018</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2018</w:t>
            </w:r>
          </w:p>
        </w:tc>
        <w:tc>
          <w:tcPr>
            <w:tcW w:w="2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expects that the share repurchase program will continue to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78"/>
        </w:trPr>
        <w:tc>
          <w:tcPr>
            <w:tcW w:w="6280" w:type="dxa"/>
            <w:vAlign w:val="bottom"/>
            <w:gridSpan w:val="3"/>
            <w:vMerge w:val="continue"/>
          </w:tcPr>
          <w:p>
            <w:pPr>
              <w:spacing w:after="0"/>
              <w:rPr>
                <w:sz w:val="15"/>
                <w:szCs w:val="15"/>
                <w:color w:val="auto"/>
              </w:rPr>
            </w:pPr>
          </w:p>
        </w:tc>
        <w:tc>
          <w:tcPr>
            <w:tcW w:w="1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7"/>
        </w:trPr>
        <w:tc>
          <w:tcPr>
            <w:tcW w:w="2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412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5,797,789</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52.88</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2019</w:t>
            </w:r>
          </w:p>
        </w:tc>
        <w:tc>
          <w:tcPr>
            <w:tcW w:w="4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11,946,943</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During the nine month periods ended September 30, 2019 and 2018,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certain of our executive officers equal in value to all or a portion of the estimated amount of such tax. In addition, during the nine month period ended September 30, 2018, the Company purchased shares of Class A common stock from certain of our executive officers. The aggregate value of all such purchases during the nine month periods ended September 30, 2019 and 2018 was approximately $14,600 and $16,400, respectively. Such shares of Class A common stock are reported at cost.</w:t>
      </w:r>
    </w:p>
    <w:p>
      <w:pPr>
        <w:spacing w:after="0" w:line="18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As of September 30, 2019, a total of $165,231 of share repurchase authorization remained available under the Company’s share repurchase program, all of which will expire on December 31, 2020.</w:t>
      </w:r>
    </w:p>
    <w:p>
      <w:pPr>
        <w:spacing w:after="0" w:line="17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addition, on October 30, 2019, the Board of Directors of Lazard authorized the repurchase of up to $300,000 of additional shares of Class A common stock, which authorization will expire on December 31, 2021, bringing the total available share repurchase authorization as of October 30, 2019 to approximately $437,000.</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During the nine month period ended September 30, 2019, the Company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—Lazard Ltd has 15,000,000 authorized shares of preferred stock, par value $0.01 per share, inclusive of its Series A and Series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Series A and Series B preferred shares were issued in connection with certain prior year business acquisitions and were each non-participating securities convertible into Class A common stock, and had no voting or dividend rights. As of both September 30, 2019 and December 31, 2018, no shares of Series A or Series B preferred stock were outstanding.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tables below reflect the balances of each component of AOCI at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and 2018 and activity during the three month and nine month periods then ended: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Three Months Ended September 30, 2019</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July 1, 2019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(133,410</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(138,577</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(271,987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(271,984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(26,760)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(17,710)</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(17,711)</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(16,636)</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(160,170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(128,453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(288,623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(288,621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Nine Months Ended September 30, 2019</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(130,137</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(143,683</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(273,820</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(273,818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(30,033)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(18,122)</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(18,122)</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(14,803)</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(160,170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(128,453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(288,623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(288,621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July 1, 2018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(109,642</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(143,859</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(253,501</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(253,499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(8,676)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(7,813)</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(7,815)</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(6,864)</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(118,318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(142,047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(260,365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(260,365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Nine Months Ended September 30, 2018</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(148,984</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(232,519</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(232,518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(34,783)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(30,634)</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(30,635)</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(27,846)</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(118,318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(142,047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(260,365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(260,365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table below reflects adjustments for items reclassified out of AOCI, by component, for the three month and nine 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40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1,246</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1,213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1,074</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3,319</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380" w:right="400" w:hanging="372"/>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15). Such amounts are included in “operating expenses</w:t>
      </w:r>
      <w:r>
        <w:rPr>
          <w:rFonts w:ascii="Arial" w:cs="Arial" w:eastAsia="Arial" w:hAnsi="Arial"/>
          <w:sz w:val="18"/>
          <w:szCs w:val="18"/>
          <w:i w:val="1"/>
          <w:iCs w:val="1"/>
          <w:color w:val="auto"/>
        </w:rPr>
        <w:t>—</w:t>
      </w:r>
      <w:r>
        <w:rPr>
          <w:rFonts w:ascii="Arial" w:cs="Arial" w:eastAsia="Arial" w:hAnsi="Arial"/>
          <w:sz w:val="18"/>
          <w:szCs w:val="18"/>
          <w:color w:val="auto"/>
        </w:rPr>
        <w:t>other” on the condensed consolidated statements of operations.</w:t>
      </w:r>
    </w:p>
    <w:p>
      <w:pPr>
        <w:spacing w:after="0" w:line="170"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 (ii) profits interest participation rights (see Note 14) and (iii) consolidated VIE interests held by employees (see Note 22).</w:t>
      </w:r>
    </w:p>
    <w:p>
      <w:pPr>
        <w:spacing w:after="0" w:line="181"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nine month periods ended September 30, 2019 and 2018 and noncontrolling interests as of September 30, 2019 and December 31, 2018 in the Company’s condensed consolidated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2"/>
              </w:rPr>
              <w:t>Net Income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20" w:type="dxa"/>
            <w:vAlign w:val="bottom"/>
            <w:gridSpan w:val="4"/>
          </w:tcPr>
          <w:p>
            <w:pPr>
              <w:jc w:val="center"/>
              <w:ind w:right="258"/>
              <w:spacing w:after="0" w:line="149" w:lineRule="exact"/>
              <w:rPr>
                <w:sz w:val="20"/>
                <w:szCs w:val="20"/>
                <w:color w:val="auto"/>
              </w:rPr>
            </w:pPr>
            <w:r>
              <w:rPr>
                <w:rFonts w:ascii="Arial" w:cs="Arial" w:eastAsia="Arial" w:hAnsi="Arial"/>
                <w:sz w:val="14"/>
                <w:szCs w:val="14"/>
                <w:b w:val="1"/>
                <w:bCs w:val="1"/>
                <w:color w:val="auto"/>
                <w:w w:val="94"/>
              </w:rPr>
              <w:t>Attributable to Noncontrolling</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2"/>
              </w:rPr>
              <w:t>Interests</w:t>
            </w: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780" w:type="dxa"/>
            <w:vAlign w:val="bottom"/>
            <w:gridSpan w:val="6"/>
          </w:tcPr>
          <w:p>
            <w:pPr>
              <w:ind w:left="600"/>
              <w:spacing w:after="0" w:line="147" w:lineRule="exact"/>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2"/>
                <w:szCs w:val="12"/>
                <w:color w:val="auto"/>
              </w:rPr>
            </w:pPr>
          </w:p>
        </w:tc>
        <w:tc>
          <w:tcPr>
            <w:tcW w:w="2240" w:type="dxa"/>
            <w:vAlign w:val="bottom"/>
            <w:gridSpan w:val="4"/>
          </w:tcPr>
          <w:p>
            <w:pPr>
              <w:jc w:val="right"/>
              <w:ind w:right="594"/>
              <w:spacing w:after="0" w:line="147"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Borders>
              <w:bottom w:val="single" w:sz="8" w:color="CFF0FC"/>
            </w:tcBorders>
          </w:tcPr>
          <w:p>
            <w:pPr>
              <w:spacing w:after="0"/>
              <w:rPr>
                <w:sz w:val="13"/>
                <w:szCs w:val="13"/>
                <w:color w:val="auto"/>
              </w:rPr>
            </w:pPr>
          </w:p>
        </w:tc>
        <w:tc>
          <w:tcPr>
            <w:tcW w:w="24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4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1,302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Consolidated VIEs</w:t>
            </w:r>
          </w:p>
        </w:tc>
        <w:tc>
          <w:tcPr>
            <w:tcW w:w="2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1,492</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8,662</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60" w:type="dxa"/>
            <w:vAlign w:val="bottom"/>
            <w:vMerge w:val="restart"/>
          </w:tcPr>
          <w:p>
            <w:pPr>
              <w:jc w:val="right"/>
              <w:ind w:right="70"/>
              <w:spacing w:after="0"/>
              <w:rPr>
                <w:sz w:val="20"/>
                <w:szCs w:val="20"/>
                <w:color w:val="auto"/>
              </w:rPr>
            </w:pPr>
            <w:r>
              <w:rPr>
                <w:rFonts w:ascii="Arial" w:cs="Arial" w:eastAsia="Arial" w:hAnsi="Arial"/>
                <w:sz w:val="18"/>
                <w:szCs w:val="18"/>
                <w:color w:val="auto"/>
              </w:rPr>
              <w:t>30</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5"/>
          </w:tcPr>
          <w:p>
            <w:pPr>
              <w:ind w:left="580"/>
              <w:spacing w:after="0"/>
              <w:rPr>
                <w:sz w:val="20"/>
                <w:szCs w:val="20"/>
                <w:color w:val="auto"/>
              </w:rPr>
            </w:pPr>
            <w:r>
              <w:rPr>
                <w:rFonts w:ascii="Arial" w:cs="Arial" w:eastAsia="Arial" w:hAnsi="Arial"/>
                <w:sz w:val="14"/>
                <w:szCs w:val="14"/>
                <w:b w:val="1"/>
                <w:bCs w:val="1"/>
                <w:color w:val="auto"/>
              </w:rPr>
              <w:t>Noncontrolling Interests as of</w:t>
            </w:r>
          </w:p>
        </w:tc>
      </w:tr>
      <w:tr>
        <w:trPr>
          <w:trHeight w:val="146"/>
        </w:trPr>
        <w:tc>
          <w:tcPr>
            <w:tcW w:w="78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277"/>
              <w:spacing w:after="0" w:line="147" w:lineRule="exact"/>
              <w:rPr>
                <w:sz w:val="20"/>
                <w:szCs w:val="20"/>
                <w:color w:val="auto"/>
              </w:rPr>
            </w:pPr>
            <w:r>
              <w:rPr>
                <w:rFonts w:ascii="Arial" w:cs="Arial" w:eastAsia="Arial" w:hAnsi="Arial"/>
                <w:sz w:val="14"/>
                <w:szCs w:val="14"/>
                <w:b w:val="1"/>
                <w:bCs w:val="1"/>
                <w:color w:val="auto"/>
              </w:rPr>
              <w:t>September 30,</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1"/>
        </w:trPr>
        <w:tc>
          <w:tcPr>
            <w:tcW w:w="78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52,311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52,695</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Profits interest participation rights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Consolidated VIEs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72,779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53,242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518"/>
        <w:spacing w:after="0" w:line="308" w:lineRule="auto"/>
        <w:rPr>
          <w:sz w:val="20"/>
          <w:szCs w:val="20"/>
          <w:color w:val="auto"/>
        </w:rPr>
      </w:pPr>
      <w:r>
        <w:rPr>
          <w:rFonts w:ascii="Arial" w:cs="Arial" w:eastAsia="Arial" w:hAnsi="Arial"/>
          <w:sz w:val="17"/>
          <w:szCs w:val="17"/>
          <w:b w:val="1"/>
          <w:bCs w:val="1"/>
          <w:i w:val="1"/>
          <w:iCs w:val="1"/>
          <w:color w:val="auto"/>
        </w:rPr>
        <w:t>Dividends Declared, October 30, 2019</w:t>
      </w:r>
      <w:r>
        <w:rPr>
          <w:rFonts w:ascii="Arial" w:cs="Arial" w:eastAsia="Arial" w:hAnsi="Arial"/>
          <w:sz w:val="17"/>
          <w:szCs w:val="17"/>
          <w:color w:val="auto"/>
        </w:rPr>
        <w:t>—On October 30, 2019, the Board of Directors of Lazard declared a quarterly dividend of $0.47 per share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Class A common stock. The dividend is payable on November 22, 2019, to stockholders of record on November 11, 2019.</w:t>
      </w:r>
    </w:p>
    <w:p>
      <w:pPr>
        <w:spacing w:after="0" w:line="14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b w:val="1"/>
          <w:bCs w:val="1"/>
          <w:i w:val="1"/>
          <w:iCs w:val="1"/>
          <w:color w:val="auto"/>
        </w:rPr>
        <w:t>Class A Common Stock Cancellation</w:t>
      </w:r>
      <w:r>
        <w:rPr>
          <w:rFonts w:ascii="Arial" w:cs="Arial" w:eastAsia="Arial" w:hAnsi="Arial"/>
          <w:sz w:val="18"/>
          <w:szCs w:val="18"/>
          <w:color w:val="auto"/>
        </w:rPr>
        <w:t>—On October 31, 2019, Lazard Group distributed to its managing members, which are subsidiaries of Lazard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Ltd, 17,000,000 shares of Class A common stock that were held by Lazard Group. These shares were ultimately received by Lazard Ltd and cancelled. There was no impact on total stockholders' equity as a result of the share cancellation.</w:t>
      </w:r>
    </w:p>
    <w:p>
      <w:pPr>
        <w:spacing w:after="0" w:line="370"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 description of Lazard Ltd’s 2018 Plan, 2008 Plan and 2005 Equity Incentive Plan (the “2005 Plan”) and activity with respect thereto during the three month and nine month periods ended September 30, 2019 and 2018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2018 Plan, 2008 Plan and 2005 Plan</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The 2018 Plan became effective on April 24, 2018 and replaced the 2008 Plan, which was terminated on April 24, 2018. The 2018 Plan authorizes the issuance of up to 30,000,000 shares of Class A common stock pursuant to the grant or exercise of stock options, stock appreciation rights, restricted stock units (“RSUs”), performance-based restricted stock units (“PRSUs”), profits interest participation rights and other share-based awards.</w:t>
      </w:r>
    </w:p>
    <w:p>
      <w:pPr>
        <w:spacing w:after="0" w:line="14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The 2008 Plan authorized the issuance of shares of Class A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Class A common stock. The 2008 Plan was terminated on April 24, 2018, and no additional awards have been or will be granted under the 2008 Plan after its termination, although outstanding awards granted under the 2008 Plan before its termination continue to be subject to its terms.</w:t>
      </w:r>
    </w:p>
    <w:p>
      <w:pPr>
        <w:spacing w:after="0" w:line="158"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The 2005 Plan authorized the issuance of up to 25,000,000 shares of Class A common stock pursuant to the grant or exercise of stock options, stock appreciation rights, RSUs and other share-based awards. The 2005 Plan expired in the second quarter of 2015, although outstanding deferred stock unit (“DSU”) awards granted under the 2005 Plan before its expiration continue to be subject to its terms.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400" w:firstLine="518"/>
        <w:spacing w:after="0" w:line="312" w:lineRule="auto"/>
        <w:rPr>
          <w:sz w:val="20"/>
          <w:szCs w:val="20"/>
          <w:color w:val="auto"/>
        </w:rPr>
      </w:pPr>
      <w:r>
        <w:rPr>
          <w:rFonts w:ascii="Arial" w:cs="Arial" w:eastAsia="Arial" w:hAnsi="Arial"/>
          <w:sz w:val="16"/>
          <w:szCs w:val="16"/>
          <w:color w:val="auto"/>
        </w:rPr>
        <w:t>The following reflects the amortization expense recorded with respect to share-based incentive plans within “compensation and benefits” expense (with respect to RSUs, PRSUs and other share-based awards) and “professional services” expense (with respect to DSUs) within the Company’s accompanying condensed consolidated statements of operations for the three month and nine month periods ended September 30, 2019 and 2018: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RSUs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37,206</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38,121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140,597</w:t>
            </w:r>
          </w:p>
        </w:tc>
        <w:tc>
          <w:tcPr>
            <w:tcW w:w="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154,643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6,950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24,871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30,323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Profits interest participation rights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42,105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DSUs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65,189</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48,357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226,272</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218,187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jc w:val="both"/>
        <w:ind w:right="280" w:firstLine="518"/>
        <w:spacing w:after="0" w:line="302"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4" w:lineRule="exact"/>
        <w:rPr>
          <w:sz w:val="20"/>
          <w:szCs w:val="20"/>
          <w:color w:val="auto"/>
        </w:rPr>
      </w:pPr>
    </w:p>
    <w:p>
      <w:pPr>
        <w:jc w:val="both"/>
        <w:ind w:right="160" w:firstLine="518"/>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nine month period ended September 30, 2019, dividend participation rights required the issuance of 725,197 RSUs and the associated charge to “retained earnings”, net of estimated forfeitures (with corresponding credits to “additional paid-in-capital”) was $24,492.</w:t>
      </w:r>
    </w:p>
    <w:p>
      <w:pPr>
        <w:spacing w:after="0" w:line="214"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Non-executive members of the Board of Directors (“Non-Executive Directors”) receive approximately 55% of their annual compensation for service on the Board of Directors and its committees in the form of DSUs, which resulted in 51,379 DSUs granted during the nine month period ended September 30, 2019.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dividends paid on Class A common stock.</w:t>
      </w:r>
    </w:p>
    <w:p>
      <w:pPr>
        <w:spacing w:after="0" w:line="173"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nine month period ended September 30, 2019, 16,103 DSUs had been granted pursuant to such Plan.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nine month period ended September 30,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3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RSUs</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DSUs</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11,362,306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323,546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Granted (including 725,197 RSUs relating to dividend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40" w:type="dxa"/>
            <w:vAlign w:val="bottom"/>
          </w:tcPr>
          <w:p>
            <w:pPr>
              <w:jc w:val="right"/>
              <w:spacing w:after="0"/>
              <w:rPr>
                <w:sz w:val="20"/>
                <w:szCs w:val="20"/>
                <w:color w:val="auto"/>
              </w:rPr>
            </w:pPr>
            <w:r>
              <w:rPr>
                <w:rFonts w:ascii="Arial" w:cs="Arial" w:eastAsia="Arial" w:hAnsi="Arial"/>
                <w:sz w:val="18"/>
                <w:szCs w:val="18"/>
                <w:color w:val="auto"/>
              </w:rPr>
              <w:t>5,729,741</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38.51</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(673,873)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Settled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(5,857,462)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37.09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10,560,712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391,028</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38.01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In connection with RSUs that settled during the nine month period ended September 30, 2019, the Company satisfied its minimum statutory tax withholding requirements in lieu of delivering 2,047,117 shares of Class A common stock during such nine month period. Accordingly, 3,810,345 shares of Class A common stock held by the Company were delivered during the nine month period ended September 30, 2019.</w:t>
      </w:r>
    </w:p>
    <w:p>
      <w:pPr>
        <w:spacing w:after="0" w:line="166"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As of September 30, 2019, estimated unrecognized RSU compensation expense was $147,308, with such expense expected to be recognized over a weighted average period of approximately 0.9 years subsequent to September 30, 2019.</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nine month period ended September 30, 2019:</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1,541,058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1,039,736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(230,787)</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Settled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(1,165,568)</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2019</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1,184,439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41.48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In connection with shares of restricted Class A common stock that settled during the nine month period ended September 30, 2019, the Company satisfied its minimum statutory tax withholding requirements in lieu of delivering 372,792 shares of Class A common stock during such nine month period. Accordingly, 792,776 shares of Class A common stock held by the Company were delivered during the nine month period ended September 30, 2019.</w:t>
      </w:r>
    </w:p>
    <w:p>
      <w:pPr>
        <w:spacing w:after="0" w:line="14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restricted stock awards include a cash dividend participation right equivalent to dividends paid on Class A common stock during the period, which will vest concurrently with the underlying restricted stock award. At September 30, 2019, estimated unrecognized restricted stock expense was $20,080, with such expense to be recognized over a weighted average period of approximately 0.9 years subsequent to September 30, 2019.</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225"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5" w:name="page36"/>
    <w:bookmarkEnd w:id="3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nine month period ended September 30, 2019:</w:t>
      </w:r>
    </w:p>
    <w:p>
      <w:pPr>
        <w:spacing w:after="0" w:line="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1,771,795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Settled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(1,171,081)</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2019</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600,714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80" w:firstLine="518"/>
        <w:spacing w:after="0" w:line="286" w:lineRule="auto"/>
        <w:rPr>
          <w:sz w:val="20"/>
          <w:szCs w:val="20"/>
          <w:color w:val="auto"/>
        </w:rPr>
      </w:pPr>
      <w:r>
        <w:rPr>
          <w:rFonts w:ascii="Arial" w:cs="Arial" w:eastAsia="Arial" w:hAnsi="Arial"/>
          <w:sz w:val="17"/>
          <w:szCs w:val="17"/>
          <w:color w:val="auto"/>
        </w:rPr>
        <w:t>In connection with certain PRSUs that settled during the nine month period ended September 30, 2019, the Company satisfied its minimum statutory tax withholding requirements in lieu of delivering 203,036 shares of Class A common stock during such nine month period. Accordingly, 968,045 shares of Class A common stock held by the Company were delivered during the nine month period ended September 30, 2019.</w:t>
      </w:r>
    </w:p>
    <w:p>
      <w:pPr>
        <w:spacing w:after="0" w:line="166"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September 30, 2019, the total estimated unrecognized compensation expense was $4,465, and the Company expects to amortize such expense over a weighted-average period of approximately 0.7 years subsequent to September 30, 2019.</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Profits Interest Participation Rights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early 2019, the Company established a new long-term incentive compensation program consisting of profits interest participation rights, which are equity incentive awards that, subject to certain conditions, may be exchanged for shares of Class A common stock pursuant to the 2018 Plan. Pursuant to the program, in February 2019, the Company granted profits interest participation rights subject to service-based and performance-based vesting criteria and other conditions, which we refer to as performance-based restricted participation units (“PRPUs”), to each of the Company’s NEOs, and profits interest participation rights subject to service-based vesting criteria and other conditions to a limited number of other senior employees, pursuant to profits interest participation right agreements. Profits interest participation rights generally provide for vesting approximately three years following the grant date, so long as applicable conditions have been satisfied.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Profits interest participation rights are a class of membership interests in Lazard Group that are intended to qualify as “profits interests” for U.S. federal income tax purposes, and are recorded as noncontrolling interests within stockholders’ equity in the Company’s condensed consolidated statements of financial condition until they are exchanged into Class A common stock, at which time there is a reclassification to additional paid-in-capital. The profits interest participation rights generally allow the recipient to realize value only to the extent that both (i) the service-based vesting conditions and, if applicable, the performance conditions, are satisfied, and (ii) an amount of economic appreciation in the assets of Lazard Group occurs as necessary to satisfy certain partnership tax rules (referred to as the "Minimum Value Condition") before the fifth anniversary of the grant date, otherwise the profits interest participation rights will be forfeited. Upon satisfaction of such conditions, profits interest participation rights that are in parity with the value of Class A common stock will be exchanged on a one-for-one basis for shares of Class A common stock. If forfeited based solely on failing to meet the Minimum Value Condition, the associated compensation expense would not be reversed.</w:t>
      </w:r>
    </w:p>
    <w:p>
      <w:pPr>
        <w:spacing w:after="0" w:line="182"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Like outstanding RSUs and similar awards, profits interest participation rights will be subject to continued employment and other conditions and restrictions and will be forfeited if those conditions and restrictions are not fulfilled. More specifically, vesting of profits interest participation rights will be subject to compliance with restrictive covenants including non-compete, non-solicitation of clients, no hire of employees and confidentiality, which are similar to those applicable to PRSUs and RSUs. In addition, profits interest participation rights must satisfy the Minimum Value Condition. PRPUs, like outstanding PRSUs, will be subject to the achievement of incremental pre-established performance conditions and financial metrics and will only result in value to the recipient to the extent the conditions are satisfied.</w:t>
      </w:r>
    </w:p>
    <w:p>
      <w:pPr>
        <w:spacing w:after="0" w:line="19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number of shares of Class A common stock that a recipient will receive upon the exchange of a PRPU award will be calculated by reference to applicable financial metrics. The target number of shares of Class A common stock subject to each PRPU is one. Based on the achievement of performance criteria, as determined by the Compensation Committee, the number of shares of Class A common stock that may be received in connection with each PRPU award will range from zero to two times the target number. Unless applicable performance conditions are satisfied during the three year performance period, and the Minimum Value Condition is satisfied within five years following the grant date, all PRPUs will be forfeited, and the recipients will not be entitled to any such awards.</w:t>
      </w:r>
    </w:p>
    <w:p>
      <w:pPr>
        <w:spacing w:after="0" w:line="193"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In addition, the performance metrics applicable to each PRPU will be evaluated on an annual basis at the end of each fiscal year during the performance period, and, if the Company has achieved a threshold level of performance with respect to the fiscal year, 25% of the target number of PRPUs will no longer be at risk of forfeiture based on the achievement of performance criteria. Profits interest participation rights are allocated income, subject to vesting and settled in cash, in respect of dividends paid on Class A common stock.</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activity relating to profits interest participation rights, including PRPUs, during the nine month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Profits Interest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Participation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3"/>
          </w:tcPr>
          <w:p>
            <w:pPr>
              <w:ind w:left="1140"/>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1,462,702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38.65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September 30, 2019</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1,462,702</w:t>
            </w:r>
          </w:p>
        </w:tc>
        <w:tc>
          <w:tcPr>
            <w:tcW w:w="40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38.65</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55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Table includes the target number of PRPUs assuming the achievement of applicable performance conditions at the target level.</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Compensation expense recognized for profits interest participation rights, including PRPUs, is determined by multiplying the number of shares of Class A common stock underlying such awards that, based on the Company’s estimate, are considered probable of vesting, by the grant date fair value. As of September 30, 2019, the total estimated unrecognized compensation expense was $19,831, and the Company expects to amortize such expense over a weighted-average period of approximately 1.2 years subsequent to September 30, 2019.</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7" w:name="page38"/>
    <w:bookmarkEnd w:id="3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activity relating to LFI and other similar deferred compensation arrangements during the nine month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76,362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101,552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(89,140)</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(1,571)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(83,301)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(990)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92,052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0.9 years subsequent to September 30, 2019.</w:t>
      </w:r>
    </w:p>
    <w:p>
      <w:pPr>
        <w:spacing w:after="0" w:line="170"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nine month periods ended September 30, 2019 and 2018:</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85,469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71,274</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the fair value of underlying investments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22,118</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25,089</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107,587</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right="60" w:firstLine="518"/>
        <w:spacing w:after="0" w:line="302"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w:t>
      </w:r>
      <w:r>
        <w:rPr>
          <w:rFonts w:ascii="Arial" w:cs="Arial" w:eastAsia="Arial" w:hAnsi="Arial"/>
          <w:sz w:val="16"/>
          <w:szCs w:val="16"/>
          <w:i w:val="1"/>
          <w:iCs w:val="1"/>
          <w:color w:val="auto"/>
        </w:rPr>
        <w:t>—</w:t>
      </w:r>
      <w:r>
        <w:rPr>
          <w:rFonts w:ascii="Arial" w:cs="Arial" w:eastAsia="Arial" w:hAnsi="Arial"/>
          <w:sz w:val="16"/>
          <w:szCs w:val="16"/>
          <w:color w:val="auto"/>
        </w:rPr>
        <w:t>other” for the other components of benefit costs on the condensed consolidated statements of operations.</w:t>
      </w:r>
    </w:p>
    <w:p>
      <w:pPr>
        <w:spacing w:after="0" w:line="154"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38" w:name="page39"/>
    <w:bookmarkEnd w:id="3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pension plans for the three month and nine month periods ended September 30,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9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cost</w:t>
            </w:r>
          </w:p>
        </w:tc>
        <w:tc>
          <w:tcPr>
            <w:tcW w:w="294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5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Interest cost</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Expected return on plan assets</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(6,697)</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(7,315)</w:t>
            </w: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Amortization of:</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Prior service cost</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Net actuarial loss (gain)</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Settlement loss</w:t>
            </w:r>
          </w:p>
        </w:tc>
        <w:tc>
          <w:tcPr>
            <w:tcW w:w="19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198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4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5880" w:type="dxa"/>
            <w:vAlign w:val="bottom"/>
          </w:tcPr>
          <w:p>
            <w:pPr>
              <w:spacing w:after="0"/>
              <w:rPr>
                <w:sz w:val="4"/>
                <w:szCs w:val="4"/>
                <w:color w:val="auto"/>
              </w:rPr>
            </w:pPr>
          </w:p>
        </w:tc>
        <w:tc>
          <w:tcPr>
            <w:tcW w:w="294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9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9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635</w:t>
            </w:r>
          </w:p>
        </w:tc>
        <w:tc>
          <w:tcPr>
            <w:tcW w:w="280" w:type="dxa"/>
            <w:vAlign w:val="bottom"/>
          </w:tcPr>
          <w:p>
            <w:pPr>
              <w:spacing w:after="0"/>
              <w:rPr>
                <w:sz w:val="19"/>
                <w:szCs w:val="19"/>
                <w:color w:val="auto"/>
              </w:rPr>
            </w:pPr>
          </w:p>
        </w:tc>
        <w:tc>
          <w:tcPr>
            <w:tcW w:w="980" w:type="dxa"/>
            <w:vAlign w:val="bottom"/>
            <w:gridSpan w:val="2"/>
          </w:tcPr>
          <w:p>
            <w:pPr>
              <w:jc w:val="right"/>
              <w:ind w:right="85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(20,596)</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(22,681)</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Settlement loss</w:t>
            </w:r>
          </w:p>
        </w:tc>
        <w:tc>
          <w:tcPr>
            <w:tcW w:w="19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19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REALIGNMENT</w:t>
      </w:r>
    </w:p>
    <w:p>
      <w:pPr>
        <w:spacing w:after="0" w:line="225"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Company conducted a review of our business, which resulted in a realignment that included employee reductions and the closing of subscale offices and investment strategies, most of which were completed during the third quarter of 2019.</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Expenses associated with business realignment for the three month and nine month periods ended September 30, 2019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6"/>
                <w:szCs w:val="16"/>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Asset</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Advisory</w:t>
            </w:r>
          </w:p>
        </w:tc>
        <w:tc>
          <w:tcPr>
            <w:tcW w:w="140" w:type="dxa"/>
            <w:vAlign w:val="bottom"/>
          </w:tcPr>
          <w:p>
            <w:pPr>
              <w:spacing w:after="0"/>
              <w:rPr>
                <w:sz w:val="18"/>
                <w:szCs w:val="18"/>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Management</w:t>
            </w:r>
          </w:p>
        </w:tc>
        <w:tc>
          <w:tcPr>
            <w:tcW w:w="16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Compensation and benefits</w:t>
            </w:r>
          </w:p>
        </w:tc>
        <w:tc>
          <w:tcPr>
            <w:tcW w:w="20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13,144</w:t>
            </w: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35,658</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14,479</w:t>
            </w:r>
          </w:p>
        </w:tc>
        <w:tc>
          <w:tcPr>
            <w:tcW w:w="4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8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Activity related to the obligations pursuant to business realignment during the three month period ended September 30, 2019 was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6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8"/>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and Benefits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July 1, 2019</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New charges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51,454</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Less: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Non-cash charges</w:t>
            </w: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(1,335)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(16,782)</w:t>
            </w: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(1,193)</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33,479</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88"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The Company recorded income tax provisions of $4,177 and $55,536 for the three month and nine month periods ended September 30, 2019, respectively, and $29,956 and $105,684 for the three month and nine month periods ended September 30, 2018, respectively, representing effective tax rates of 8.0%, 20.3%, 21.6% and 20.2%, respectively. The difference between the U.S. federal statutory rate of 21.0% and the effective tax rates reflected above principally relates to (i) excess net tax benefit for share-based incentive compensation and other discrete items, (ii) foreign source income (loss) not subject to U.S. income taxes (including interest on intercompany financings), (iii) taxes payable to foreign jurisdictions that are not offset against U.S. income taxes,</w:t>
      </w:r>
    </w:p>
    <w:p>
      <w:pPr>
        <w:spacing w:after="0" w:line="2" w:lineRule="exact"/>
        <w:rPr>
          <w:sz w:val="20"/>
          <w:szCs w:val="20"/>
          <w:color w:val="auto"/>
        </w:rPr>
      </w:pPr>
    </w:p>
    <w:p>
      <w:pPr>
        <w:ind w:right="180" w:firstLine="8"/>
        <w:spacing w:after="0" w:line="261" w:lineRule="auto"/>
        <w:tabs>
          <w:tab w:leader="none" w:pos="3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in the U.S. federal valuation allowance affecting the provision for income taxes, (v) U.S. state and local taxes, which are incremental to the U.S. federal statutory tax rate, and (vi) impact of U.S. tax reform, including base erosion and anti-abuse tax.</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11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The Company issued certain profits interest participation rights, including certain PRPUs, that the Company is required under U.S. GAAP to treat as participating securities and therefore the Company is required to utilize the “two-class” method of computing basic and diluted net income per share.</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basic and diluted net income per share calculations using the “two-class” method for the three month and nine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and using the “treasury stock” method for the three month and nine month periods ended September 30, 2018 are presented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25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25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Lazard Ltd</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46,704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107,074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209,523</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Add - adjustment for earnings attributable to participating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Lazard Ltd - basic</w:t>
            </w: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46,079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107,074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207,294</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Add - adjustment for earnings attributable to participating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Lazard Ltd - diluted</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46,079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107,074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207,299</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Class A common</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stock outstanding</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106,730,627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119,197,949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109,474,950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119,647,775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Add - adjustment for shares of Class A common stock</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issuable on a non-contingent basis</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2,555,100</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258,567</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1,595,445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249,851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Weighted average number of shares of Class A common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stock outstanding - basic</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109,285,727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119,456,516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111,070,395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119,897,626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Add - dilutive effect, as applicable, of:</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Weighted average number of incremental shares of Class A</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color w:val="auto"/>
              </w:rPr>
              <w:t>common stock issuable from share-based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incentive compensation</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4,595,963</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10,403,212</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5,888,646</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10,852,766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of Class A common stock</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outstanding - diluted</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113,881,690</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129,859,728</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116,959,041</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130,750,392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income attributable to Lazard Ltd per share of Class</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A common stock:</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260" w:right="9300" w:hanging="252"/>
        <w:spacing w:after="0" w:line="397" w:lineRule="auto"/>
        <w:tabs>
          <w:tab w:leader="none" w:pos="514" w:val="left"/>
        </w:tabs>
        <w:numPr>
          <w:ilvl w:val="0"/>
          <w:numId w:val="3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RELATED PARTIES Sponsored Funds</w:t>
      </w:r>
    </w:p>
    <w:p>
      <w:pPr>
        <w:spacing w:after="0" w:line="2"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Company serves as an investment advisor for certain affiliated investment companies and fund entities and receives management fees and, for the alternative investment funds, performance-based incentive fees for providing such services. Investment advisory fees relating to such services were $141,365 and $438,733 for the three month and nine month periods ended September 30, 2019, respectively, and $158,425 and $510,414 for the three month and nine month periods ended September 30, 2018, respectively, and are included in “asset management fees” on the condensed consolidated statements of operations. Of such amounts, $55,714 and $59,304 remained as receivables at September 30, 2019 and December 31, 2018, respectively, and are included in “fees receivable” on the condensed consolidated statements of financial condition.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780" w:firstLine="518"/>
        <w:spacing w:after="0" w:line="291" w:lineRule="auto"/>
        <w:rPr>
          <w:sz w:val="20"/>
          <w:szCs w:val="20"/>
          <w:color w:val="auto"/>
        </w:rPr>
      </w:pPr>
      <w:r>
        <w:rPr>
          <w:rFonts w:ascii="Arial" w:cs="Arial" w:eastAsia="Arial" w:hAnsi="Arial"/>
          <w:sz w:val="16"/>
          <w:szCs w:val="16"/>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w:t>
      </w:r>
    </w:p>
    <w:p>
      <w:pPr>
        <w:ind w:left="5620" w:right="3800" w:hanging="5612"/>
        <w:spacing w:after="0" w:line="511" w:lineRule="auto"/>
        <w:tabs>
          <w:tab w:leader="none" w:pos="2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approximately 45% of the amount of cash savings, if any, in U.S. federal, state and local income tax or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1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franchise tax that we actually realize as a result of certain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who include certain of our executive officers, in proportion to their beneficial interests in the Trust.</w:t>
      </w:r>
    </w:p>
    <w:p>
      <w:pPr>
        <w:spacing w:after="0" w:line="173"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73"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For example,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the “provision (benefit) for income taxes”.</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as of September 30, 2019 and December 31, 2018 was $246,953 and $270,640, respectively, and is recorded in “tax receivable agreement obligation” on the condensed consolidated statements of financial condition. The balance at September 30, 2019 reflects a payment made under the Amended and Restated Tax Receivable Agreement in the nine months ended September 30, 2019 of $23,687.</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During the nine month period ended September 30, 2019, the Company recognized approximately $9,000 of investment banking and other advisory fees pertaining to financial advisory services provided to clients of which a member of the Company’s Board of Directors also served as a member of the client’s board of directors or in a management capacity. The engagement terms were negotiated in the ordinary course of business on an arms-length basis.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13 for information regarding related party transactions pertaining to shares repurchased from certain of our executive officers.</w:t>
      </w: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September 30, 2019, LFNY’s regulatory net capital was $133,716, which exceeded the minimum requirement by $128,376. LFNY’s aggregate indebtedness to net capital ratio was 0.60:1 as of September 30, 2019.</w:t>
      </w:r>
    </w:p>
    <w:p>
      <w:pPr>
        <w:spacing w:after="0" w:line="193"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September 30, 2019, the aggregate regulatory net capital of the U.K. Subsidiaries was $148,962, which exceeded the minimum requirement by $132,957.</w:t>
      </w:r>
    </w:p>
    <w:p>
      <w:pPr>
        <w:spacing w:after="0" w:line="18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management) and other clients, and asset-liability management. The investment services activities of the Paris group, exercised through LFB and other subsidiaries of CFLF, primarily LFG, also are subject to regulation and supervision by the Autorité des Marchés Financiers. At September 30, 2019, the consolidated regulatory net capital of CFLF was $161,499, which exceeded the minimum requirement set for regulatory capital levels by $106,159.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June 30, 2019, the regulatory net capital of the combined European regulated group was $211,440, which exceeded the minimum requirement set for regulatory capital levels by $107,119.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80"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2019, for those subsidiaries with regulatory capital requirements, their aggregate net capital was $153,873, which exceeded the minimum required capital by $125,826.</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2019, each of these subsidiaries individually was in compliance with its regulatory capital requirements.</w:t>
      </w:r>
    </w:p>
    <w:p>
      <w:pPr>
        <w:spacing w:after="0" w:line="225"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Company’s segment information for the three month and nine month periods ended September 30, 2019 and 2018 is prepared using the following methodology:</w:t>
      </w:r>
    </w:p>
    <w:p>
      <w:pPr>
        <w:spacing w:after="0" w:line="62" w:lineRule="exact"/>
        <w:rPr>
          <w:sz w:val="20"/>
          <w:szCs w:val="20"/>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46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right="6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3" w:name="page44"/>
    <w:bookmarkEnd w:id="4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9"/>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54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2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305,982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310,418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973,964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1,141,628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(a)</w:t>
            </w: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307,147</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250,651</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863,646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893,524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8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59,767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110,318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8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300,015</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325,240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917,439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1,032,111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Operating Expenses (a)</w:t>
            </w:r>
          </w:p>
        </w:tc>
        <w:tc>
          <w:tcPr>
            <w:tcW w:w="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225,819</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211,564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652,188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26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Operating Income</w:t>
            </w:r>
          </w:p>
        </w:tc>
        <w:tc>
          <w:tcPr>
            <w:tcW w:w="8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74,196</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113,676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265,251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2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(9,177)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(25,971)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(a)</w:t>
            </w: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5,729</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25,585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75,877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8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(20,658)</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(34,762)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(101,848)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8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591,068</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626,481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1,865,432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2,139,117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Operating Expenses (a)</w:t>
            </w:r>
          </w:p>
        </w:tc>
        <w:tc>
          <w:tcPr>
            <w:tcW w:w="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538,695</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487,800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1,591,711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1,614,668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8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52,373</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138,681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273,721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20" w:type="dxa"/>
            <w:vAlign w:val="bottom"/>
            <w:tcBorders>
              <w:bottom w:val="single" w:sz="8" w:color="auto"/>
            </w:tcBorders>
          </w:tcPr>
          <w:p>
            <w:pPr>
              <w:spacing w:after="0"/>
              <w:rPr>
                <w:sz w:val="11"/>
                <w:szCs w:val="11"/>
                <w:color w:val="auto"/>
              </w:rPr>
            </w:pPr>
          </w:p>
        </w:tc>
        <w:tc>
          <w:tcPr>
            <w:tcW w:w="3220" w:type="dxa"/>
            <w:vAlign w:val="bottom"/>
            <w:gridSpan w:val="3"/>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5140" w:type="dxa"/>
            <w:vAlign w:val="bottom"/>
            <w:gridSpan w:val="4"/>
          </w:tcPr>
          <w:p>
            <w:pPr>
              <w:spacing w:after="0"/>
              <w:rPr>
                <w:sz w:val="20"/>
                <w:szCs w:val="20"/>
                <w:color w:val="auto"/>
              </w:rPr>
            </w:pPr>
            <w:r>
              <w:rPr>
                <w:rFonts w:ascii="Arial" w:cs="Arial" w:eastAsia="Arial" w:hAnsi="Arial"/>
                <w:sz w:val="18"/>
                <w:szCs w:val="18"/>
                <w:color w:val="auto"/>
              </w:rPr>
              <w:t>(a) See Note 16 for information regarding business realignment.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tcPr>
          <w:p>
            <w:pPr>
              <w:jc w:val="right"/>
              <w:ind w:right="280"/>
              <w:spacing w:after="0" w:line="155" w:lineRule="exact"/>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tcPr>
          <w:p>
            <w:pPr>
              <w:jc w:val="right"/>
              <w:ind w:right="131"/>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FF0FC"/>
            </w:tcBorders>
            <w:shd w:val="clear" w:color="auto" w:fill="CFF0FC"/>
          </w:tcPr>
          <w:p>
            <w:pPr>
              <w:spacing w:after="0"/>
              <w:rPr>
                <w:sz w:val="19"/>
                <w:szCs w:val="19"/>
                <w:color w:val="auto"/>
              </w:rPr>
            </w:pPr>
          </w:p>
        </w:tc>
        <w:tc>
          <w:tcPr>
            <w:tcW w:w="25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140"/>
              <w:spacing w:after="0"/>
              <w:rPr>
                <w:sz w:val="20"/>
                <w:szCs w:val="20"/>
                <w:color w:val="auto"/>
              </w:rPr>
            </w:pPr>
            <w:r>
              <w:rPr>
                <w:rFonts w:ascii="Arial" w:cs="Arial" w:eastAsia="Arial" w:hAnsi="Arial"/>
                <w:sz w:val="18"/>
                <w:szCs w:val="18"/>
                <w:color w:val="auto"/>
              </w:rPr>
              <w:t>Financial Advisory</w:t>
            </w:r>
          </w:p>
        </w:tc>
        <w:tc>
          <w:tcPr>
            <w:tcW w:w="1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4"/>
              </w:rPr>
              <w:t>1,075,851</w:t>
            </w:r>
          </w:p>
        </w:tc>
        <w:tc>
          <w:tcPr>
            <w:tcW w:w="80" w:type="dxa"/>
            <w:vAlign w:val="bottom"/>
          </w:tcPr>
          <w:p>
            <w:pPr>
              <w:spacing w:after="0"/>
              <w:rPr>
                <w:sz w:val="19"/>
                <w:szCs w:val="19"/>
                <w:color w:val="auto"/>
              </w:rPr>
            </w:pP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859,306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Asset Management</w:t>
            </w:r>
          </w:p>
        </w:tc>
        <w:tc>
          <w:tcPr>
            <w:tcW w:w="14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703,744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728,220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CFF0FC"/>
            </w:tcBorders>
          </w:tcPr>
          <w:p>
            <w:pPr>
              <w:spacing w:after="0"/>
              <w:rPr>
                <w:sz w:val="19"/>
                <w:szCs w:val="19"/>
                <w:color w:val="auto"/>
              </w:rPr>
            </w:pPr>
          </w:p>
        </w:tc>
        <w:tc>
          <w:tcPr>
            <w:tcW w:w="254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3,772,284</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3,409,715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25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4"/>
              </w:rPr>
              <w:t>5,551,879</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4,997,241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60" w:type="dxa"/>
            <w:vAlign w:val="bottom"/>
            <w:vMerge w:val="restart"/>
          </w:tcPr>
          <w:p>
            <w:pPr>
              <w:jc w:val="right"/>
              <w:ind w:right="11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CONSOLIDATED VIEs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Company’s consolidated VIEs as of September 30, 2019 include certain funds that were recently established for the benefit of employees participating in the Company’s existing LFI deferred compensation arrangement. Lazard invests in these funds and is the investment manager and is therefore deemed to have both the power to direct the most significant activities of the funds and the right to receive benefits (or the obligation to absorb losses) that could potentially be significant to these funds. The Company’s consolidated VIE assets and liabilities as reflected in the condensed consolidated statements of financial condition consist of the following at September 30, 2019:</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94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3,377</w:t>
            </w:r>
          </w:p>
        </w:tc>
        <w:tc>
          <w:tcPr>
            <w:tcW w:w="120" w:type="dxa"/>
            <w:vAlign w:val="bottom"/>
          </w:tcPr>
          <w:p>
            <w:pPr>
              <w:spacing w:after="0"/>
              <w:rPr>
                <w:sz w:val="21"/>
                <w:szCs w:val="21"/>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Customers and other receivables</w:t>
            </w:r>
          </w:p>
        </w:tc>
        <w:tc>
          <w:tcPr>
            <w:tcW w:w="7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FF0FC"/>
          </w:tcPr>
          <w:p>
            <w:pPr>
              <w:spacing w:after="0"/>
              <w:rPr>
                <w:sz w:val="21"/>
                <w:szCs w:val="21"/>
                <w:color w:val="auto"/>
              </w:rPr>
            </w:pPr>
          </w:p>
        </w:tc>
      </w:tr>
      <w:tr>
        <w:trPr>
          <w:trHeight w:val="243"/>
        </w:trPr>
        <w:tc>
          <w:tcPr>
            <w:tcW w:w="9480" w:type="dxa"/>
            <w:vAlign w:val="bottom"/>
            <w:gridSpan w:val="2"/>
          </w:tcPr>
          <w:p>
            <w:pPr>
              <w:spacing w:after="0"/>
              <w:rPr>
                <w:sz w:val="20"/>
                <w:szCs w:val="20"/>
                <w:color w:val="auto"/>
              </w:rPr>
            </w:pPr>
            <w:r>
              <w:rPr>
                <w:rFonts w:ascii="Arial" w:cs="Arial" w:eastAsia="Arial" w:hAnsi="Arial"/>
                <w:sz w:val="18"/>
                <w:szCs w:val="18"/>
                <w:color w:val="auto"/>
              </w:rPr>
              <w:t>Investments (a)</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89,333</w:t>
            </w:r>
          </w:p>
        </w:tc>
        <w:tc>
          <w:tcPr>
            <w:tcW w:w="120" w:type="dxa"/>
            <w:vAlign w:val="bottom"/>
          </w:tcPr>
          <w:p>
            <w:pPr>
              <w:spacing w:after="0"/>
              <w:rPr>
                <w:sz w:val="21"/>
                <w:szCs w:val="21"/>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7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FF0FC"/>
          </w:tcPr>
          <w:p>
            <w:pPr>
              <w:spacing w:after="0"/>
              <w:rPr>
                <w:sz w:val="21"/>
                <w:szCs w:val="21"/>
                <w:color w:val="auto"/>
              </w:rPr>
            </w:pPr>
          </w:p>
        </w:tc>
      </w:tr>
      <w:tr>
        <w:trPr>
          <w:trHeight w:val="237"/>
        </w:trPr>
        <w:tc>
          <w:tcPr>
            <w:tcW w:w="9480" w:type="dxa"/>
            <w:vAlign w:val="bottom"/>
            <w:gridSpan w:val="2"/>
          </w:tcPr>
          <w:p>
            <w:pPr>
              <w:ind w:left="500"/>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93,998</w:t>
            </w:r>
          </w:p>
        </w:tc>
        <w:tc>
          <w:tcPr>
            <w:tcW w:w="120" w:type="dxa"/>
            <w:vAlign w:val="bottom"/>
          </w:tcPr>
          <w:p>
            <w:pPr>
              <w:spacing w:after="0"/>
              <w:rPr>
                <w:sz w:val="20"/>
                <w:szCs w:val="20"/>
                <w:color w:val="auto"/>
              </w:rPr>
            </w:pPr>
          </w:p>
        </w:tc>
      </w:tr>
      <w:tr>
        <w:trPr>
          <w:trHeight w:val="20"/>
        </w:trPr>
        <w:tc>
          <w:tcPr>
            <w:tcW w:w="19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19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7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9480" w:type="dxa"/>
            <w:vAlign w:val="bottom"/>
            <w:gridSpan w:val="2"/>
          </w:tcPr>
          <w:p>
            <w:pPr>
              <w:spacing w:after="0"/>
              <w:rPr>
                <w:sz w:val="20"/>
                <w:szCs w:val="20"/>
                <w:color w:val="auto"/>
              </w:rPr>
            </w:pPr>
            <w:r>
              <w:rPr>
                <w:rFonts w:ascii="Arial" w:cs="Arial" w:eastAsia="Arial" w:hAnsi="Arial"/>
                <w:sz w:val="18"/>
                <w:szCs w:val="18"/>
                <w:color w:val="auto"/>
              </w:rPr>
              <w:t>Deposits and other customer payables</w:t>
            </w: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7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FF0FC"/>
          </w:tcPr>
          <w:p>
            <w:pPr>
              <w:spacing w:after="0"/>
              <w:rPr>
                <w:sz w:val="21"/>
                <w:szCs w:val="21"/>
                <w:color w:val="auto"/>
              </w:rPr>
            </w:pPr>
          </w:p>
        </w:tc>
      </w:tr>
      <w:tr>
        <w:trPr>
          <w:trHeight w:val="237"/>
        </w:trPr>
        <w:tc>
          <w:tcPr>
            <w:tcW w:w="948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0"/>
                <w:szCs w:val="20"/>
                <w:color w:val="auto"/>
              </w:rPr>
            </w:pPr>
          </w:p>
        </w:tc>
      </w:tr>
      <w:tr>
        <w:trPr>
          <w:trHeight w:val="20"/>
        </w:trPr>
        <w:tc>
          <w:tcPr>
            <w:tcW w:w="19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7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r>
    </w:tbl>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$79,791 of LFI held by Lazard Group which is eliminated in the condensed consolidated statements of financial condition.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2018 (the “Form 10-K”). All references to “2019,” “2018,” “third quarter,” “first nine months” or “the period” refer to, as the context requires, the three month and nine month periods ended September 30, 2019 and September 30,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9" w:lineRule="exact"/>
        <w:rPr>
          <w:sz w:val="20"/>
          <w:szCs w:val="20"/>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or regional financial markets;</w:t>
      </w:r>
    </w:p>
    <w:p>
      <w:pPr>
        <w:spacing w:after="0" w:line="117" w:lineRule="exact"/>
        <w:rPr>
          <w:rFonts w:ascii="Arial" w:cs="Arial" w:eastAsia="Arial" w:hAnsi="Arial"/>
          <w:sz w:val="18"/>
          <w:szCs w:val="18"/>
          <w:color w:val="auto"/>
        </w:rPr>
      </w:pPr>
    </w:p>
    <w:p>
      <w:pPr>
        <w:ind w:left="900" w:right="220" w:hanging="379"/>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goals, including ratios of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ability to deploy surplus cash through dividends, share repurchases and debt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6" w:name="page47"/>
    <w:bookmarkEnd w:id="46"/>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impact of investments in our technology infrastructure and data science capabilities;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900" w:right="620" w:hanging="379"/>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140" w:hanging="379"/>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restructuring and other financial advisory activity, the market for asset management activity and other macroeconomic, regional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impact of new or future legislation and regulation, including tax laws and regulations, on our business.</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our Asset Management business.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Our websites and social media sites and the information contained therein or connected thereto shall not be deemed to be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Form 10-Q.</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900" w:right="20" w:hanging="379"/>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capital advisory, restructurings, shareholder advisory, sovereign advisory, capital raising and other strategic advisory, and</w:t>
      </w:r>
    </w:p>
    <w:p>
      <w:pPr>
        <w:spacing w:after="0" w:line="73" w:lineRule="exact"/>
        <w:rPr>
          <w:rFonts w:ascii="Arial" w:cs="Arial" w:eastAsia="Arial" w:hAnsi="Arial"/>
          <w:sz w:val="18"/>
          <w:szCs w:val="18"/>
          <w:color w:val="auto"/>
        </w:rPr>
      </w:pPr>
    </w:p>
    <w:p>
      <w:pPr>
        <w:ind w:left="900" w:right="180" w:hanging="379"/>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89"/>
              </w:rPr>
              <w:t>September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83"/>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5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5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100%</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and (ii) a fund targeting significant noncontrolling-stake investments in established private companies. We also make investments to seed our Asset Management strategies.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On an ongoing basis, regional, macroeconomic and geopolitical factors, including trade policy and regional tax and regulatory reform, may impact our business. The U.S. economic expansion continues. The European economy’s growth rate remains low. Emerging markets as a group have experienced growth but also significant volatility. Global borrowing costs remain low.</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760" w:right="80" w:hanging="374"/>
        <w:spacing w:after="0" w:line="272" w:lineRule="auto"/>
        <w:tabs>
          <w:tab w:leader="none" w:pos="76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Financial Advisory</w:t>
      </w:r>
      <w:r>
        <w:rPr>
          <w:rFonts w:ascii="Arial" w:cs="Arial" w:eastAsia="Arial" w:hAnsi="Arial"/>
          <w:sz w:val="17"/>
          <w:szCs w:val="17"/>
          <w:color w:val="auto"/>
        </w:rPr>
        <w:t>—The fundamentals for continued M&amp;A activity, including technological disruption and low interest rates, appear to remain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place. We believe our Financial Advisory business is in a strong competitive position as demand continues for expert, independent strategic advice that can be levered across geographies and our range of capabilities. The global scale and breadth of our Financial Advisory business allows us to advise on a wide range of strategic and restructuring transactions across a variety of industries. In addition, we believe our businesses throughout North America, Europe and the emerging markets position us for growth in these markets, while enhancing our relationships with, and the services that we can provide to, clients in other economies. We continue to invest in our Financial Advisory business by selectively hiring talented senior professionals and continuing to focus on our M&amp;A and other advisory services.</w:t>
      </w:r>
    </w:p>
    <w:p>
      <w:pPr>
        <w:spacing w:after="0" w:line="83" w:lineRule="exact"/>
        <w:rPr>
          <w:rFonts w:ascii="Arial" w:cs="Arial" w:eastAsia="Arial" w:hAnsi="Arial"/>
          <w:sz w:val="17"/>
          <w:szCs w:val="17"/>
          <w:color w:val="auto"/>
        </w:rPr>
      </w:pPr>
    </w:p>
    <w:p>
      <w:pPr>
        <w:ind w:left="760" w:right="80" w:hanging="374"/>
        <w:spacing w:after="0" w:line="253"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Asset Management</w:t>
      </w:r>
      <w:r>
        <w:rPr>
          <w:rFonts w:ascii="Arial" w:cs="Arial" w:eastAsia="Arial" w:hAnsi="Arial"/>
          <w:sz w:val="18"/>
          <w:szCs w:val="18"/>
          <w:color w:val="auto"/>
        </w:rPr>
        <w:t>—In the short to intermediate term, we expect most investor demand will come through financial institutions, and from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and defined contribution plans in developed economies because of their sheer scope and size. Over the longer term, and depending upon local market conditions, we would expect an increasing share of our AUM to come from the developing economies around the globe, as their retirement systems evolve and individual wealth is increasingly deployed in the financial markets. Given our diversified investment platform and our ability to provide investment solutions for a global mix of clients, we believe we are positioned to benefit from opportunities across the asset management industry. We are continually developing and seeding new investment strategies that extend our existing platforms and assessing potential product acquisitions or other inorganic growth opportunities. Recent examples of growth initiatives include the following investment strategies: various Quantitative Equity strategies, an International Value strategy, a Global Equity Franchise strategy, and a U.S. Systematic Equity strategy.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ind w:firstLine="51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shareholder returns, the evaluation of potential growth opportunities, the investment in new technology to support the development of existing and new business opportunities, the prudent management of our costs and expenses, the efficient use of our assets and the return of capital to our shareholders.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the subset of completed transactions involving values greater than $500 million, decreased in the first nine months of 2019 as compared to 2018. With respect to announced M&amp;A transactions, the value and number of all transactions, including the subset of announced transactions involving values greater than $500 million, decreased in the first nine months of 2019 as compared to 2018.</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3"/>
              </w:rPr>
              <w:t>Nine Months Ended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1"/>
                <w:szCs w:val="11"/>
                <w:color w:val="auto"/>
              </w:rPr>
            </w:pPr>
          </w:p>
        </w:tc>
        <w:tc>
          <w:tcPr>
            <w:tcW w:w="74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89"/>
              </w:rPr>
              <w:t>2018</w:t>
            </w:r>
          </w:p>
        </w:tc>
        <w:tc>
          <w:tcPr>
            <w:tcW w:w="88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1"/>
                <w:szCs w:val="11"/>
                <w:color w:val="auto"/>
              </w:rPr>
            </w:pPr>
          </w:p>
        </w:tc>
        <w:tc>
          <w:tcPr>
            <w:tcW w:w="820" w:type="dxa"/>
            <w:vAlign w:val="bottom"/>
            <w:vMerge w:val="restart"/>
          </w:tcPr>
          <w:p>
            <w:pPr>
              <w:jc w:val="center"/>
              <w:ind w:right="292"/>
              <w:spacing w:after="0"/>
              <w:rPr>
                <w:sz w:val="20"/>
                <w:szCs w:val="20"/>
                <w:color w:val="auto"/>
              </w:rPr>
            </w:pPr>
            <w:r>
              <w:rPr>
                <w:rFonts w:ascii="Arial" w:cs="Arial" w:eastAsia="Arial" w:hAnsi="Arial"/>
                <w:sz w:val="14"/>
                <w:szCs w:val="14"/>
                <w:b w:val="1"/>
                <w:bCs w:val="1"/>
                <w:color w:val="auto"/>
                <w:w w:val="89"/>
              </w:rPr>
              <w:t>2018</w:t>
            </w:r>
          </w:p>
        </w:tc>
        <w:tc>
          <w:tcPr>
            <w:tcW w:w="80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Incr / (Decr)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 in billions)</w:t>
            </w:r>
          </w:p>
        </w:tc>
        <w:tc>
          <w:tcPr>
            <w:tcW w:w="6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850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2,910</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7,816</w:t>
            </w:r>
          </w:p>
        </w:tc>
        <w:tc>
          <w:tcPr>
            <w:tcW w:w="30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8,337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24,873</w:t>
            </w:r>
          </w:p>
        </w:tc>
        <w:tc>
          <w:tcPr>
            <w:tcW w:w="30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27,173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638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2,065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2,258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311</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953</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876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3,057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3,236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8,443</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25,764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27,381</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649</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2,567</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w:t>
            </w:r>
          </w:p>
        </w:tc>
        <w:tc>
          <w:tcPr>
            <w:tcW w:w="30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855</w:t>
            </w:r>
          </w:p>
        </w:tc>
        <w:tc>
          <w:tcPr>
            <w:tcW w:w="300" w:type="dxa"/>
            <w:vAlign w:val="bottom"/>
          </w:tcPr>
          <w:p>
            <w:pPr>
              <w:spacing w:after="0"/>
              <w:rPr>
                <w:sz w:val="20"/>
                <w:szCs w:val="20"/>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1,016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2090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Source: Dealogic as of October 1, 2019.</w:t>
      </w:r>
    </w:p>
    <w:p>
      <w:pPr>
        <w:spacing w:after="0" w:line="225"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Global restructuring activity during the first nine months of 2019, as measured by the number of corporate defaults, increased as compared to the first nine months of 2018. The number of defaulting issuers was 64 in the first nine months of 2019 according to Moody’s Investors Service, Inc, as compared to 62 in the first nine months of 2018.</w:t>
      </w:r>
    </w:p>
    <w:p>
      <w:pPr>
        <w:spacing w:after="0" w:line="18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9" w:name="page50"/>
    <w:bookmarkEnd w:id="49"/>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jc w:val="both"/>
        <w:ind w:right="880" w:firstLine="518"/>
        <w:spacing w:after="0" w:line="264" w:lineRule="auto"/>
        <w:rPr>
          <w:sz w:val="20"/>
          <w:szCs w:val="20"/>
          <w:color w:val="auto"/>
        </w:rPr>
      </w:pPr>
      <w:r>
        <w:rPr>
          <w:rFonts w:ascii="Arial" w:cs="Arial" w:eastAsia="Arial" w:hAnsi="Arial"/>
          <w:sz w:val="18"/>
          <w:szCs w:val="18"/>
          <w:color w:val="auto"/>
        </w:rPr>
        <w:t>Equity market indices for major markets at September 30, 2019 generally increased as compared to such indices at December 31, 2018 and September 30, 2018. The percentage change in major equity market indices at September 30, 2019, as compared to such indices at June 30, 2019, December 31, 2018, and at September 30, 2018, is shown in the table below.</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Percentage Changes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September 30, 2019 vs.</w:t>
            </w: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20" w:type="dxa"/>
            <w:vAlign w:val="bottom"/>
          </w:tcPr>
          <w:p>
            <w:pPr>
              <w:jc w:val="center"/>
              <w:ind w:left="128"/>
              <w:spacing w:after="0" w:line="133"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10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440" w:type="dxa"/>
            <w:vAlign w:val="bottom"/>
            <w:gridSpan w:val="2"/>
          </w:tcPr>
          <w:p>
            <w:pPr>
              <w:jc w:val="right"/>
              <w:ind w:right="8"/>
              <w:spacing w:after="0"/>
              <w:rPr>
                <w:sz w:val="20"/>
                <w:szCs w:val="20"/>
                <w:color w:val="auto"/>
              </w:rPr>
            </w:pPr>
            <w:r>
              <w:rPr>
                <w:rFonts w:ascii="Arial" w:cs="Arial" w:eastAsia="Arial" w:hAnsi="Arial"/>
                <w:sz w:val="18"/>
                <w:szCs w:val="18"/>
                <w:color w:val="auto"/>
              </w:rPr>
              <w:t>3%</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23%</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44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21%</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bl>
    <w:p>
      <w:pPr>
        <w:spacing w:after="0" w:line="24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80" w:firstLine="518"/>
        <w:spacing w:after="0" w:line="289"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6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83"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ind w:right="12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and principal investments in private equity funds, net of hedging activities, as well as gains and losses on investments held in connection with Lazard Fund Interests (“LFI”) and interest income and interest expense. Corporate net revenue also can fluctuate due to changes in the fair value of equity securities and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Although Corporate segment net revenue during 2019 is not significant compared to Lazard’s net revenue, total assets in the Corporate segment represented 68% of Lazard’s consolidated total assets as of September 30, 2019, which are attributable to cash and cash equivalents, investments in debt and equity securities, interests in alternative investment, debt, equity and private equity funds, deferred tax assets and certain assets associated with LFB.</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80" w:firstLine="518"/>
        <w:spacing w:after="0" w:line="271" w:lineRule="auto"/>
        <w:rPr>
          <w:sz w:val="20"/>
          <w:szCs w:val="20"/>
          <w:color w:val="auto"/>
        </w:rPr>
      </w:pPr>
      <w:r>
        <w:rPr>
          <w:rFonts w:ascii="Arial" w:cs="Arial" w:eastAsia="Arial" w:hAnsi="Arial"/>
          <w:sz w:val="17"/>
          <w:szCs w:val="17"/>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2018 Incentive Compensation Plan (the “2018 Plan”) and the Lazard Ltd 2008 Incentive Compensation Plan (the “2008 Plan”), and (b) LFI and other similar deferred compensation arrangements (see Note 14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7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46" w:lineRule="exact"/>
        <w:rPr>
          <w:sz w:val="20"/>
          <w:szCs w:val="20"/>
          <w:color w:val="auto"/>
        </w:rPr>
      </w:pPr>
    </w:p>
    <w:p>
      <w:pPr>
        <w:ind w:left="900" w:right="120" w:hanging="379"/>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260" w:hanging="386"/>
        <w:spacing w:after="0" w:line="312" w:lineRule="auto"/>
        <w:tabs>
          <w:tab w:leader="none" w:pos="14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deferred incentive compensation awards granted in the year-end compensation process with respect to the fiscal year (</w:t>
      </w:r>
      <w:r>
        <w:rPr>
          <w:rFonts w:ascii="Arial" w:cs="Arial" w:eastAsia="Arial" w:hAnsi="Arial"/>
          <w:sz w:val="16"/>
          <w:szCs w:val="16"/>
          <w:i w:val="1"/>
          <w:iCs w:val="1"/>
          <w:color w:val="auto"/>
        </w:rPr>
        <w:t>e.g</w:t>
      </w:r>
      <w:r>
        <w:rPr>
          <w:rFonts w:ascii="Arial" w:cs="Arial" w:eastAsia="Arial" w:hAnsi="Arial"/>
          <w:sz w:val="16"/>
          <w:szCs w:val="16"/>
          <w:color w:val="auto"/>
        </w:rPr>
        <w:t>., deferred incentive compensation awards granted in 2019 related to the 2018 year-end compensation process), including performance-based restricted stock unit (“PRSU”) and performance-based restricted participation unit (“PRPU”) awards (based on the target payout level);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ind w:left="1420" w:right="440" w:hanging="386"/>
        <w:spacing w:after="0" w:line="277" w:lineRule="auto"/>
        <w:tabs>
          <w:tab w:leader="none" w:pos="1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amounts in excess of the target payout level for PRSU and PRPU awards at the end of their respective performance periods; and</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66"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 In 2019 and 2018, non-compensation expense included expenses related to the redemption of the Company’s 4.25% senior notes due 2020 (the “2020 Notes”).</w:t>
      </w:r>
    </w:p>
    <w:p>
      <w:pPr>
        <w:spacing w:after="0" w:line="173" w:lineRule="exact"/>
        <w:rPr>
          <w:sz w:val="20"/>
          <w:szCs w:val="20"/>
          <w:color w:val="auto"/>
        </w:rPr>
      </w:pPr>
    </w:p>
    <w:p>
      <w:pPr>
        <w:ind w:right="320" w:firstLine="518"/>
        <w:spacing w:after="0" w:line="342" w:lineRule="auto"/>
        <w:rPr>
          <w:sz w:val="20"/>
          <w:szCs w:val="20"/>
          <w:color w:val="auto"/>
        </w:rPr>
      </w:pPr>
      <w:r>
        <w:rPr>
          <w:rFonts w:ascii="Arial" w:cs="Arial" w:eastAsia="Arial" w:hAnsi="Arial"/>
          <w:sz w:val="16"/>
          <w:szCs w:val="16"/>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(benefits) costs” which includes the change in fair value of the contingent consideration associated with business acquisitions.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Realignment</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conducted a review of our business, which resulted in a realignment that included employee reductions and the closing of subscale offices and investment strategies, most of which were completed during the third quarter of 2019. We believe these actions better align the business with changes in the marketplace and create greater flexibility to focus on strategic growth opportunities. These actions resulted in expenses of $51.5 million in the third quarter of 2019. See Note 16 of Notes to Condensed Consolidated Financial Statements.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88" w:lineRule="exact"/>
        <w:rPr>
          <w:sz w:val="20"/>
          <w:szCs w:val="20"/>
          <w:color w:val="auto"/>
        </w:rPr>
      </w:pPr>
    </w:p>
    <w:p>
      <w:pPr>
        <w:ind w:right="700" w:firstLine="518"/>
        <w:spacing w:after="0" w:line="308" w:lineRule="auto"/>
        <w:rPr>
          <w:sz w:val="20"/>
          <w:szCs w:val="20"/>
          <w:color w:val="auto"/>
        </w:rPr>
      </w:pPr>
      <w:r>
        <w:rPr>
          <w:rFonts w:ascii="Arial" w:cs="Arial" w:eastAsia="Arial" w:hAnsi="Arial"/>
          <w:sz w:val="17"/>
          <w:szCs w:val="17"/>
          <w:color w:val="auto"/>
        </w:rPr>
        <w:t>See “Critical Accounting Policies and Estimates—Income Taxes” below and Notes 17 and 19 of Notes to Condensed Consolidated Financial Statements for additional information regarding income taxes, our deferred tax assets and the tax receivable agreement obligation.</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Noncontrolling interests primarily consist of amounts related to Edgewater’s management vehicles that the Company is deemed to control but not own, profits interest participation rights and consolidated VIE interests held by employees. See Notes 13 and 22 of Notes to Condensed Consolidated Financial Statements for information regarding the Company’s noncontrolling interests and consolidated VIEs.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ind w:right="400" w:firstLine="518"/>
        <w:spacing w:after="0" w:line="259"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Net revenue for the three month and nine month periods ended September 30, 2019 was negatively impacted by exchange rate movements in comparison to the relevant prior year period. The majority of the impact to net revenue was offset by the impact of the exchange rate movements on our operating expenses during the periods denominated in currencies other than the U.S. Dollar.</w:t>
      </w:r>
    </w:p>
    <w:p>
      <w:pPr>
        <w:spacing w:after="0" w:line="187"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8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591,068</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626,481</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1,865,432</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2,139,117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 (a):</w:t>
            </w: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391,363</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343,987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1,136,087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1,165,193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260"/>
              <w:spacing w:after="0"/>
              <w:rPr>
                <w:sz w:val="20"/>
                <w:szCs w:val="20"/>
                <w:color w:val="auto"/>
              </w:rPr>
            </w:pPr>
            <w:r>
              <w:rPr>
                <w:rFonts w:ascii="Arial" w:cs="Arial" w:eastAsia="Arial" w:hAnsi="Arial"/>
                <w:sz w:val="18"/>
                <w:szCs w:val="18"/>
                <w:color w:val="auto"/>
              </w:rPr>
              <w:t>Non-compensation</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146,310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149,664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446,090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462,943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(5,851)</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(13,468)</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538,695</w:t>
            </w:r>
          </w:p>
        </w:tc>
        <w:tc>
          <w:tcPr>
            <w:tcW w:w="3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487,800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1,591,711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1,614,668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52,373</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138,681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273,721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524,449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Provision for income taxes</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105,684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48,196</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108,725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218,185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418,765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6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46,704</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107,074</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209,523</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413,729</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See Note 16 of Notes to Condensed Consolidated Financial Statements for information regarding business realignment.</w:t>
      </w:r>
    </w:p>
    <w:p>
      <w:pPr>
        <w:spacing w:after="0" w:line="306" w:lineRule="exact"/>
        <w:rPr>
          <w:sz w:val="20"/>
          <w:szCs w:val="20"/>
          <w:color w:val="auto"/>
        </w:rPr>
      </w:pPr>
    </w:p>
    <w:p>
      <w:pPr>
        <w:jc w:val="both"/>
        <w:ind w:right="240" w:firstLine="518"/>
        <w:spacing w:after="0" w:line="312"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Net revenue</w:t>
            </w:r>
          </w:p>
        </w:tc>
        <w:tc>
          <w:tcPr>
            <w:tcW w:w="1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591,068</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626,481</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1,865,432</w:t>
            </w:r>
          </w:p>
        </w:tc>
        <w:tc>
          <w:tcPr>
            <w:tcW w:w="160" w:type="dxa"/>
            <w:vAlign w:val="bottom"/>
          </w:tcPr>
          <w:p>
            <w:pPr>
              <w:spacing w:after="0"/>
              <w:rPr>
                <w:sz w:val="19"/>
                <w:szCs w:val="19"/>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2,139,117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Interest expense (a)</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18,535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13,168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54,046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bad debt expense (b)</w:t>
            </w: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(15,413)</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(25,880)</w:t>
            </w:r>
          </w:p>
        </w:tc>
        <w:tc>
          <w:tcPr>
            <w:tcW w:w="4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(53,102)</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(90,112)</w:t>
            </w: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Revenue related to noncontrolling interests (c)</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(4,164)</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(4,512)</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(18,254)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(Gains) losses on investments pertaining to LFI (d)</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(1,764)</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(3,647)</w:t>
            </w: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(22,118)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Private equity investment adjustment (e)</w:t>
            </w:r>
          </w:p>
        </w:tc>
        <w:tc>
          <w:tcPr>
            <w:tcW w:w="1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1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588,262</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605,610</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1,837,952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2,070,247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ind w:left="380" w:right="40" w:hanging="372"/>
        <w:spacing w:after="0" w:line="258"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2090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9040" cy="8890"/>
                    </a:xfrm>
                    <a:prstGeom prst="rect">
                      <a:avLst/>
                    </a:prstGeom>
                    <a:noFill/>
                  </pic:spPr>
                </pic:pic>
              </a:graphicData>
            </a:graphic>
          </wp:anchor>
        </w:drawing>
        <w:t>Interest expense (excluding interest expense incurred by LFB) is added back in determining operating revenue because such expense relates to corporate financing activities and is not considered to be a cost directly related to the revenue of our business.</w:t>
      </w:r>
    </w:p>
    <w:p>
      <w:pPr>
        <w:spacing w:after="0" w:line="1" w:lineRule="exact"/>
        <w:rPr>
          <w:rFonts w:ascii="Arial" w:cs="Arial" w:eastAsia="Arial" w:hAnsi="Arial"/>
          <w:sz w:val="18"/>
          <w:szCs w:val="18"/>
          <w:color w:val="auto"/>
        </w:rPr>
      </w:pPr>
    </w:p>
    <w:p>
      <w:pPr>
        <w:ind w:left="380" w:right="160" w:hanging="372"/>
        <w:spacing w:after="0" w:line="250"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certain distribution fees, reimbursable deal costs paid to third parties and bad debt expense relating to fees that are deemed uncollectible for which an equal amount is excluded for purposes of determining adjusted non-compensation expense.</w:t>
      </w:r>
    </w:p>
    <w:p>
      <w:pPr>
        <w:ind w:left="380" w:right="220" w:hanging="372"/>
        <w:spacing w:after="0" w:line="250"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380" w:right="460" w:hanging="372"/>
        <w:spacing w:after="0" w:line="250"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write-down of a private equity investment to the potential transaction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391,363</w:t>
            </w:r>
          </w:p>
        </w:tc>
        <w:tc>
          <w:tcPr>
            <w:tcW w:w="22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343,987</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1,136,087</w:t>
            </w:r>
          </w:p>
        </w:tc>
        <w:tc>
          <w:tcPr>
            <w:tcW w:w="2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1,165,193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business realignment (a)</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(49,119)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(49,119)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Noncontrolling interests (b)</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(2,230)</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(2,410)</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(8,028)</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(8,283)</w:t>
            </w: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(Charges) credits pertaining to LFI (c)</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(3,647)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(22,118)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338,250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337,930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1,056,822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1,155,198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Adjusted compensation and benefits expense, as a % of operating</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expenses associated with business realignment.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146,310</w:t>
            </w:r>
          </w:p>
        </w:tc>
        <w:tc>
          <w:tcPr>
            <w:tcW w:w="3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149,664</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446,090</w:t>
            </w:r>
          </w:p>
        </w:tc>
        <w:tc>
          <w:tcPr>
            <w:tcW w:w="2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462,943</w:t>
            </w:r>
          </w:p>
        </w:tc>
        <w:tc>
          <w:tcPr>
            <w:tcW w:w="180" w:type="dxa"/>
            <w:vAlign w:val="bottom"/>
          </w:tcPr>
          <w:p>
            <w:pPr>
              <w:spacing w:after="0"/>
              <w:rPr>
                <w:sz w:val="19"/>
                <w:szCs w:val="19"/>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business realignment (a)</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(1,810)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associated with ERP system implementation (b)</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(2,362)</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(7,659)</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(13,193)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(20,489)</w:t>
            </w: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Expenses related to office space reorganization (c)</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(1,143)</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(2,425)</w:t>
            </w:r>
          </w:p>
        </w:tc>
      </w:tr>
      <w:tr>
        <w:trPr>
          <w:trHeight w:val="215"/>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2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bad debt expense (d)</w:t>
            </w:r>
          </w:p>
        </w:tc>
        <w:tc>
          <w:tcPr>
            <w:tcW w:w="4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(15,413)</w:t>
            </w: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(25,880)</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(53,102)</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(90,112)</w:t>
            </w: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Charges pertaining to senior debt refinancing (e)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(6,523)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(6,505)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(6,523)</w:t>
            </w: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Noncontrolling interests (f)</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(397)</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(1,502)</w:t>
            </w:r>
          </w:p>
        </w:tc>
      </w:tr>
      <w:tr>
        <w:trPr>
          <w:trHeight w:val="263"/>
        </w:trPr>
        <w:tc>
          <w:tcPr>
            <w:tcW w:w="5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non-compensation expense</w:t>
            </w:r>
          </w:p>
        </w:tc>
        <w:tc>
          <w:tcPr>
            <w:tcW w:w="4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125,185</w:t>
            </w:r>
          </w:p>
        </w:tc>
        <w:tc>
          <w:tcPr>
            <w:tcW w:w="3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109,330</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368,936</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341,892</w:t>
            </w:r>
          </w:p>
        </w:tc>
        <w:tc>
          <w:tcPr>
            <w:tcW w:w="180" w:type="dxa"/>
            <w:vAlign w:val="bottom"/>
            <w:tcBorders>
              <w:bottom w:val="single" w:sz="8" w:color="CFF0FC"/>
            </w:tcBorders>
          </w:tcPr>
          <w:p>
            <w:pPr>
              <w:spacing w:after="0"/>
              <w:rPr>
                <w:sz w:val="22"/>
                <w:szCs w:val="22"/>
                <w:color w:val="auto"/>
              </w:rPr>
            </w:pPr>
          </w:p>
        </w:tc>
      </w:tr>
      <w:tr>
        <w:trPr>
          <w:trHeight w:val="21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8"/>
              </w:rPr>
              <w:t>Adjusted non-compensation expense, as a % of operating revenue</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21.3%</w:t>
            </w: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3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r>
    </w:tbl>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expenses associated with business realignment.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9" w:lineRule="exact"/>
        <w:rPr>
          <w:rFonts w:ascii="Arial" w:cs="Arial" w:eastAsia="Arial" w:hAnsi="Arial"/>
          <w:sz w:val="18"/>
          <w:szCs w:val="18"/>
          <w:color w:val="auto"/>
        </w:rPr>
      </w:pPr>
    </w:p>
    <w:p>
      <w:pPr>
        <w:ind w:left="380" w:right="160" w:hanging="372"/>
        <w:spacing w:after="0" w:line="250"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certain distribution fees, reimbursable deal costs paid to third parties and bad debt expense relating to fees that are deemed uncollectible for which an equal amount is included for purposes of determining operating revenue.</w:t>
      </w:r>
    </w:p>
    <w:p>
      <w:pPr>
        <w:ind w:left="380" w:right="20" w:hanging="372"/>
        <w:spacing w:after="0" w:line="250"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2019 and 2018, represents charges pertaining to the redemption of the Company’s 2020 Notes due to the non-operating nature of such transaction. See “—Liquidity and Capital Resources—Financing Activities” below.</w:t>
      </w:r>
    </w:p>
    <w:p>
      <w:pPr>
        <w:ind w:left="380" w:hanging="372"/>
        <w:spacing w:after="0"/>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9"/>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60" w:type="dxa"/>
            <w:vAlign w:val="bottom"/>
            <w:gridSpan w:val="9"/>
          </w:tcPr>
          <w:p>
            <w:pPr>
              <w:jc w:val="right"/>
              <w:ind w:right="102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588,262</w:t>
            </w:r>
          </w:p>
        </w:tc>
        <w:tc>
          <w:tcPr>
            <w:tcW w:w="100" w:type="dxa"/>
            <w:vAlign w:val="bottom"/>
          </w:tcPr>
          <w:p>
            <w:pPr>
              <w:spacing w:after="0"/>
              <w:rPr>
                <w:sz w:val="19"/>
                <w:szCs w:val="19"/>
                <w:color w:val="auto"/>
              </w:rPr>
            </w:pPr>
          </w:p>
        </w:tc>
        <w:tc>
          <w:tcPr>
            <w:tcW w:w="5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605,610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1,837,952</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2,070,247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Deduct: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(338,250)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(337,930)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(1,056,822)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(1,155,198)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2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(125,185)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(109,330)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(368,936)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(341,892)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Earnings from operations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124,827</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158,350</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412,194</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573,157</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6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ind w:right="79"/>
              <w:spacing w:after="0"/>
              <w:rPr>
                <w:sz w:val="20"/>
                <w:szCs w:val="20"/>
                <w:color w:val="auto"/>
              </w:rPr>
            </w:pPr>
            <w:r>
              <w:rPr>
                <w:rFonts w:ascii="Arial" w:cs="Arial" w:eastAsia="Arial" w:hAnsi="Arial"/>
                <w:sz w:val="18"/>
                <w:szCs w:val="18"/>
                <w:color w:val="auto"/>
              </w:rPr>
              <w:t>21.2%</w:t>
            </w:r>
          </w:p>
        </w:tc>
        <w:tc>
          <w:tcPr>
            <w:tcW w:w="340" w:type="dxa"/>
            <w:vAlign w:val="bottom"/>
            <w:shd w:val="clear" w:color="auto" w:fill="CFF0FC"/>
          </w:tcPr>
          <w:p>
            <w:pPr>
              <w:spacing w:after="0"/>
              <w:rPr>
                <w:sz w:val="18"/>
                <w:szCs w:val="18"/>
                <w:color w:val="auto"/>
              </w:rPr>
            </w:pPr>
          </w:p>
        </w:tc>
        <w:tc>
          <w:tcPr>
            <w:tcW w:w="104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bottom w:val="single" w:sz="8" w:color="CFF0FC"/>
            </w:tcBorders>
            <w:gridSpan w:val="2"/>
            <w:vMerge w:val="restart"/>
          </w:tcPr>
          <w:p>
            <w:pPr>
              <w:ind w:left="520"/>
              <w:spacing w:after="0"/>
              <w:rPr>
                <w:sz w:val="20"/>
                <w:szCs w:val="20"/>
                <w:color w:val="auto"/>
              </w:rPr>
            </w:pPr>
            <w:r>
              <w:rPr>
                <w:rFonts w:ascii="Arial" w:cs="Arial" w:eastAsia="Arial" w:hAnsi="Arial"/>
                <w:sz w:val="18"/>
                <w:szCs w:val="18"/>
                <w:color w:val="auto"/>
              </w:rPr>
              <w:t>Headcount information is set forth below:</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7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9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6"/>
          </w:tcPr>
          <w:p>
            <w:pPr>
              <w:jc w:val="right"/>
              <w:ind w:right="68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420" w:type="dxa"/>
            <w:vAlign w:val="bottom"/>
            <w:gridSpan w:val="5"/>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w w:val="95"/>
              </w:rPr>
              <w:t>2019 (a)</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Managing Directors: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Asset Management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Total Managing Directors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Business Segment Professionals and Support Staff:</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Financial Advisory</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Asset Management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3,081</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Includes the impact of business realignment as of September 30,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22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versus September 30, 2018</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Company reported net income attributable to Lazard Ltd of $47 million, as compared to net income attributable to Lazard Ltd of $107 million in the 2018 period.</w:t>
      </w:r>
    </w:p>
    <w:p>
      <w:pPr>
        <w:spacing w:after="0" w:line="170"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Net revenue decreased $35 million, or 6%, with operating revenue decreasing $17 million, or 3%, as compared to the 2018 period. Fee revenue from investment banking and other advisory activities decreased $4 million, or 1%, as compared to the 2018 period. Asset management fees, including incentive fees, decreased $26 million, or 8%, as compared to the 2018 period. In the aggregate, interest income, other revenue and interest expense decreased $5 million, as compared to the 2018 period.</w:t>
      </w:r>
    </w:p>
    <w:p>
      <w:pPr>
        <w:spacing w:after="0" w:line="18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Compensation and benefits expense (which included $49 million associated with business realignment in the 2019 period) increased $47 million, or 14%, as compared to the 2018 period.</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was substantially unchanged as compared to the 2018 period. The ratio of adjusted compensation and benefits expense to operating revenue was 57.5% for the 2019 period, as compared to 55.8% for the 2018 period.</w:t>
      </w:r>
    </w:p>
    <w:p>
      <w:pPr>
        <w:spacing w:after="0" w:line="18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Non-compensation expense decreased $3 million, or 2%, as compared to the 2018 period. Adjusted non-compensation expense increased $16 million, or 15%, as compared to the 2018 period primarily due to increased business development expenses. The ratio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of adjusted non-compensation expense to operating revenue was 21.3% for the 2019 period, as compared to 18.1% for the 2018 period.</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Amortization and other acquisition-related (benefits) costs reflects a cost of $1 million in the 2019 period as compared to a benefit of $6 million in the 2018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decreased $86 million, or 62%, as compared to the 2018 period.</w:t>
      </w:r>
    </w:p>
    <w:p>
      <w:pPr>
        <w:spacing w:after="0" w:line="22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Earnings from operations decreased $34 million, or 21%, as compared to the 2018 period, and, as a percentage of operating revenue, was 21.2%, as compared to 26.1% in the 2018 period.</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provision for income taxes reflects an effective tax rate of 8.0%, as compared to 21.6% for the 2018 period. The decrease in the effective tax rate reflects the impact of discrete benefits in the 2019 and 2018 periods on relative operating income.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was substantially unchanged as compared to the 2018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versus September 30, 2018</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Company reported net income attributable to Lazard Ltd of $210 million, as compared to net income attributable to Lazard Ltd of $414 million in the 2018 period.</w:t>
      </w:r>
    </w:p>
    <w:p>
      <w:pPr>
        <w:spacing w:after="0" w:line="170"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Net revenue decreased $274 million, or 13%, with operating revenue decreasing $232 million, or 11%, as compared to the 2018 period. Fee revenue from investment banking and other advisory activities decreased $170 million, or 15%, as compared to the 2018 period. Asset management fees, including incentive fees, decreased $111 million, or 11%, as compared to the 2018 period. In the aggregate, interest income, other revenue and interest expense increased $7 million, as compared to the 2018 period.</w:t>
      </w:r>
    </w:p>
    <w:p>
      <w:pPr>
        <w:spacing w:after="0" w:line="18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Compensation and benefits expense (which included $49 million associated with business realignment in the 2019 period) decreased $29 million, or 2%, as compared to the 2018 period, primarily associated with decreased operating revenue.</w:t>
      </w:r>
    </w:p>
    <w:p>
      <w:pPr>
        <w:spacing w:after="0" w:line="170"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Adjusted compensation and benefits expense (which excludes certain items and which we believe allows for improved comparability between periods, as described above) was $1,057 million, a decrease of $98 million, or 9%, as compared to $1,155 million in the 2018 period. The ratio of adjusted compensation and benefits expense to operating revenue was 57.5% for the 2019 period, as compared to 55.8% for the 2018 period.</w:t>
      </w:r>
    </w:p>
    <w:p>
      <w:pPr>
        <w:spacing w:after="0" w:line="16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Non-compensation expense decreased $17 million, or 4%, as compared to the 2018 period, primarily due to higher bad debt expense in the 2018 period and lower fund administration fees in the 2019 period, partially offset by investments in technology infrastructure and increased business development expenses in the 2019 period. Adjusted non-compensation expense increased $27 million, or 8%, as compared to the 2018 period, primarily due to investments in technology infrastructure and increased business development expenses in the 2019 period. The ratio of adjusted non-compensation expense to operating revenue was 20.1% for the 2019 period, as compared to 16.5% in the 2018 period.</w:t>
      </w:r>
    </w:p>
    <w:p>
      <w:pPr>
        <w:spacing w:after="0" w:line="188"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Amortization and other acquisition-related (benefits) costs reflects a cost of $10 million in the 2019 period, as compared to a benefit of $13 million in the 2018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decreased $251 million, or 48%, as compared to the 2018 period.</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Earnings from operations decreased $161 million, or 28%, as compared to the 2018 period, and, as a percentage of operating revenue, was 22.4%, as compared to 27.7% in the 2018 period.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 for income taxes reflects an effective tax rate of 20.3%, as compared to 20.2% for the 2018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increased $4 million as compared to the 2018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00" w:firstLine="51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left="5620" w:right="4920" w:hanging="5612"/>
        <w:spacing w:after="0" w:line="555" w:lineRule="auto"/>
        <w:tabs>
          <w:tab w:leader="none" w:pos="269" w:val="left"/>
        </w:tabs>
        <w:numPr>
          <w:ilvl w:val="0"/>
          <w:numId w:val="50"/>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6" w:name="page57"/>
    <w:bookmarkEnd w:id="56"/>
    <w:p>
      <w:pPr>
        <w:ind w:right="420"/>
        <w:spacing w:after="0" w:line="257" w:lineRule="auto"/>
        <w:rPr>
          <w:sz w:val="20"/>
          <w:szCs w:val="20"/>
          <w:color w:val="auto"/>
        </w:rPr>
      </w:pPr>
      <w:r>
        <w:rPr>
          <w:rFonts w:ascii="Arial" w:cs="Arial" w:eastAsia="Arial" w:hAnsi="Arial"/>
          <w:sz w:val="18"/>
          <w:szCs w:val="18"/>
          <w:color w:val="auto"/>
        </w:rPr>
        <w:t>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28"/>
        </w:trPr>
        <w:tc>
          <w:tcPr>
            <w:tcW w:w="19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1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305,982</w:t>
            </w: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310,418</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973,964</w:t>
            </w:r>
          </w:p>
        </w:tc>
        <w:tc>
          <w:tcPr>
            <w:tcW w:w="2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1,141,628</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Expenses (a)</w:t>
            </w:r>
          </w:p>
        </w:tc>
        <w:tc>
          <w:tcPr>
            <w:tcW w:w="1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307,147</w:t>
            </w:r>
          </w:p>
        </w:tc>
        <w:tc>
          <w:tcPr>
            <w:tcW w:w="3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250,651</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863,646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893,524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(1,165)</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59,767</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110,318</w:t>
            </w:r>
          </w:p>
        </w:tc>
        <w:tc>
          <w:tcPr>
            <w:tcW w:w="2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248,104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Operating Income (Loss), as a % of net revenue</w:t>
            </w:r>
          </w:p>
        </w:tc>
        <w:tc>
          <w:tcPr>
            <w:tcW w:w="1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c>
          <w:tcPr>
            <w:tcW w:w="3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2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right="2440" w:hanging="512"/>
        <w:spacing w:after="0" w:line="600" w:lineRule="auto"/>
        <w:tabs>
          <w:tab w:leader="none" w:pos="3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See Note 16 of Notes to Condensed Consolidated Financial Statements for information regarding business realignment. Certain Lazard fee and transaction statistics for the Financial Advisory segment are set forth below:</w:t>
      </w: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6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50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r>
      <w:tr>
        <w:trPr>
          <w:trHeight w:val="223"/>
        </w:trPr>
        <w:tc>
          <w:tcPr>
            <w:tcW w:w="5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7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Number of clients with fees greater than $1 million:</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Financial Advisory</w:t>
            </w: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79"/>
              </w:rPr>
              <w:t>69</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80</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FF0FC"/>
          </w:tcPr>
          <w:p>
            <w:pPr>
              <w:spacing w:after="0"/>
              <w:rPr>
                <w:sz w:val="19"/>
                <w:szCs w:val="19"/>
                <w:color w:val="auto"/>
              </w:rPr>
            </w:pPr>
          </w:p>
        </w:tc>
      </w:tr>
      <w:tr>
        <w:trPr>
          <w:trHeight w:val="215"/>
        </w:trPr>
        <w:tc>
          <w:tcPr>
            <w:tcW w:w="6540" w:type="dxa"/>
            <w:vAlign w:val="bottom"/>
            <w:gridSpan w:val="3"/>
          </w:tcPr>
          <w:p>
            <w:pPr>
              <w:spacing w:after="0"/>
              <w:rPr>
                <w:sz w:val="20"/>
                <w:szCs w:val="20"/>
                <w:color w:val="auto"/>
              </w:rPr>
            </w:pPr>
            <w:r>
              <w:rPr>
                <w:rFonts w:ascii="Arial" w:cs="Arial" w:eastAsia="Arial" w:hAnsi="Arial"/>
                <w:sz w:val="18"/>
                <w:szCs w:val="18"/>
                <w:color w:val="auto"/>
              </w:rPr>
              <w:t>Percentage of total Financial Advisory net revenue from top 10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540" w:type="dxa"/>
            <w:vAlign w:val="bottom"/>
            <w:gridSpan w:val="3"/>
          </w:tcPr>
          <w:p>
            <w:pPr>
              <w:ind w:left="140"/>
              <w:spacing w:after="0"/>
              <w:rPr>
                <w:sz w:val="20"/>
                <w:szCs w:val="20"/>
                <w:color w:val="auto"/>
              </w:rPr>
            </w:pPr>
            <w:r>
              <w:rPr>
                <w:rFonts w:ascii="Arial" w:cs="Arial" w:eastAsia="Arial" w:hAnsi="Arial"/>
                <w:sz w:val="18"/>
                <w:szCs w:val="18"/>
                <w:color w:val="auto"/>
              </w:rPr>
              <w:t>clients</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44%</w:t>
            </w:r>
          </w:p>
        </w:tc>
        <w:tc>
          <w:tcPr>
            <w:tcW w:w="82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29%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5"/>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Number of M&amp;A transactions completed with values greater than</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654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$500 million (a)</w:t>
            </w: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79"/>
              </w:rPr>
              <w:t>13</w:t>
            </w: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20</w:t>
            </w: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FF0FC"/>
          </w:tcPr>
          <w:p>
            <w:pPr>
              <w:spacing w:after="0"/>
              <w:rPr>
                <w:sz w:val="20"/>
                <w:szCs w:val="20"/>
                <w:color w:val="auto"/>
              </w:rPr>
            </w:pPr>
          </w:p>
        </w:tc>
      </w:tr>
      <w:tr>
        <w:trPr>
          <w:trHeight w:val="95"/>
        </w:trPr>
        <w:tc>
          <w:tcPr>
            <w:tcW w:w="192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October 1, 2019.</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Canada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EMEA</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7" w:name="page58"/>
    <w:bookmarkEnd w:id="57"/>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versus September 30,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Financial Advisory net revenue decreased $4 million, or 1%, as compared to the 2018 period.</w:t>
      </w:r>
    </w:p>
    <w:p>
      <w:pPr>
        <w:spacing w:after="0" w:line="225"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Operating expenses (which included $36 million associated with business realignment in the 2019 period) increased $56 million, or 23%, as compared to the 2018 period.</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Financial Advisory operating loss was $1 million, a decrease of $61 million, or 102%, as compared to operating income of $60 million in the 2018 period and, as a percentage of net revenue, was (0.4)%, as compared to 19.3% in the 2018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versus September 30, 2018</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Financial Advisory net revenue decreased $168 million, or 15%, as compared to the 2018 period. The decrease in Financial Advisory revenue was primarily a result of a decrease in the number of fees greater than $5 million, as compared to the 2018 period.</w:t>
      </w:r>
    </w:p>
    <w:p>
      <w:pPr>
        <w:spacing w:after="0" w:line="17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Operating expenses (which included $36 million associated with business realignment in the 2019 period) decreased $30 million, or 3%, as compared to the 2018 period, primarily due to a decrease in compensation associated with decreased operating revenue.</w:t>
      </w:r>
    </w:p>
    <w:p>
      <w:pPr>
        <w:spacing w:after="0" w:line="170"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Financial Advisory operating income was $110 million, a decrease of $138 million, or 56%, as compared to operating income of $248 million in the 2018 period and, as a percentage of net revenue, was 11.3%, as compared to 21.7% in the 2018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274"/>
              <w:spacing w:after="0" w:line="133"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2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38,385</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46,539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41,490</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36,020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62,825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188,455</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8,433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4,851</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8,733</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6,994</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37,722</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32,938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230,874</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214,734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Total AUM at September 30, 2019 was $231 billion, an increase of $16 billion, or 8%, as compared to total AUM of $215 billion at December 31, 2018 due to market appreciation, partially offset by net outflows and foreign exchange depreciation.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ind w:right="120"/>
        <w:spacing w:after="0" w:line="277" w:lineRule="auto"/>
        <w:rPr>
          <w:sz w:val="20"/>
          <w:szCs w:val="20"/>
          <w:color w:val="auto"/>
        </w:rPr>
      </w:pPr>
      <w:r>
        <w:rPr>
          <w:rFonts w:ascii="Arial" w:cs="Arial" w:eastAsia="Arial" w:hAnsi="Arial"/>
          <w:sz w:val="18"/>
          <w:szCs w:val="18"/>
          <w:color w:val="auto"/>
        </w:rPr>
        <w:t>Average AUM for the three month and nine month periods ended September 30, 2019 decreased 3% and 6% as compared to the three month and nine month periods ended September 30, 2018, respectively.</w:t>
      </w:r>
    </w:p>
    <w:p>
      <w:pPr>
        <w:spacing w:after="0" w:line="170"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As of September 30, 2019, approximately 86% of our AUM was managed on behalf of institutional clients, including corporations, labor unions, public pension funds, insurance companies and banks, and through sub-advisory relationships, mutual fund sponsors, broker-dealers and registered advisors, as compared to approximately 88% as of December 31, 2018. As of September 30, 2019, approximately 14% of our AUM was managed on behalf of individual client relationships, which are principally with family offices and individuals, as compared to 12% as of December 31, 2018.</w:t>
      </w:r>
    </w:p>
    <w:p>
      <w:pPr>
        <w:spacing w:after="0" w:line="171"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As of September 30, 2019, AUM with foreign currency exposure represented approximately 68% of our total AUM, as compared to approximately 70% as of December 31, 2018.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is a summary of changes in AUM by asset class for the three month and nine month periods ended September 30, 2019 and 2018:</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4"/>
                <w:szCs w:val="14"/>
                <w:b w:val="1"/>
                <w:bCs w:val="1"/>
                <w:color w:val="auto"/>
                <w:w w:val="96"/>
              </w:rPr>
              <w:t>Three Months Ended September 30, 2019</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195,858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(10,145)</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(4,129)</w:t>
            </w: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(3,313)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(995)</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237,466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right="80" w:hanging="374"/>
        <w:spacing w:after="0" w:line="259"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Multi-Regional and Emerging Markets platforms, and inflows in the Fixed Income asset class were primarily attributable to the Global and Multi-Regional platforms. Outflows in the Equity asset class were primarily attributable to the Emerging Markets, Multi-Regional and Global platforms, and outflows in the Fixed Income asset class were primarily attributable to the Emerging Markets platform.</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jc w:val="right"/>
              <w:ind w:right="270"/>
              <w:spacing w:after="0"/>
              <w:rPr>
                <w:sz w:val="20"/>
                <w:szCs w:val="20"/>
                <w:color w:val="auto"/>
              </w:rPr>
            </w:pPr>
            <w:r>
              <w:rPr>
                <w:rFonts w:ascii="Arial" w:cs="Arial" w:eastAsia="Arial" w:hAnsi="Arial"/>
                <w:sz w:val="14"/>
                <w:szCs w:val="14"/>
                <w:b w:val="1"/>
                <w:bCs w:val="1"/>
                <w:color w:val="auto"/>
                <w:w w:val="97"/>
              </w:rPr>
              <w:t>Nine Months Ended September 30, 2019</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(28,763)</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(11,117)</w:t>
            </w: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(3,422)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6,694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4,089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(934)</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214,734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(34,953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30,185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right="20" w:hanging="374"/>
        <w:spacing w:after="0" w:line="259"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Multi-Regional and Emerging Markets platforms, and inflows in the Fixed Income asset class were primarily attributable to the Global, Multi-Regional and Emerging Markets platforms. Outflows in the Equity asset class were primarily attributable to the Emerging Markets, Global and Multi-Regional platforms, and outflows in the Fixed Income asset class were primarily attributable to the Emerging Markets and Global platforms.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4"/>
                <w:szCs w:val="14"/>
                <w:b w:val="1"/>
                <w:bCs w:val="1"/>
                <w:color w:val="auto"/>
                <w:w w:val="99"/>
              </w:rPr>
              <w:t>Three Months Ended September 30,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(7,704)</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(563)</w:t>
            </w: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(1,582)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34,065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237,876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57</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0"/>
          </w:tcPr>
          <w:p>
            <w:pPr>
              <w:jc w:val="right"/>
              <w:ind w:right="500"/>
              <w:spacing w:after="0"/>
              <w:rPr>
                <w:sz w:val="20"/>
                <w:szCs w:val="20"/>
                <w:color w:val="auto"/>
              </w:rPr>
            </w:pPr>
            <w:r>
              <w:rPr>
                <w:rFonts w:ascii="Arial" w:cs="Arial" w:eastAsia="Arial" w:hAnsi="Arial"/>
                <w:sz w:val="14"/>
                <w:szCs w:val="14"/>
                <w:b w:val="1"/>
                <w:bCs w:val="1"/>
                <w:color w:val="auto"/>
              </w:rPr>
              <w:t>Nine Months Ended September 30,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(28,157)</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(3,308)</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(6,052)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(1,383)</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20" w:firstLine="518"/>
        <w:spacing w:after="0" w:line="308" w:lineRule="auto"/>
        <w:rPr>
          <w:sz w:val="20"/>
          <w:szCs w:val="20"/>
          <w:color w:val="auto"/>
        </w:rPr>
      </w:pPr>
      <w:r>
        <w:rPr>
          <w:rFonts w:ascii="Arial" w:cs="Arial" w:eastAsia="Arial" w:hAnsi="Arial"/>
          <w:sz w:val="17"/>
          <w:szCs w:val="17"/>
          <w:color w:val="auto"/>
        </w:rPr>
        <w:t>As of October 25, 2019, AUM was $234.8 billion, a $3.9 billion increase since September 30, 2019. The increase in AUM was due to market appreciation of $2.2 billion and foreign exchange appreciation of $2.1 billion, partially offset by net outflows of $0.4 billion.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Average AUM for the three month and nine month periods ended September 30, 2019 and 2018 for each significant asset class is set forth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Average AUM generally represents the average of the monthly ending AUM balances for the period.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191,434</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200,864</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192,219</w:t>
            </w:r>
          </w:p>
        </w:tc>
        <w:tc>
          <w:tcPr>
            <w:tcW w:w="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206,629</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37,688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35,723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233,878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239,897</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232,885</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19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19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0"/>
                <w:szCs w:val="20"/>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300,015</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325,240</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917,439</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1,032,111</w:t>
            </w:r>
          </w:p>
        </w:tc>
        <w:tc>
          <w:tcPr>
            <w:tcW w:w="180" w:type="dxa"/>
            <w:vAlign w:val="bottom"/>
            <w:shd w:val="clear" w:color="auto" w:fill="CFF0FC"/>
          </w:tcPr>
          <w:p>
            <w:pPr>
              <w:spacing w:after="0"/>
              <w:rPr>
                <w:sz w:val="19"/>
                <w:szCs w:val="19"/>
                <w:color w:val="auto"/>
              </w:rPr>
            </w:pPr>
          </w:p>
        </w:tc>
      </w:tr>
      <w:tr>
        <w:trPr>
          <w:trHeight w:val="24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Expenses (a)</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225,819</w:t>
            </w:r>
          </w:p>
        </w:tc>
        <w:tc>
          <w:tcPr>
            <w:tcW w:w="3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211,564</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652,188</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670,794</w:t>
            </w:r>
          </w:p>
        </w:tc>
        <w:tc>
          <w:tcPr>
            <w:tcW w:w="180" w:type="dxa"/>
            <w:vAlign w:val="bottom"/>
            <w:tcBorders>
              <w:bottom w:val="single" w:sz="8" w:color="CFF0FC"/>
            </w:tcBorders>
          </w:tcPr>
          <w:p>
            <w:pPr>
              <w:spacing w:after="0"/>
              <w:rPr>
                <w:sz w:val="21"/>
                <w:szCs w:val="21"/>
                <w:color w:val="auto"/>
              </w:rPr>
            </w:pPr>
          </w:p>
        </w:tc>
      </w:tr>
      <w:tr>
        <w:trPr>
          <w:trHeight w:val="223"/>
        </w:trPr>
        <w:tc>
          <w:tcPr>
            <w:tcW w:w="5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74,196</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113,676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265,251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361,317</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5720" w:type="dxa"/>
            <w:vAlign w:val="bottom"/>
            <w:gridSpan w:val="2"/>
          </w:tcPr>
          <w:p>
            <w:pPr>
              <w:spacing w:after="0"/>
              <w:rPr>
                <w:sz w:val="20"/>
                <w:szCs w:val="20"/>
                <w:color w:val="auto"/>
              </w:rPr>
            </w:pPr>
            <w:r>
              <w:rPr>
                <w:rFonts w:ascii="Arial" w:cs="Arial" w:eastAsia="Arial" w:hAnsi="Arial"/>
                <w:sz w:val="18"/>
                <w:szCs w:val="18"/>
                <w:color w:val="auto"/>
              </w:rPr>
              <w:t>Operating Income, as a % of net revenue</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3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r>
      <w:tr>
        <w:trPr>
          <w:trHeight w:val="20"/>
        </w:trPr>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1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See Note 16 of Notes to Condensed Consolidated Financial Statements for information regarding business realignment.</w:t>
      </w:r>
    </w:p>
    <w:p>
      <w:pPr>
        <w:spacing w:after="0" w:line="200" w:lineRule="exact"/>
        <w:rPr>
          <w:sz w:val="20"/>
          <w:szCs w:val="20"/>
          <w:color w:val="auto"/>
        </w:rPr>
      </w:pPr>
    </w:p>
    <w:p>
      <w:pPr>
        <w:spacing w:after="0" w:line="282"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EMEA</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9"/>
        </w:trPr>
        <w:tc>
          <w:tcPr>
            <w:tcW w:w="6540" w:type="dxa"/>
            <w:vAlign w:val="bottom"/>
            <w:gridSpan w:val="2"/>
          </w:tcPr>
          <w:p>
            <w:pPr>
              <w:ind w:left="5620"/>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57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60" w:name="page61"/>
    <w:bookmarkEnd w:id="60"/>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58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versus September 30, 2018</w:t>
      </w:r>
    </w:p>
    <w:p>
      <w:pPr>
        <w:spacing w:after="0" w:line="117"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Asset Management net revenue decreased $25 million, or 8%, as compared to the 2018 period. Management fees and other revenue was $299 million, a decrease of $24 million, or 8%, as compared to $323 million in the 2018 period, due to a decrease in average AUM and change in asset mix. Incentive fees were $1 million, a decrease of $1 million as compared to $2 million in the 2018 period.</w:t>
      </w:r>
    </w:p>
    <w:p>
      <w:pPr>
        <w:spacing w:after="0" w:line="18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Operating expenses (which included $14 million associated with business realignment in the 2019 period) increased $14 million, or 7%, as compared to the 2018 period.</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Asset Management operating income was $74 million, a decrease of $39 million, or 35%, as compared to operating income of $114 million in the 2018 period and, as a percentage of net revenue, was 24.7%, as compared to 35.0% in the 2018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versus September 30, 2018</w:t>
      </w:r>
    </w:p>
    <w:p>
      <w:pPr>
        <w:spacing w:after="0" w:line="117"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Asset Management net revenue decreased $115 million, or 11%, as compared to the 2018 period. Management fees and other revenue was $910 million, a decrease of $102 million, or 10%, as compared to $1,012 million in the 2018 period, due to a decrease in average AUM and change in asset mix. Incentive fees were $7 million, a decrease of $13 million as compared to $20 million in the 2018 period.</w:t>
      </w:r>
    </w:p>
    <w:p>
      <w:pPr>
        <w:spacing w:after="0" w:line="166"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Operating expenses (which included $14 million associated with business realignment in the 2019 period) decreased $19 million, or 3%, as compared to the 2018 period, primarily due to a decrease in compensation and benefits expense associated with decreased operating revenue, as well as lower fund administration fees.</w:t>
      </w:r>
    </w:p>
    <w:p>
      <w:pPr>
        <w:spacing w:after="0" w:line="18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Asset Management operating income was $265 million, a decrease of $96 million, or 27%, as compared to operating income of $361 million in the 2018 period and, as a percentage of net revenue, was 28.9%, as compared to 35.0% in the 2018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9,358</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(18,814)</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(13,316)</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(54,827)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(38,931)</w:t>
            </w: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(15,484)</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(10,688)</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(45,469)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(32,246)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Revenue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(2,376)</w:t>
            </w: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(14,929)</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(9,177)</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(25,971)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5,729</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25,585</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75,877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50,350</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(20,658)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(34,762)</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(101,848)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versus September 30,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increased $5 million, or 45%, as compared to the 2018 period.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1" w:name="page62"/>
    <w:bookmarkEnd w:id="61"/>
    <w:p>
      <w:pPr>
        <w:ind w:left="520"/>
        <w:spacing w:after="0"/>
        <w:rPr>
          <w:sz w:val="20"/>
          <w:szCs w:val="20"/>
          <w:color w:val="auto"/>
        </w:rPr>
      </w:pPr>
      <w:r>
        <w:rPr>
          <w:rFonts w:ascii="Arial" w:cs="Arial" w:eastAsia="Arial" w:hAnsi="Arial"/>
          <w:sz w:val="18"/>
          <w:szCs w:val="18"/>
          <w:color w:val="auto"/>
        </w:rPr>
        <w:t>Other revenue decreased $1 million as compared to the 2018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Operating expenses decreased $20 million as compared to the 2018 period, primarily due to a decrease in compensation and benefits expense.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versus September 30,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increased $13 million, or 41%, as compared to the 2018 period.</w:t>
      </w:r>
    </w:p>
    <w:p>
      <w:pPr>
        <w:spacing w:after="0" w:line="225"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Other revenue increased $22 million as compared to the 2018 period, primarily due to higher income in the 2019 period attributable to investments held in connection with LFI.</w:t>
      </w:r>
    </w:p>
    <w:p>
      <w:pPr>
        <w:spacing w:after="0" w:line="17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Operating expenses increased $26 million as compared to the 2018 period, primarily due to an increase in compensation and benefits expense, which reflected an increase in charges pertaining to LFI.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Cash flows were also affected in 2018 by Lazard Group’s issuance of $500 million aggregate principal amount of its 4.50% senior notes maturing in 2028 (the “2028 Notes”) and the redemption of a portion of the 2020 Notes, and in 2019 by Lazard Group’s issuance of $500 million aggregate principal amount of its 4.375% senior notes maturing in 2029 (the “2029 Notes”) and the redemption of the 2020 Notes.</w:t>
      </w:r>
    </w:p>
    <w:p>
      <w:pPr>
        <w:spacing w:after="0" w:line="173"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81"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The Company makes cash payments for, or in respect of, a significant portion of its incentive compensation during the first three months of each calendar year with respect to the prior year’s results. The Company also paid a special dividend in February 2019 and February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00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Operating activities:</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Financing activities (c)</w:t>
            </w:r>
          </w:p>
        </w:tc>
        <w:tc>
          <w:tcPr>
            <w:tcW w:w="10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 and Restricted Cash</w:t>
            </w: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0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 (d):</w:t>
            </w: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59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6"/>
        </w:trPr>
        <w:tc>
          <w:tcPr>
            <w:tcW w:w="7900" w:type="dxa"/>
            <w:vAlign w:val="bottom"/>
            <w:gridSpan w:val="2"/>
          </w:tcPr>
          <w:p>
            <w:pPr>
              <w:ind w:left="5620"/>
              <w:spacing w:after="0"/>
              <w:rPr>
                <w:sz w:val="20"/>
                <w:szCs w:val="20"/>
                <w:color w:val="auto"/>
              </w:rPr>
            </w:pPr>
            <w:r>
              <w:rPr>
                <w:rFonts w:ascii="Arial" w:cs="Arial" w:eastAsia="Arial" w:hAnsi="Arial"/>
                <w:sz w:val="18"/>
                <w:szCs w:val="18"/>
                <w:color w:val="auto"/>
              </w:rPr>
              <w:t>60</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Consists of the following: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3"/>
                <w:szCs w:val="13"/>
                <w:color w:val="auto"/>
              </w:rPr>
            </w:pPr>
          </w:p>
        </w:tc>
      </w:tr>
      <w:tr>
        <w:trPr>
          <w:trHeight w:val="156"/>
        </w:trPr>
        <w:tc>
          <w:tcPr>
            <w:tcW w:w="6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170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Noncash lease expense</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expenses and share-based incentive compensation</w:t>
            </w:r>
          </w:p>
        </w:tc>
        <w:tc>
          <w:tcPr>
            <w:tcW w:w="8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Deferred tax provision (benefit)</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other acquisition-related (benefits) costs</w:t>
            </w:r>
          </w:p>
        </w:tc>
        <w:tc>
          <w:tcPr>
            <w:tcW w:w="8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r>
      <w:tr>
        <w:trPr>
          <w:trHeight w:val="230"/>
        </w:trPr>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on extinguishment of debt</w:t>
            </w:r>
          </w:p>
        </w:tc>
        <w:tc>
          <w:tcPr>
            <w:tcW w:w="8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r>
      <w:tr>
        <w:trPr>
          <w:trHeight w:val="223"/>
        </w:trPr>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23" w:lineRule="exact"/>
        <w:rPr>
          <w:rFonts w:ascii="Arial" w:cs="Arial" w:eastAsia="Arial" w:hAnsi="Arial"/>
          <w:sz w:val="18"/>
          <w:szCs w:val="18"/>
          <w:color w:val="auto"/>
        </w:rPr>
      </w:pPr>
    </w:p>
    <w:p>
      <w:pPr>
        <w:ind w:left="380" w:hanging="372"/>
        <w:spacing w:after="0" w:line="250"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units (“RSUs”), vested restricted stock awards and vested PRSUs, Class A common stock dividends, changes in customer deposits, distributions to noncontrolling interest holders and activity relating to borrowings (including in 2019 and 2018, the redemption of the 2020 Notes and the issuance of the 2029 and 2028 Notes, respectively).</w:t>
      </w:r>
    </w:p>
    <w:p>
      <w:pPr>
        <w:spacing w:after="0" w:line="1" w:lineRule="exact"/>
        <w:rPr>
          <w:rFonts w:ascii="Arial" w:cs="Arial" w:eastAsia="Arial" w:hAnsi="Arial"/>
          <w:sz w:val="18"/>
          <w:szCs w:val="18"/>
          <w:color w:val="auto"/>
        </w:rPr>
      </w:pPr>
    </w:p>
    <w:p>
      <w:pPr>
        <w:ind w:left="380" w:right="120" w:hanging="372"/>
        <w:spacing w:after="0" w:line="261"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Cash and cash equivalents and restricted cash consists of cash and cash equivalents, deposits with banks and short-term investments and cash deposited with clearing organizations and other segregated cash.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certain managing directors, which serve to reduce their respective incentive compensation payments. We expect this seasonal pattern of cash flow to continue.</w:t>
      </w:r>
    </w:p>
    <w:p>
      <w:pPr>
        <w:spacing w:after="0" w:line="18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first nine months of 2019, as reflected on the condensed consolidated statements of financial condition, both “deposits with banks and short-term investments” and “deposits and other customer payables” increased as compared to December 31, 2018, due to a higher level of LFB customer-related demand deposits, primarily from clients and funds managed by LFG.</w:t>
      </w:r>
    </w:p>
    <w:p>
      <w:pPr>
        <w:spacing w:after="0" w:line="173"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regularly monitor our liquidity position, including cash levels, investments in U.S. Treasury securities, credit lines, principal investment commitments, interest and principal payments on debt, capital expenditures, dividend payments, purchases of shares of Class A common stock and matters relating to liquidity and to compliance with regulatory net capital requirements. At September 30, 2019, Lazard had approximately $959 million of cash, with such amount including approximately $490 million held at Lazard’s operations outside the U.S. Lazard provides for income taxes on substantially all of its foreign earnings. We expect that no material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amount of additional taxes would be recognized upon receipt of dividends or distributions of such earnings from our foreign operations.</w:t>
      </w:r>
    </w:p>
    <w:p>
      <w:pPr>
        <w:spacing w:after="0" w:line="225"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September 30, 2019, Lazard had approximately $167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$16 million.</w:t>
      </w:r>
    </w:p>
    <w:p>
      <w:pPr>
        <w:spacing w:after="0" w:line="187"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table below sets forth our corporate indebtedness as of September 30, 2019 and December 31, 2018. The agreements with respect to this indebtedness are discussed in more detail in our condensed consolidated financial statements and related notes included elsewhere in this Form 10-Q and in our Form 10-K.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September 30, 2019</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3"/>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2028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2029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During March 2019, Lazard Group completed an offering of the 2029 Notes. Lazard Group used a portion of the net proceeds of the 2029 Notes to redeem or otherwise retire the remaining 2020 Notes in transactions that occurred during March 2019 and April 2019.</w:t>
      </w:r>
    </w:p>
    <w:p>
      <w:pPr>
        <w:spacing w:after="0" w:line="23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During September 2018, Lazard Group completed an offering of the 2028 Notes. Lazard Group used a portion of the net proceeds of the 2028 Notes to redeem or otherwise retire $250 million of the 2020 Notes.</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11 of Notes to Condensed Consolidated Financial Statements.</w:t>
      </w:r>
    </w:p>
    <w:p>
      <w:pPr>
        <w:spacing w:after="0" w:line="225"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September 30, 2019, Lazard Group was in compliance with such ratios, with its Consolidated Leverage Ratio being 1.78 to 1.00 and its Consolidated Interest Coverage Ratio being 13.99 to 1.00. In any event, no amounts were outstanding under the Amended and Restated Credit Agreement as of September 30,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ind w:right="100" w:firstLine="518"/>
        <w:spacing w:after="0" w:line="279" w:lineRule="auto"/>
        <w:rPr>
          <w:sz w:val="20"/>
          <w:szCs w:val="20"/>
          <w:color w:val="auto"/>
        </w:rPr>
      </w:pPr>
      <w:r>
        <w:rPr>
          <w:rFonts w:ascii="Arial" w:cs="Arial" w:eastAsia="Arial" w:hAnsi="Arial"/>
          <w:sz w:val="17"/>
          <w:szCs w:val="17"/>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September 30, 2019,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11 of Notes to Condensed Consolidated Financial Statements for additional information regarding senior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At September 30, 2019, total stockholders’ equity was $686 million, as compared to $970 million at December 31, 2018, including $613 million and $917 million attributable to Lazard Ltd on the respective dates. The net activity in stockholders’ equity during the nine month period ended September 30, 2019 is reflected in the table below (in millions of dollars):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Stockholders’ Equity - January 1, 2019</w:t>
            </w:r>
          </w:p>
        </w:tc>
        <w:tc>
          <w:tcPr>
            <w:tcW w:w="74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share-based incentive compensation</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Purchase of Class A common stock</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Settlement of share-based incentive compensation (a)</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Class A common stock dividends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color w:val="auto"/>
              </w:rPr>
              <w:t>Stockholders’ Equity - September 30, 2019</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65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 The rate at which the Company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159"/>
              <w:spacing w:after="0" w:line="158"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2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570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5,797,789</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2019</w:t>
            </w:r>
          </w:p>
        </w:tc>
        <w:tc>
          <w:tcPr>
            <w:tcW w:w="57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11,946,943</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620" w:firstLine="518"/>
        <w:spacing w:after="0" w:line="277" w:lineRule="auto"/>
        <w:rPr>
          <w:sz w:val="20"/>
          <w:szCs w:val="20"/>
          <w:color w:val="auto"/>
        </w:rPr>
      </w:pPr>
      <w:r>
        <w:rPr>
          <w:rFonts w:ascii="Arial" w:cs="Arial" w:eastAsia="Arial" w:hAnsi="Arial"/>
          <w:sz w:val="18"/>
          <w:szCs w:val="18"/>
          <w:color w:val="auto"/>
        </w:rPr>
        <w:t>As of September 30, 2019, a total of $165 million of share repurchase authorization remained available under the Company’s share repurchase program, all of which will expire on December 31, 2020.</w:t>
      </w:r>
    </w:p>
    <w:p>
      <w:pPr>
        <w:spacing w:after="0" w:line="17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addition, on October 30, 2019, the Board of Directors of Lazard authorized the repurchase of up to $300 million of additional shares of Class A common stock, which authorization will expire on December 31, 2021, bringing the total available share repurchase authorization as of October 30, 2019 to approximately $437 million.</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During the nine month period ended September 30, 2019, the Company had in place trading plans under Rule 10b5-1 of the Securities Exchange Act of 1934, as amended, pursuant to which it effected stock repurchases in the open market.</w:t>
      </w:r>
    </w:p>
    <w:p>
      <w:pPr>
        <w:spacing w:after="0" w:line="17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On October 30, 2019, the Board of Directors of Lazard declared a quarterly dividend of $0.47 per share on our Class A common stock. The dividend is payable on November 22, 2019, to stockholders of record on November 11, 2019.</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October 31, 2019, Lazard Group distributed to its managing members, which are subsidiaries of Lazard Ltd, 17,000,000 shares of Class A common stock that were held by Lazard Group. These shares were ultimately received by Lazard Ltd and cancelled. There was no impact on total stockholders' equity as a result of the share cancellation.</w:t>
      </w:r>
    </w:p>
    <w:p>
      <w:pPr>
        <w:spacing w:after="0" w:line="18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ind w:right="60" w:firstLine="518"/>
        <w:spacing w:after="0" w:line="277" w:lineRule="auto"/>
        <w:rPr>
          <w:sz w:val="20"/>
          <w:szCs w:val="20"/>
          <w:color w:val="auto"/>
        </w:rPr>
      </w:pPr>
      <w:r>
        <w:rPr>
          <w:rFonts w:ascii="Arial" w:cs="Arial" w:eastAsia="Arial" w:hAnsi="Arial"/>
          <w:sz w:val="18"/>
          <w:szCs w:val="18"/>
          <w:color w:val="auto"/>
        </w:rPr>
        <w:t>See Notes 13 and 14 of Notes to Condensed Consolidated Financial Statements for additional information regarding Lazard’s stockholders’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20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2,273,667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1,922,417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$20,353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807,732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22,441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169,511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128,673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3,089,663</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100,955</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310,011</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269,173</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140" w:hanging="372"/>
        <w:spacing w:after="0" w:line="259"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During March 2019, Lazard Group completed an offering of $500,000 aggregate principal amount of the 2029 Notes. Interest on the 2029 Notes is payable semi-annually on March 11 and September 11 of each year, beginning September 11, 2019. Lazard Group used a portion of the net proceeds of the 2029 Notes during March and April 2019 to redeem or otherwise retire the remaining $250,000 of the 2020 Notes. See Note 11 of Notes to Condensed Consolidated Financial Statements.</w:t>
      </w:r>
    </w:p>
    <w:p>
      <w:pPr>
        <w:spacing w:after="0" w:line="24" w:lineRule="exact"/>
        <w:rPr>
          <w:rFonts w:ascii="Arial" w:cs="Arial" w:eastAsia="Arial" w:hAnsi="Arial"/>
          <w:sz w:val="18"/>
          <w:szCs w:val="18"/>
          <w:color w:val="auto"/>
        </w:rPr>
      </w:pPr>
    </w:p>
    <w:p>
      <w:pPr>
        <w:ind w:left="380" w:hanging="372"/>
        <w:spacing w:after="0" w:line="264"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$13,400 are excluded. Such commitments are required to be funded by capital contributions from noncontrolling interest holders. See Note 6 of Notes to Condensed Consolidated Financial Statements. These amounts are generally due on demand and therefore are presented in the “less than 1 year” category.</w:t>
      </w:r>
    </w:p>
    <w:p>
      <w:pPr>
        <w:spacing w:after="0" w:line="19" w:lineRule="exact"/>
        <w:rPr>
          <w:rFonts w:ascii="Arial" w:cs="Arial" w:eastAsia="Arial" w:hAnsi="Arial"/>
          <w:sz w:val="18"/>
          <w:szCs w:val="18"/>
          <w:color w:val="auto"/>
        </w:rPr>
      </w:pPr>
    </w:p>
    <w:p>
      <w:pPr>
        <w:ind w:left="380" w:right="160" w:hanging="372"/>
        <w:spacing w:after="0" w:line="255"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table above excludes contingent obligations, given the inability to make a reasonably reliable estimate of the timing of the amounts of any such payments. The table above also excludes any possible payments for uncertain tax positions and payments pursuant to the Company’s tax receivable agreement, given that the actual amount and timing of payments under the tax receivable agreement could differ materially from our estimates. At September 30, 2019, a tax receivable agreement obligation of $246,953 was recorded on the condensed consolidated statements of financial condition. See “Critical Accounting Policies and Estimates – Income Taxes” below. See also Notes 12, 14, 15, 17 and 19 of Notes to Condensed Consolidated Financial Statements regarding information in connection with commitments, incentive plans, employee benefit plans, income taxes and tax receivable agreement obligations,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9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contract with a client has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performance obligations in the contract have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fee or other transaction price has been determined;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fee or other transaction price has been allocated to each performance obligation in the contract;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has satisfied the applicable performance obligation.</w:t>
      </w:r>
    </w:p>
    <w:p>
      <w:pPr>
        <w:spacing w:after="0" w:line="22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2018, on a consolidated basis, we recorded gross deferred tax assets of approximately $736 million, with such amount partially offset by a valuation allowance of approximately $73 million (as described below).</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7" w:name="page68"/>
    <w:bookmarkEnd w:id="67"/>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$73 million of deferred tax assets held by these entities as of December 31, 2018.</w:t>
      </w:r>
    </w:p>
    <w:p>
      <w:pPr>
        <w:spacing w:after="0" w:line="173"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See Item 1A, “Risk Factors” in our Form 10-K and Note 17 of Notes to Condensed Consolidated Financial Statements for additional information related to income taxes.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Amended and Restated Tax Receivable Agreement</w:t>
      </w:r>
    </w:p>
    <w:p>
      <w:pPr>
        <w:spacing w:after="0" w:line="11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See Note 19 of Notes to Condensed Consolidated Financial Statements for additional information regarding the Amended and Restated Tax Receivable Agreement.</w:t>
      </w:r>
    </w:p>
    <w:p>
      <w:pPr>
        <w:spacing w:after="0" w:line="15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amount of the Amended and Restated Tax Receivable Agreement liability is an undiscounted amount based upon currently enacted tax laws, including the Tax Act, the current structure of the Company and various assumptions regarding potential future operating profitability. The assumptions reflected in the estimate involve significant judgment, and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8" w:name="page69"/>
    <w:bookmarkEnd w:id="68"/>
    <w:p>
      <w:pPr>
        <w:ind w:right="480"/>
        <w:spacing w:after="0" w:line="277" w:lineRule="auto"/>
        <w:rPr>
          <w:sz w:val="20"/>
          <w:szCs w:val="20"/>
          <w:color w:val="auto"/>
        </w:rPr>
      </w:pPr>
      <w:r>
        <w:rPr>
          <w:rFonts w:ascii="Arial" w:cs="Arial" w:eastAsia="Arial" w:hAnsi="Arial"/>
          <w:sz w:val="18"/>
          <w:szCs w:val="18"/>
          <w:color w:val="auto"/>
        </w:rPr>
        <w:t>non-compensation expense in the condensed consolidated statement of operations. Adjustments, if necessary, to the related deferred tax assets would be recorded through income tax expense.</w:t>
      </w:r>
    </w:p>
    <w:p>
      <w:pPr>
        <w:spacing w:after="0" w:line="170"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recorded as of September 30, 2019 and December 31, 2018 was $247 million and $271 million, respectively, and is recorded in “tax receivable agreement obligation” on the condensed consolidated statements of financial condition.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and interests in alternative investment, debt, equity and private equity funds.</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These investments, with the exception of interest-bearing deposits,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Condensed Consolidated Financial Statements for additional information on the measurement of the fair value of investments.</w:t>
      </w:r>
    </w:p>
    <w:p>
      <w:pPr>
        <w:spacing w:after="0" w:line="18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2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600" w:type="dxa"/>
            <w:vAlign w:val="bottom"/>
            <w:gridSpan w:val="2"/>
          </w:tcPr>
          <w:p>
            <w:pPr>
              <w:ind w:left="260"/>
              <w:spacing w:after="0"/>
              <w:rPr>
                <w:sz w:val="20"/>
                <w:szCs w:val="20"/>
                <w:color w:val="auto"/>
              </w:rPr>
            </w:pPr>
            <w:r>
              <w:rPr>
                <w:rFonts w:ascii="Arial" w:cs="Arial" w:eastAsia="Arial" w:hAnsi="Arial"/>
                <w:sz w:val="18"/>
                <w:szCs w:val="18"/>
                <w:color w:val="auto"/>
              </w:rPr>
              <w:t>Equities (a)</w:t>
            </w:r>
          </w:p>
        </w:tc>
        <w:tc>
          <w:tcPr>
            <w:tcW w:w="2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82,794</w:t>
            </w:r>
          </w:p>
        </w:tc>
        <w:tc>
          <w:tcPr>
            <w:tcW w:w="6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73,410</w:t>
            </w: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9,548</w:t>
            </w:r>
          </w:p>
        </w:tc>
        <w:tc>
          <w:tcPr>
            <w:tcW w:w="120" w:type="dxa"/>
            <w:vAlign w:val="bottom"/>
            <w:shd w:val="clear" w:color="auto" w:fill="CFF0FC"/>
          </w:tcPr>
          <w:p>
            <w:pPr>
              <w:spacing w:after="0"/>
              <w:rPr>
                <w:sz w:val="19"/>
                <w:szCs w:val="19"/>
                <w:color w:val="auto"/>
              </w:rPr>
            </w:pPr>
          </w:p>
        </w:tc>
      </w:tr>
      <w:tr>
        <w:trPr>
          <w:trHeight w:val="230"/>
        </w:trPr>
        <w:tc>
          <w:tcPr>
            <w:tcW w:w="56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Alternative investments</w:t>
            </w:r>
          </w:p>
        </w:tc>
        <w:tc>
          <w:tcPr>
            <w:tcW w:w="2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2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117,906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90,089</w:t>
            </w:r>
          </w:p>
        </w:tc>
        <w:tc>
          <w:tcPr>
            <w:tcW w:w="120" w:type="dxa"/>
            <w:vAlign w:val="bottom"/>
            <w:shd w:val="clear" w:color="auto" w:fill="CFF0FC"/>
          </w:tcPr>
          <w:p>
            <w:pPr>
              <w:spacing w:after="0"/>
              <w:rPr>
                <w:sz w:val="19"/>
                <w:szCs w:val="19"/>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2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41,788</w:t>
            </w:r>
          </w:p>
        </w:tc>
        <w:tc>
          <w:tcPr>
            <w:tcW w:w="120" w:type="dxa"/>
            <w:vAlign w:val="bottom"/>
            <w:shd w:val="clear" w:color="auto" w:fill="CFF0FC"/>
          </w:tcPr>
          <w:p>
            <w:pPr>
              <w:spacing w:after="0"/>
              <w:rPr>
                <w:sz w:val="19"/>
                <w:szCs w:val="19"/>
                <w:color w:val="auto"/>
              </w:rPr>
            </w:pPr>
          </w:p>
        </w:tc>
      </w:tr>
      <w:tr>
        <w:trPr>
          <w:trHeight w:val="230"/>
        </w:trPr>
        <w:tc>
          <w:tcPr>
            <w:tcW w:w="5600" w:type="dxa"/>
            <w:vAlign w:val="bottom"/>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Fixed income and other (c)</w:t>
            </w:r>
          </w:p>
        </w:tc>
        <w:tc>
          <w:tcPr>
            <w:tcW w:w="2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124,273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226,346</w:t>
            </w:r>
          </w:p>
        </w:tc>
        <w:tc>
          <w:tcPr>
            <w:tcW w:w="120" w:type="dxa"/>
            <w:vAlign w:val="bottom"/>
            <w:shd w:val="clear" w:color="auto" w:fill="CFF0FC"/>
          </w:tcPr>
          <w:p>
            <w:pPr>
              <w:spacing w:after="0"/>
              <w:rPr>
                <w:sz w:val="19"/>
                <w:szCs w:val="19"/>
                <w:color w:val="auto"/>
              </w:rPr>
            </w:pPr>
          </w:p>
        </w:tc>
      </w:tr>
      <w:tr>
        <w:trPr>
          <w:trHeight w:val="223"/>
        </w:trPr>
        <w:tc>
          <w:tcPr>
            <w:tcW w:w="5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other investments owned</w:t>
            </w:r>
          </w:p>
        </w:tc>
        <w:tc>
          <w:tcPr>
            <w:tcW w:w="2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153,853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268,644</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2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271,759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358,733</w:t>
            </w:r>
          </w:p>
        </w:tc>
        <w:tc>
          <w:tcPr>
            <w:tcW w:w="120" w:type="dxa"/>
            <w:vAlign w:val="bottom"/>
            <w:shd w:val="clear" w:color="auto" w:fill="CFF0FC"/>
          </w:tcPr>
          <w:p>
            <w:pPr>
              <w:spacing w:after="0"/>
              <w:rPr>
                <w:sz w:val="19"/>
                <w:szCs w:val="19"/>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Add:</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Private equity consolidated, not owned (d)</w:t>
            </w:r>
          </w:p>
        </w:tc>
        <w:tc>
          <w:tcPr>
            <w:tcW w:w="2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14,555</w:t>
            </w:r>
          </w:p>
        </w:tc>
        <w:tc>
          <w:tcPr>
            <w:tcW w:w="120" w:type="dxa"/>
            <w:vAlign w:val="bottom"/>
            <w:shd w:val="clear" w:color="auto" w:fill="CFF0FC"/>
          </w:tcPr>
          <w:p>
            <w:pPr>
              <w:spacing w:after="0"/>
              <w:rPr>
                <w:sz w:val="19"/>
                <w:szCs w:val="19"/>
                <w:color w:val="auto"/>
              </w:rPr>
            </w:pPr>
          </w:p>
        </w:tc>
      </w:tr>
      <w:tr>
        <w:trPr>
          <w:trHeight w:val="230"/>
        </w:trPr>
        <w:tc>
          <w:tcPr>
            <w:tcW w:w="56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(e)</w:t>
            </w:r>
          </w:p>
        </w:tc>
        <w:tc>
          <w:tcPr>
            <w:tcW w:w="2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250,673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201,860</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2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535,848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575,148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6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At September 30, 2019 and December 31, 2018, seed investments in directly owned equity securities were invested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6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1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Financials</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Industrial</w:t>
            </w: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r>
      <w:tr>
        <w:trPr>
          <w:trHeight w:val="230"/>
        </w:trPr>
        <w:tc>
          <w:tcPr>
            <w:tcW w:w="6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FF0FC"/>
            </w:tcBorders>
          </w:tcPr>
          <w:p>
            <w:pPr>
              <w:spacing w:after="0"/>
              <w:rPr>
                <w:sz w:val="19"/>
                <w:szCs w:val="19"/>
                <w:color w:val="auto"/>
              </w:rPr>
            </w:pPr>
          </w:p>
        </w:tc>
      </w:tr>
      <w:tr>
        <w:trPr>
          <w:trHeight w:val="223"/>
        </w:trPr>
        <w:tc>
          <w:tcPr>
            <w:tcW w:w="6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380" w:right="320" w:hanging="372"/>
        <w:spacing w:after="0" w:line="342" w:lineRule="auto"/>
        <w:tabs>
          <w:tab w:leader="none" w:pos="3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$25 million and $27 million as of September 30, 2019 and December 31, 2018,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ind w:left="380" w:right="460" w:hanging="372"/>
        <w:spacing w:after="0" w:line="277"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September 30, 2019 and December 31, 2018, includes investments in U.S. Treasury securities of approximately $100 million and $200 million, respectively, with original maturities of greater than three months and less than one year.</w:t>
      </w:r>
    </w:p>
    <w:p>
      <w:pPr>
        <w:spacing w:after="0" w:line="8" w:lineRule="exact"/>
        <w:rPr>
          <w:rFonts w:ascii="Arial" w:cs="Arial" w:eastAsia="Arial" w:hAnsi="Arial"/>
          <w:sz w:val="18"/>
          <w:szCs w:val="18"/>
          <w:color w:val="auto"/>
        </w:rPr>
      </w:pPr>
    </w:p>
    <w:p>
      <w:pPr>
        <w:jc w:val="both"/>
        <w:ind w:left="380" w:right="100" w:hanging="372"/>
        <w:spacing w:after="0" w:line="264"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19" w:lineRule="exact"/>
        <w:rPr>
          <w:rFonts w:ascii="Arial" w:cs="Arial" w:eastAsia="Arial" w:hAnsi="Arial"/>
          <w:sz w:val="18"/>
          <w:szCs w:val="18"/>
          <w:color w:val="auto"/>
        </w:rPr>
      </w:pPr>
    </w:p>
    <w:p>
      <w:pPr>
        <w:ind w:left="380" w:hanging="372"/>
        <w:spacing w:after="0" w:line="297" w:lineRule="auto"/>
        <w:tabs>
          <w:tab w:leader="none" w:pos="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$89 million in eight entities as of September 30, 2019, as compared to $69 million in three entities as of December 31, 2018.</w:t>
      </w:r>
    </w:p>
    <w:p>
      <w:pPr>
        <w:spacing w:after="0" w:line="158"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At September 30, 2019 and December 31, 2018, total investments with a fair value of $535 million and $575 million, respectively, included $51 million and $57 million, respectively, or 10% in both periods, of investments that were classified using NAV or its equivalent as a practical expedient. See Notes 5 and 6 of Notes to Condensed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September 30, 2019 and December 31, 2018, the Company held seed investments of approximately $118 million and $90 million, respectively. Seed investments held in entities in which the Company maintained a controlling interest were $58 million in eight entities as of September 30, 2019, as compared to $31 million in eight entities as of December 31, 2018.</w:t>
      </w:r>
    </w:p>
    <w:p>
      <w:pPr>
        <w:spacing w:after="0" w:line="181"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As of September 30, 2019 and December 31, 2018, the Company did not consolidate or deconsolidate any seed investment entities or LFI investment entities with the exception of the recent consolidation of certain LFI funds (see Note 22 of Notes to the Condensed Consolidated Financial Statements). As such, 100% of the recorded balance of seed investments and substantially all of LFI investments as of September 30, 2019 and December 31, 2018 represented the Company’s economic interest in the seed and LFI investments. See “—Consolidation of Variable Interest Entities” below for more information on the Company’s policy regarding the consolidation of seed and LFI investment entities.</w:t>
      </w:r>
    </w:p>
    <w:p>
      <w:pPr>
        <w:spacing w:after="0" w:line="173"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10 of Notes to Condensed Consolidated Financial Statements for additional information regarding goodwill.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70" w:name="page71"/>
    <w:bookmarkEnd w:id="70"/>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38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40" w:hanging="379"/>
        <w:spacing w:after="0" w:line="286"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57" w:lineRule="exact"/>
        <w:rPr>
          <w:rFonts w:ascii="Arial" w:cs="Arial" w:eastAsia="Arial" w:hAnsi="Arial"/>
          <w:sz w:val="17"/>
          <w:szCs w:val="17"/>
          <w:color w:val="auto"/>
        </w:rPr>
      </w:pPr>
    </w:p>
    <w:p>
      <w:pPr>
        <w:ind w:left="900" w:right="40" w:hanging="379"/>
        <w:spacing w:after="0" w:line="30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Lazard’s involvement with various entities that are VOEs or VIEs primarily arises from LFI investments and investment management contracts with fund entities in our Asset Management business. Lazard is not required to consolidate such entities because, with the exception of certain seed and LFI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7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Lazard makes seed and LFI investments in certain entities that are considered VOEs and VIEs and often require consolidation as a result of our investment. The impact of seed and LFI investment entities that require consolidation on the condensed consolidated financial statements, including any consolidation or deconsolidation of such entities, is not material to our financial statements. Our exposure to loss from entities in which we have made such investments is limited to the extent of our investment in, or investment commitment to, such entities. See “Critical Accounting Policies and Estimates— Investments” above for more information regarding our investments.</w:t>
      </w:r>
    </w:p>
    <w:p>
      <w:pPr>
        <w:spacing w:after="0" w:line="18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and LFI investment entities in which we own a controlling interest, and we would deconsolidate any such entity when we no longer have a controlling interest in such entity.</w:t>
      </w:r>
    </w:p>
    <w:p>
      <w:pPr>
        <w:spacing w:after="0" w:line="276" w:lineRule="exact"/>
        <w:rPr>
          <w:sz w:val="20"/>
          <w:szCs w:val="20"/>
          <w:color w:val="auto"/>
        </w:rPr>
      </w:pPr>
    </w:p>
    <w:p>
      <w:pPr>
        <w:jc w:val="center"/>
        <w:ind w:right="994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99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with maturities over 90 days that allow daily withdrawals without principal penalties.</w:t>
      </w:r>
    </w:p>
    <w:p>
      <w:pPr>
        <w:spacing w:after="0" w:line="1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71" w:name="page72"/>
    <w:bookmarkEnd w:id="71"/>
    <w:p>
      <w:pPr>
        <w:ind w:right="120" w:firstLine="518"/>
        <w:spacing w:after="0" w:line="286" w:lineRule="auto"/>
        <w:rPr>
          <w:sz w:val="20"/>
          <w:szCs w:val="20"/>
          <w:color w:val="auto"/>
        </w:rPr>
      </w:pPr>
      <w:r>
        <w:rPr>
          <w:rFonts w:ascii="Arial" w:cs="Arial" w:eastAsia="Arial" w:hAnsi="Arial"/>
          <w:sz w:val="16"/>
          <w:szCs w:val="16"/>
          <w:color w:val="auto"/>
        </w:rPr>
        <w:t>Equity Market Price Risk—At September 30, 2019 and December 31, 2018, the Company’s exposure to equity market price risk in its investment portfolio, which primarily relates to investments in equity securities, equity funds and hedge funds, was approximately $90 million and $84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$0.8 million and</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$0.8 million in the carrying value of such investments as of September 30, 2019 and December 31, 2018, respectively, including the effect of the hedging transactions.</w:t>
      </w:r>
    </w:p>
    <w:p>
      <w:pPr>
        <w:spacing w:after="0" w:line="18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Interest Rate/Credit Spread Risk—At September 30, 2019 and December 31, 2018, the Company’s exposure to interest rate and credit spread risk in its investment portfolio related to investments in debt securities or funds which invest primarily in debt securities was $153 million and $245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$1.4 million and $0.9 million in the carrying value of such investments as of September 30, 2019 and December 31, 2018, respectively, including the effect of the hedging transactions.</w:t>
      </w:r>
    </w:p>
    <w:p>
      <w:pPr>
        <w:spacing w:after="0" w:line="19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Foreign Exchange Rate Risk—At September 30, 2019 and December 31, 2018, the Company’s exposure to foreign exchange rate risk in its investment portfolio, which primarily relates to investments in foreign currency denominated equity and debt securities, was $44 million and $41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$0.6 million and $0.1 million in the carrying value of such investments as of September 30, 2019 and December 31, 2018, respectively, including the effect of the hedging transactions.</w:t>
      </w:r>
    </w:p>
    <w:p>
      <w:pPr>
        <w:spacing w:after="0" w:line="193" w:lineRule="exact"/>
        <w:rPr>
          <w:sz w:val="20"/>
          <w:szCs w:val="20"/>
          <w:color w:val="auto"/>
        </w:rPr>
      </w:pPr>
    </w:p>
    <w:p>
      <w:pPr>
        <w:ind w:right="340" w:firstLine="518"/>
        <w:spacing w:after="0" w:line="302"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September 30, 2019 and December 31, 2018, the Company’s exposure to changes in fair value of such investments was approximately $29 million and $42 million, respectively. The Company estimates that a hypothetical 10% adverse change in fair value would result in a decrease of approximately $2.9 million and $4.2 million in the carrying value of such investments as of September 30, 2019 and December 31, 2018, respectively.</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180" w:firstLine="518"/>
        <w:spacing w:after="0" w:line="270" w:lineRule="auto"/>
        <w:rPr>
          <w:sz w:val="20"/>
          <w:szCs w:val="20"/>
          <w:color w:val="auto"/>
        </w:rPr>
      </w:pPr>
      <w:r>
        <w:rPr>
          <w:rFonts w:ascii="Arial" w:cs="Arial" w:eastAsia="Arial" w:hAnsi="Arial"/>
          <w:sz w:val="17"/>
          <w:szCs w:val="17"/>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September 30, 2019, total receivables amounted to $668 million, net of an allowance for doubtful accounts of $31 million. As of that date, Financial Advisory and Asset Management fees, and customers and other receivables comprised 70% and 30% of total receivables, respectively. At December 31, 2018, total receivables amounted to $686 million, net of an allowance for doubtful accounts of $40 million. As of that date, Financial Advisory and Asset Management fees, and customers and other receivables comprised 73% and 27% of total receivables, respectively. At September 30, 2019 and December 31, 2018, the Company had receivables past due or deemed uncollectible of approximately $38 million and $42 million, respectively. See also “Critical Accounting Policies and Estimates—Revenue Recognition” above and Note 4 of Notes to Condensed Consolidated Financial Statements for additional information regarding receivables.</w:t>
      </w:r>
    </w:p>
    <w:p>
      <w:pPr>
        <w:spacing w:after="0" w:line="18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September 30, 2019 and December 31, 2018, customer receivables included $67 million and $64 million, respectively, of LFB loans,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$3 million and $12 million at September 30, 2019 and December 31, 2018, respectively, and derivative liabilities, excluding the derivative liability arising from the Company’s obligation pertaining to LFI and other similar deferred compensation arrangements, amounted to $6 million and $1 million at such respective 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2" w:name="page73"/>
    <w:bookmarkEnd w:id="72"/>
    <w:p>
      <w:pPr>
        <w:ind w:right="10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$222 million and $188 million at September 30, 2019 and December 31, 2018,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September 30, 2019, Lazard estimates that its annual operating income relating to cash and cash equivalents would increase by approximately $10 million in the event interest rates were to increase by 1% and decrease by approximately $10 million if rates were to decrease by 1%.</w:t>
      </w:r>
    </w:p>
    <w:p>
      <w:pPr>
        <w:spacing w:after="0" w:line="14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As of September 30, 2019, the Company’s cash and cash equivalents totaled approximately $959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w:t>
      </w:r>
    </w:p>
    <w:p>
      <w:pPr>
        <w:ind w:right="60" w:firstLine="8"/>
        <w:spacing w:after="0" w:line="255" w:lineRule="auto"/>
        <w:tabs>
          <w:tab w:leader="none" w:pos="3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short-term certificates of deposit from such banks and (iv) in short-term U.S. Treasury securities.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73" w:name="page74"/>
    <w:bookmarkEnd w:id="73"/>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 of January 1, 2019, we implemented a new enterprise resource planning (“ERP’) system, by transitioning certain of our operations, including the general ledger, to the new ERP system. We have modified our existing controls infrastructure, as well as added other processes and internal controls, to adapt to our new ERP system and to take advantage of the increased functionality of the new system.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 for the year ended December 31, 2018.</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2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following table sets forth information regarding Lazard’s purchases of its Class A common stock on a monthly basis during the third quarter of 2019. Share repurchases are recorded on a trade date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per Share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left="278"/>
              <w:spacing w:after="0"/>
              <w:rPr>
                <w:sz w:val="20"/>
                <w:szCs w:val="20"/>
                <w:color w:val="auto"/>
              </w:rPr>
            </w:pPr>
            <w:r>
              <w:rPr>
                <w:rFonts w:ascii="Arial" w:cs="Arial" w:eastAsia="Arial" w:hAnsi="Arial"/>
                <w:sz w:val="14"/>
                <w:szCs w:val="14"/>
                <w:b w:val="1"/>
                <w:bCs w:val="1"/>
                <w:color w:val="auto"/>
                <w:w w:val="91"/>
              </w:rPr>
              <w:t>Programs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July 1 – July 31, 2019</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tcPr>
          <w:p>
            <w:pPr>
              <w:jc w:val="right"/>
              <w:spacing w:after="0"/>
              <w:rPr>
                <w:sz w:val="20"/>
                <w:szCs w:val="20"/>
                <w:color w:val="auto"/>
              </w:rPr>
            </w:pPr>
            <w:r>
              <w:rPr>
                <w:rFonts w:ascii="Arial" w:cs="Arial" w:eastAsia="Arial" w:hAnsi="Arial"/>
                <w:sz w:val="18"/>
                <w:szCs w:val="18"/>
                <w:color w:val="auto"/>
              </w:rPr>
              <w:t>1,125,000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35.39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1,125,000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204.0</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35.26</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August 1 – August 31, 2019</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306,940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306,940</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193.9</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tcPr>
          <w:p>
            <w:pPr>
              <w:jc w:val="right"/>
              <w:spacing w:after="0"/>
              <w:rPr>
                <w:sz w:val="20"/>
                <w:szCs w:val="20"/>
                <w:color w:val="auto"/>
              </w:rPr>
            </w:pPr>
            <w:r>
              <w:rPr>
                <w:rFonts w:ascii="Arial" w:cs="Arial" w:eastAsia="Arial" w:hAnsi="Arial"/>
                <w:sz w:val="18"/>
                <w:szCs w:val="18"/>
                <w:color w:val="auto"/>
              </w:rPr>
              <w:t>3,173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33.59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September 1 – September 30, 2019</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35.78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800,000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165.2</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2,231,940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2,231,940</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165.2</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tcPr>
          <w:p>
            <w:pPr>
              <w:jc w:val="right"/>
              <w:spacing w:after="0"/>
              <w:rPr>
                <w:sz w:val="20"/>
                <w:szCs w:val="20"/>
                <w:color w:val="auto"/>
              </w:rPr>
            </w:pPr>
            <w:r>
              <w:rPr>
                <w:rFonts w:ascii="Arial" w:cs="Arial" w:eastAsia="Arial" w:hAnsi="Arial"/>
                <w:sz w:val="18"/>
                <w:szCs w:val="18"/>
                <w:color w:val="auto"/>
              </w:rPr>
              <w:t>25,146</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34.45</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2090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380" w:hanging="372"/>
        <w:spacing w:after="0" w:line="261"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During the nine months ended September 30, 2019 and since 2017, the Board of Directors of Lazard authorized the repurchase of Class A common stock as set forth in the table below.</w:t>
      </w:r>
    </w:p>
    <w:tbl>
      <w:tblPr>
        <w:tblLayout w:type="fixed"/>
        <w:tblInd w:w="580" w:type="dxa"/>
        <w:tblCellMar>
          <w:top w:w="0" w:type="dxa"/>
          <w:left w:w="0" w:type="dxa"/>
          <w:bottom w:w="0" w:type="dxa"/>
          <w:right w:w="0" w:type="dxa"/>
        </w:tblCellMar>
      </w:tblPr>
      <w:tr>
        <w:trPr>
          <w:trHeight w:val="149"/>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2"/>
                <w:szCs w:val="12"/>
                <w:color w:val="auto"/>
              </w:rPr>
            </w:pPr>
          </w:p>
        </w:tc>
        <w:tc>
          <w:tcPr>
            <w:tcW w:w="176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rPr>
              <w:t>Repurchase</w:t>
            </w:r>
          </w:p>
        </w:tc>
        <w:tc>
          <w:tcPr>
            <w:tcW w:w="180" w:type="dxa"/>
            <w:vAlign w:val="bottom"/>
          </w:tcPr>
          <w:p>
            <w:pPr>
              <w:spacing w:after="0"/>
              <w:rPr>
                <w:sz w:val="12"/>
                <w:szCs w:val="12"/>
                <w:color w:val="auto"/>
              </w:rPr>
            </w:pPr>
          </w:p>
        </w:tc>
        <w:tc>
          <w:tcPr>
            <w:tcW w:w="23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57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335"/>
              <w:spacing w:after="0"/>
              <w:rPr>
                <w:sz w:val="20"/>
                <w:szCs w:val="20"/>
                <w:color w:val="auto"/>
              </w:rPr>
            </w:pPr>
            <w:r>
              <w:rPr>
                <w:rFonts w:ascii="Arial" w:cs="Arial" w:eastAsia="Arial" w:hAnsi="Arial"/>
                <w:sz w:val="14"/>
                <w:szCs w:val="14"/>
                <w:b w:val="1"/>
                <w:bCs w:val="1"/>
                <w:color w:val="auto"/>
              </w:rPr>
              <w:t>Authorization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84"/>
              </w:rPr>
              <w:t>in thousands)</w:t>
            </w:r>
          </w:p>
        </w:tc>
        <w:tc>
          <w:tcPr>
            <w:tcW w:w="1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October 2017</w:t>
            </w:r>
          </w:p>
        </w:tc>
        <w:tc>
          <w:tcPr>
            <w:tcW w:w="700" w:type="dxa"/>
            <w:vAlign w:val="bottom"/>
            <w:gridSpan w:val="2"/>
          </w:tcPr>
          <w:p>
            <w:pPr>
              <w:jc w:val="right"/>
              <w:ind w:right="346"/>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ind w:left="940"/>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18"/>
                <w:szCs w:val="18"/>
                <w:color w:val="auto"/>
              </w:rPr>
              <w:t>April 2018</w:t>
            </w:r>
          </w:p>
        </w:tc>
        <w:tc>
          <w:tcPr>
            <w:tcW w:w="200" w:type="dxa"/>
            <w:vAlign w:val="bottom"/>
          </w:tcPr>
          <w:p>
            <w:pPr>
              <w:spacing w:after="0"/>
              <w:rPr>
                <w:sz w:val="21"/>
                <w:szCs w:val="21"/>
                <w:color w:val="auto"/>
              </w:rPr>
            </w:pPr>
          </w:p>
        </w:tc>
        <w:tc>
          <w:tcPr>
            <w:tcW w:w="500" w:type="dxa"/>
            <w:vAlign w:val="bottom"/>
            <w:shd w:val="clear" w:color="auto" w:fill="CFF0FC"/>
          </w:tcPr>
          <w:p>
            <w:pPr>
              <w:jc w:val="right"/>
              <w:ind w:right="34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shd w:val="clear" w:color="auto" w:fill="CFF0FC"/>
          </w:tcPr>
          <w:p>
            <w:pPr>
              <w:ind w:left="94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October 2018</w:t>
            </w:r>
          </w:p>
        </w:tc>
        <w:tc>
          <w:tcPr>
            <w:tcW w:w="200" w:type="dxa"/>
            <w:vAlign w:val="bottom"/>
          </w:tcPr>
          <w:p>
            <w:pPr>
              <w:spacing w:after="0"/>
              <w:rPr>
                <w:sz w:val="19"/>
                <w:szCs w:val="19"/>
                <w:color w:val="auto"/>
              </w:rPr>
            </w:pPr>
          </w:p>
        </w:tc>
        <w:tc>
          <w:tcPr>
            <w:tcW w:w="500" w:type="dxa"/>
            <w:vAlign w:val="bottom"/>
          </w:tcPr>
          <w:p>
            <w:pPr>
              <w:jc w:val="right"/>
              <w:ind w:right="34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tcPr>
          <w:p>
            <w:pPr>
              <w:ind w:left="94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18"/>
                <w:szCs w:val="18"/>
                <w:color w:val="auto"/>
              </w:rPr>
              <w:t>February 2019</w:t>
            </w:r>
          </w:p>
        </w:tc>
        <w:tc>
          <w:tcPr>
            <w:tcW w:w="200" w:type="dxa"/>
            <w:vAlign w:val="bottom"/>
          </w:tcPr>
          <w:p>
            <w:pPr>
              <w:spacing w:after="0"/>
              <w:rPr>
                <w:sz w:val="21"/>
                <w:szCs w:val="21"/>
                <w:color w:val="auto"/>
              </w:rPr>
            </w:pPr>
          </w:p>
        </w:tc>
        <w:tc>
          <w:tcPr>
            <w:tcW w:w="500" w:type="dxa"/>
            <w:vAlign w:val="bottom"/>
            <w:shd w:val="clear" w:color="auto" w:fill="CFF0FC"/>
          </w:tcPr>
          <w:p>
            <w:pPr>
              <w:jc w:val="right"/>
              <w:ind w:right="34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shd w:val="clear" w:color="auto" w:fill="CFF0FC"/>
          </w:tcPr>
          <w:p>
            <w:pPr>
              <w:ind w:left="94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addition, on October 30, 2019, the Board of Directors of Lazard authorized the repurchase of up to $300 million of additional shares of Class A common stock, which authorization will expire on December 31, 2021, bringing the total available share repurchase authorization as of October 30, 2019 to approximately $437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ind w:left="380" w:right="40"/>
        <w:spacing w:after="0" w:line="295" w:lineRule="auto"/>
        <w:rPr>
          <w:sz w:val="20"/>
          <w:szCs w:val="20"/>
          <w:color w:val="auto"/>
        </w:rPr>
      </w:pPr>
      <w:r>
        <w:rPr>
          <w:rFonts w:ascii="Arial" w:cs="Arial" w:eastAsia="Arial" w:hAnsi="Arial"/>
          <w:sz w:val="16"/>
          <w:szCs w:val="16"/>
          <w:color w:val="auto"/>
        </w:rPr>
        <w:t>A significant portion of the Company’s purchases under the share repurchase program are used to offset a portion of the shares that have been or will be issued under the 2008 Plan and the 2018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4" w:lineRule="exact"/>
        <w:rPr>
          <w:sz w:val="20"/>
          <w:szCs w:val="20"/>
          <w:color w:val="auto"/>
        </w:rPr>
      </w:pPr>
    </w:p>
    <w:p>
      <w:pPr>
        <w:ind w:left="380" w:hanging="372"/>
        <w:spacing w:after="0" w:line="257" w:lineRule="auto"/>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Under the terms of the 2008 Plan and the 2018 Plan, upon the vesting of RSUs, PRSUs, DSUs and delivery of restricted Class A common stock, shares of Class A common stock may be withheld by the Company to meet the minimum statutory tax withholding requirements. During the three month period ended September 30, 2019, the Company satisfied such obligations in lieu of issuing (i) 23,131 shares of Class A common stock upon the vesting or settlement of 62,039 RSUs and PRSUs and (ii) 2,015 shares of Class A common stock upon the vesting of 5,718 shares of restricted Class A common stock.</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20" w:type="dxa"/>
            <w:vAlign w:val="bottom"/>
            <w:gridSpan w:val="29"/>
          </w:tcPr>
          <w:p>
            <w:pPr>
              <w:ind w:left="36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Item 6.</w:t>
            </w:r>
          </w:p>
        </w:tc>
        <w:tc>
          <w:tcPr>
            <w:tcW w:w="10380" w:type="dxa"/>
            <w:vAlign w:val="bottom"/>
            <w:gridSpan w:val="37"/>
          </w:tcPr>
          <w:p>
            <w:pPr>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10380" w:type="dxa"/>
            <w:vAlign w:val="bottom"/>
            <w:gridSpan w:val="37"/>
          </w:tcPr>
          <w:p>
            <w:pPr>
              <w:spacing w:after="0"/>
              <w:rPr>
                <w:rFonts w:ascii="Arial" w:cs="Arial" w:eastAsia="Arial" w:hAnsi="Arial"/>
                <w:sz w:val="18"/>
                <w:szCs w:val="18"/>
                <w:color w:val="0000EE"/>
                <w:w w:val="94"/>
              </w:rPr>
            </w:pPr>
            <w:hyperlink r:id="rId104">
              <w:r>
                <w:rPr>
                  <w:rFonts w:ascii="Arial" w:cs="Arial" w:eastAsia="Arial" w:hAnsi="Arial"/>
                  <w:sz w:val="18"/>
                  <w:szCs w:val="18"/>
                  <w:color w:val="0000EE"/>
                  <w:w w:val="94"/>
                </w:rPr>
                <w:t>Certificate of Incorporation and Memorandum of Association of the Registrant (incorporated by reference to Exhibit 3.1 to the Registrant’s</w:t>
              </w:r>
            </w:hyperlink>
          </w:p>
        </w:tc>
      </w:tr>
      <w:tr>
        <w:trPr>
          <w:trHeight w:val="196"/>
        </w:trPr>
        <w:tc>
          <w:tcPr>
            <w:tcW w:w="104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Registration Statement (File No. 333-121407) on Form S-1/A filed on March 21, 2005).</w:t>
              </w:r>
            </w:hyperlink>
          </w:p>
        </w:tc>
        <w:tc>
          <w:tcPr>
            <w:tcW w:w="3660" w:type="dxa"/>
            <w:vAlign w:val="bottom"/>
            <w:tcBorders>
              <w:top w:val="single" w:sz="8" w:color="0000EE"/>
            </w:tcBorders>
            <w:gridSpan w:val="9"/>
          </w:tcPr>
          <w:p>
            <w:pPr>
              <w:spacing w:after="0"/>
              <w:rPr>
                <w:sz w:val="17"/>
                <w:szCs w:val="17"/>
                <w:color w:val="auto"/>
              </w:rPr>
            </w:pPr>
          </w:p>
        </w:tc>
        <w:tc>
          <w:tcPr>
            <w:tcW w:w="360" w:type="dxa"/>
            <w:vAlign w:val="bottom"/>
            <w:gridSpan w:val="14"/>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3.2</w:t>
            </w:r>
          </w:p>
        </w:tc>
        <w:tc>
          <w:tcPr>
            <w:tcW w:w="10380" w:type="dxa"/>
            <w:vAlign w:val="bottom"/>
            <w:gridSpan w:val="37"/>
          </w:tcPr>
          <w:p>
            <w:pPr>
              <w:spacing w:after="0"/>
              <w:rPr>
                <w:rFonts w:ascii="Arial" w:cs="Arial" w:eastAsia="Arial" w:hAnsi="Arial"/>
                <w:sz w:val="18"/>
                <w:szCs w:val="18"/>
                <w:color w:val="0000EE"/>
                <w:w w:val="94"/>
              </w:rPr>
            </w:pPr>
            <w:hyperlink r:id="rId105">
              <w:r>
                <w:rPr>
                  <w:rFonts w:ascii="Arial" w:cs="Arial" w:eastAsia="Arial" w:hAnsi="Arial"/>
                  <w:sz w:val="18"/>
                  <w:szCs w:val="18"/>
                  <w:color w:val="0000EE"/>
                  <w:w w:val="94"/>
                </w:rPr>
                <w:t>Certificate of Incorporation on Change of Name of the Registrant (incorporated by reference to Exhibit 3.2 to the Registrant’s Registration</w:t>
              </w:r>
            </w:hyperlink>
          </w:p>
        </w:tc>
      </w:tr>
      <w:tr>
        <w:trPr>
          <w:trHeight w:val="196"/>
        </w:trPr>
        <w:tc>
          <w:tcPr>
            <w:tcW w:w="1040" w:type="dxa"/>
            <w:vAlign w:val="bottom"/>
          </w:tcPr>
          <w:p>
            <w:pPr>
              <w:spacing w:after="0"/>
              <w:rPr>
                <w:sz w:val="17"/>
                <w:szCs w:val="17"/>
                <w:color w:val="auto"/>
              </w:rPr>
            </w:pPr>
          </w:p>
        </w:tc>
        <w:tc>
          <w:tcPr>
            <w:tcW w:w="99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Statement (File No. 333-121407) on Form S-1/A filed on March 21, 2005).</w:t>
              </w:r>
            </w:hyperlink>
          </w:p>
        </w:tc>
        <w:tc>
          <w:tcPr>
            <w:tcW w:w="400" w:type="dxa"/>
            <w:vAlign w:val="bottom"/>
            <w:gridSpan w:val="1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3.3</w:t>
            </w:r>
          </w:p>
        </w:tc>
        <w:tc>
          <w:tcPr>
            <w:tcW w:w="10180" w:type="dxa"/>
            <w:vAlign w:val="bottom"/>
            <w:tcBorders>
              <w:bottom w:val="single" w:sz="8" w:color="0000EE"/>
            </w:tcBorders>
            <w:gridSpan w:val="31"/>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Amended and Restated Bye-Laws of Lazard Ltd (incorporated by reference to Exhibit 3.3 to the Registrant’s Quarterly Report (File No. 001-</w:t>
              </w:r>
            </w:hyperlink>
          </w:p>
        </w:tc>
        <w:tc>
          <w:tcPr>
            <w:tcW w:w="20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32492) on Form 10-Q filed on June 16,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3.4</w:t>
            </w:r>
          </w:p>
        </w:tc>
        <w:tc>
          <w:tcPr>
            <w:tcW w:w="10380" w:type="dxa"/>
            <w:vAlign w:val="bottom"/>
            <w:gridSpan w:val="37"/>
          </w:tcPr>
          <w:p>
            <w:pPr>
              <w:spacing w:after="0"/>
              <w:rPr>
                <w:rFonts w:ascii="Arial" w:cs="Arial" w:eastAsia="Arial" w:hAnsi="Arial"/>
                <w:sz w:val="18"/>
                <w:szCs w:val="18"/>
                <w:color w:val="0000EE"/>
                <w:w w:val="94"/>
              </w:rPr>
            </w:pPr>
            <w:hyperlink r:id="rId107">
              <w:r>
                <w:rPr>
                  <w:rFonts w:ascii="Arial" w:cs="Arial" w:eastAsia="Arial" w:hAnsi="Arial"/>
                  <w:sz w:val="18"/>
                  <w:szCs w:val="18"/>
                  <w:color w:val="0000EE"/>
                  <w:w w:val="94"/>
                </w:rPr>
                <w:t>First Amendment to Amended and Restated Bye-Laws of Lazard Ltd (incorporated by reference to Exhibit 3.4 to the Registrant’s Quarterly</w:t>
              </w:r>
            </w:hyperlink>
          </w:p>
        </w:tc>
      </w:tr>
      <w:tr>
        <w:trPr>
          <w:trHeight w:val="196"/>
        </w:trPr>
        <w:tc>
          <w:tcPr>
            <w:tcW w:w="104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Report (File No. 001-32492) on Form 10-Q filed on May 9, 2008).</w:t>
              </w:r>
            </w:hyperlink>
          </w:p>
        </w:tc>
        <w:tc>
          <w:tcPr>
            <w:tcW w:w="5240" w:type="dxa"/>
            <w:vAlign w:val="bottom"/>
            <w:tcBorders>
              <w:top w:val="single" w:sz="8" w:color="0000EE"/>
            </w:tcBorders>
            <w:gridSpan w:val="14"/>
          </w:tcPr>
          <w:p>
            <w:pPr>
              <w:spacing w:after="0"/>
              <w:rPr>
                <w:sz w:val="17"/>
                <w:szCs w:val="17"/>
                <w:color w:val="auto"/>
              </w:rPr>
            </w:pPr>
          </w:p>
        </w:tc>
        <w:tc>
          <w:tcPr>
            <w:tcW w:w="320" w:type="dxa"/>
            <w:vAlign w:val="bottom"/>
            <w:gridSpan w:val="12"/>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3.5</w:t>
            </w:r>
          </w:p>
        </w:tc>
        <w:tc>
          <w:tcPr>
            <w:tcW w:w="9800" w:type="dxa"/>
            <w:vAlign w:val="bottom"/>
            <w:tcBorders>
              <w:bottom w:val="single" w:sz="8" w:color="0000EE"/>
            </w:tcBorders>
            <w:gridSpan w:val="20"/>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Second Amendment to the Amended and Restated Bye-Laws of Lazard Ltd (incorporated by reference to Exhibit 3.5 to the Registrant’s</w:t>
              </w:r>
            </w:hyperlink>
          </w:p>
        </w:tc>
        <w:tc>
          <w:tcPr>
            <w:tcW w:w="580" w:type="dxa"/>
            <w:vAlign w:val="bottom"/>
            <w:gridSpan w:val="1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70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Quarterly Report (File No. 001-32492) on Form 10-Q filed on April 30, 2010).</w:t>
              </w:r>
            </w:hyperlink>
          </w:p>
        </w:tc>
        <w:tc>
          <w:tcPr>
            <w:tcW w:w="4680" w:type="dxa"/>
            <w:vAlign w:val="bottom"/>
            <w:gridSpan w:val="24"/>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4.1</w:t>
            </w:r>
          </w:p>
        </w:tc>
        <w:tc>
          <w:tcPr>
            <w:tcW w:w="10160" w:type="dxa"/>
            <w:vAlign w:val="bottom"/>
            <w:tcBorders>
              <w:bottom w:val="single" w:sz="8" w:color="0000EE"/>
            </w:tcBorders>
            <w:gridSpan w:val="30"/>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Form of Specimen Certificate for Class A common stock (incorporated by reference to Exhibit 4.1 to the Registrant’s Registration Statement</w:t>
              </w:r>
            </w:hyperlink>
          </w:p>
        </w:tc>
        <w:tc>
          <w:tcPr>
            <w:tcW w:w="22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(File No. 333-121407) on Form S-1/A filed on April 11,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4.2</w:t>
            </w:r>
          </w:p>
        </w:tc>
        <w:tc>
          <w:tcPr>
            <w:tcW w:w="10260" w:type="dxa"/>
            <w:vAlign w:val="bottom"/>
            <w:tcBorders>
              <w:bottom w:val="single" w:sz="8" w:color="0000EE"/>
            </w:tcBorders>
            <w:gridSpan w:val="33"/>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Indenture, dated as of May 10, 2005, by and between Lazard Group LLC and The Bank of New York, as Trustee (incorporated by reference to</w:t>
              </w:r>
            </w:hyperlink>
          </w:p>
        </w:tc>
        <w:tc>
          <w:tcPr>
            <w:tcW w:w="12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Exhibit 4.1 to Lazard Group LLC’s Registration Statement (File No. 333-126751)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4.3</w:t>
            </w:r>
          </w:p>
        </w:tc>
        <w:tc>
          <w:tcPr>
            <w:tcW w:w="10380" w:type="dxa"/>
            <w:vAlign w:val="bottom"/>
            <w:gridSpan w:val="37"/>
          </w:tcPr>
          <w:p>
            <w:pPr>
              <w:spacing w:after="0"/>
              <w:rPr>
                <w:rFonts w:ascii="Arial" w:cs="Arial" w:eastAsia="Arial" w:hAnsi="Arial"/>
                <w:sz w:val="18"/>
                <w:szCs w:val="18"/>
                <w:color w:val="0000EE"/>
                <w:w w:val="95"/>
              </w:rPr>
            </w:pPr>
            <w:hyperlink r:id="rId111">
              <w:r>
                <w:rPr>
                  <w:rFonts w:ascii="Arial" w:cs="Arial" w:eastAsia="Arial" w:hAnsi="Arial"/>
                  <w:sz w:val="18"/>
                  <w:szCs w:val="18"/>
                  <w:color w:val="0000EE"/>
                  <w:w w:val="95"/>
                </w:rPr>
                <w:t>Sixth Supplemental Indenture, dated as of February 13, 2015,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w w:val="94"/>
              </w:rPr>
            </w:pPr>
            <w:hyperlink r:id="rId111">
              <w:r>
                <w:rPr>
                  <w:rFonts w:ascii="Arial" w:cs="Arial" w:eastAsia="Arial" w:hAnsi="Arial"/>
                  <w:sz w:val="18"/>
                  <w:szCs w:val="18"/>
                  <w:color w:val="0000EE"/>
                  <w:w w:val="94"/>
                </w:rPr>
                <w:t>(incorporated by reference to Exhibit 4.1 of the Registrant’s Current Report on Form 8-K (File No. 001-32492) filed on February 13, 2015).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4.4</w:t>
            </w:r>
          </w:p>
        </w:tc>
        <w:tc>
          <w:tcPr>
            <w:tcW w:w="10140" w:type="dxa"/>
            <w:vAlign w:val="bottom"/>
            <w:tcBorders>
              <w:bottom w:val="single" w:sz="8" w:color="0000EE"/>
            </w:tcBorders>
            <w:gridSpan w:val="29"/>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Seventh Supplemental Indenture, dated as of November 4, 2016, between Lazard Group LLC and The Bank of New York Mellon, as trustee</w:t>
              </w:r>
            </w:hyperlink>
          </w:p>
        </w:tc>
        <w:tc>
          <w:tcPr>
            <w:tcW w:w="24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2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(incorporated by reference to Exhibit 4.1 of the Registrant’s Current Report on Form 8-K (File No. 001-32492) filed on November 7, 2016).</w:t>
              </w:r>
            </w:hyperlink>
          </w:p>
        </w:tc>
        <w:tc>
          <w:tcPr>
            <w:tcW w:w="260" w:type="dxa"/>
            <w:vAlign w:val="bottom"/>
            <w:gridSpan w:val="9"/>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4.5</w:t>
            </w:r>
          </w:p>
        </w:tc>
        <w:tc>
          <w:tcPr>
            <w:tcW w:w="10380" w:type="dxa"/>
            <w:vAlign w:val="bottom"/>
            <w:gridSpan w:val="37"/>
          </w:tcPr>
          <w:p>
            <w:pPr>
              <w:spacing w:after="0"/>
              <w:rPr>
                <w:rFonts w:ascii="Arial" w:cs="Arial" w:eastAsia="Arial" w:hAnsi="Arial"/>
                <w:sz w:val="18"/>
                <w:szCs w:val="18"/>
                <w:color w:val="0000EE"/>
                <w:w w:val="93"/>
              </w:rPr>
            </w:pPr>
            <w:hyperlink r:id="rId113">
              <w:r>
                <w:rPr>
                  <w:rFonts w:ascii="Arial" w:cs="Arial" w:eastAsia="Arial" w:hAnsi="Arial"/>
                  <w:sz w:val="18"/>
                  <w:szCs w:val="18"/>
                  <w:color w:val="0000EE"/>
                  <w:w w:val="93"/>
                </w:rPr>
                <w:t>Eighth Supplemental Indenture, dated as of September 19, 2018,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(incorporated by reference to Exhibit 4.1 to the Registrant’s Current Report on Form 8-K (File No. 001-32492) filed on September 19, 2018</w:t>
              </w:r>
            </w:hyperlink>
            <w:r>
              <w:rPr>
                <w:rFonts w:ascii="Arial" w:cs="Arial" w:eastAsia="Arial" w:hAnsi="Arial"/>
                <w:sz w:val="18"/>
                <w:szCs w:val="18"/>
                <w:color w:val="000000"/>
                <w:w w:val="93"/>
              </w:rPr>
              <w:t>.</w:t>
            </w: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4.6</w:t>
            </w:r>
          </w:p>
        </w:tc>
        <w:tc>
          <w:tcPr>
            <w:tcW w:w="10080" w:type="dxa"/>
            <w:vAlign w:val="bottom"/>
            <w:tcBorders>
              <w:top w:val="single" w:sz="8" w:color="0000EE"/>
            </w:tcBorders>
            <w:gridSpan w:val="26"/>
          </w:tcPr>
          <w:p>
            <w:pPr>
              <w:spacing w:after="0"/>
              <w:rPr>
                <w:rFonts w:ascii="Arial" w:cs="Arial" w:eastAsia="Arial" w:hAnsi="Arial"/>
                <w:sz w:val="18"/>
                <w:szCs w:val="18"/>
                <w:color w:val="0000EE"/>
                <w:w w:val="94"/>
              </w:rPr>
            </w:pPr>
            <w:hyperlink r:id="rId114">
              <w:r>
                <w:rPr>
                  <w:rFonts w:ascii="Arial" w:cs="Arial" w:eastAsia="Arial" w:hAnsi="Arial"/>
                  <w:sz w:val="18"/>
                  <w:szCs w:val="18"/>
                  <w:color w:val="0000EE"/>
                  <w:w w:val="94"/>
                </w:rPr>
                <w:t>Ninth Supplemental Indenture, dated as of March 11, 2019, between Lazard Group LLC and The Bank of New York Mellon, as trustee</w:t>
              </w:r>
            </w:hyperlink>
          </w:p>
        </w:tc>
        <w:tc>
          <w:tcPr>
            <w:tcW w:w="300" w:type="dxa"/>
            <w:vAlign w:val="bottom"/>
            <w:gridSpan w:val="11"/>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88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(incorporated by reference to Exhibit 4.1 to the Registrant’s Current Report on Form 8-K (File No. 001-32492) filed on March 11, 2019)</w:t>
              </w:r>
            </w:hyperlink>
          </w:p>
        </w:tc>
        <w:tc>
          <w:tcPr>
            <w:tcW w:w="500" w:type="dxa"/>
            <w:vAlign w:val="bottom"/>
            <w:gridSpan w:val="16"/>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4.7</w:t>
            </w:r>
          </w:p>
        </w:tc>
        <w:tc>
          <w:tcPr>
            <w:tcW w:w="10380" w:type="dxa"/>
            <w:vAlign w:val="bottom"/>
            <w:gridSpan w:val="37"/>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11">
              <w:r>
                <w:rPr>
                  <w:rFonts w:ascii="Arial" w:cs="Arial" w:eastAsia="Arial" w:hAnsi="Arial"/>
                  <w:sz w:val="18"/>
                  <w:szCs w:val="18"/>
                  <w:color w:val="0000EE"/>
                </w:rPr>
                <w:t>4.3</w:t>
              </w:r>
            </w:hyperlink>
            <w:r>
              <w:rPr>
                <w:rFonts w:ascii="Arial" w:cs="Arial" w:eastAsia="Arial" w:hAnsi="Arial"/>
                <w:sz w:val="18"/>
                <w:szCs w:val="18"/>
                <w:color w:val="auto"/>
              </w:rPr>
              <w:t xml:space="preserve">, </w:t>
            </w:r>
            <w:hyperlink r:id="rId112">
              <w:r>
                <w:rPr>
                  <w:rFonts w:ascii="Arial" w:cs="Arial" w:eastAsia="Arial" w:hAnsi="Arial"/>
                  <w:sz w:val="18"/>
                  <w:szCs w:val="18"/>
                  <w:color w:val="0000EE"/>
                </w:rPr>
                <w:t>4.4</w:t>
              </w:r>
            </w:hyperlink>
            <w:r>
              <w:rPr>
                <w:rFonts w:ascii="Arial" w:cs="Arial" w:eastAsia="Arial" w:hAnsi="Arial"/>
                <w:sz w:val="18"/>
                <w:szCs w:val="18"/>
                <w:color w:val="auto"/>
              </w:rPr>
              <w:t xml:space="preserve">, </w:t>
            </w:r>
            <w:hyperlink r:id="rId113">
              <w:r>
                <w:rPr>
                  <w:rFonts w:ascii="Arial" w:cs="Arial" w:eastAsia="Arial" w:hAnsi="Arial"/>
                  <w:sz w:val="18"/>
                  <w:szCs w:val="18"/>
                  <w:color w:val="0000EE"/>
                </w:rPr>
                <w:t>4.5</w:t>
              </w:r>
            </w:hyperlink>
            <w:r>
              <w:rPr>
                <w:rFonts w:ascii="Arial" w:cs="Arial" w:eastAsia="Arial" w:hAnsi="Arial"/>
                <w:sz w:val="18"/>
                <w:szCs w:val="18"/>
                <w:color w:val="auto"/>
              </w:rPr>
              <w:t xml:space="preserve">, and </w:t>
            </w:r>
            <w:hyperlink r:id="rId114">
              <w:r>
                <w:rPr>
                  <w:rFonts w:ascii="Arial" w:cs="Arial" w:eastAsia="Arial" w:hAnsi="Arial"/>
                  <w:sz w:val="18"/>
                  <w:szCs w:val="18"/>
                  <w:color w:val="0000EE"/>
                </w:rPr>
                <w:t>4.6</w:t>
              </w:r>
            </w:hyperlink>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10.1</w:t>
            </w:r>
          </w:p>
        </w:tc>
        <w:tc>
          <w:tcPr>
            <w:tcW w:w="10340" w:type="dxa"/>
            <w:vAlign w:val="bottom"/>
            <w:tcBorders>
              <w:bottom w:val="single" w:sz="8" w:color="0000EE"/>
            </w:tcBorders>
            <w:gridSpan w:val="35"/>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Amended and Restated Operating Agreement of Lazard Group LLC, dated as of February 4, 2019 (incorporated by reference to Exhibit 99.1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Registrant’s Current Report (File No. 001-32492) on Form 8-K filed on February 5, 2019).</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60" w:type="dxa"/>
            <w:vAlign w:val="bottom"/>
            <w:tcBorders>
              <w:right w:val="single" w:sz="8" w:color="0000EE"/>
            </w:tcBorders>
            <w:gridSpan w:val="6"/>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10.2</w:t>
            </w:r>
          </w:p>
        </w:tc>
        <w:tc>
          <w:tcPr>
            <w:tcW w:w="10360" w:type="dxa"/>
            <w:vAlign w:val="bottom"/>
            <w:tcBorders>
              <w:bottom w:val="single" w:sz="8" w:color="0000EE"/>
            </w:tcBorders>
            <w:gridSpan w:val="36"/>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Second Amended and Restated Tax Receivable Agreement, dated as of October 26, 2015, by and among Ltd Sub A, Ltd Sub B and LTBP Trust</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4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(incorporated by reference to Exhibit 10.2 to the Registrant’s Quarterly Report (File No. 001-32492) on Form 10-Q filed on October 28, 2015).</w:t>
              </w:r>
            </w:hyperlink>
          </w:p>
        </w:tc>
        <w:tc>
          <w:tcPr>
            <w:tcW w:w="40" w:type="dxa"/>
            <w:vAlign w:val="bottom"/>
            <w:gridSpan w:val="2"/>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10.3</w:t>
            </w:r>
          </w:p>
        </w:tc>
        <w:tc>
          <w:tcPr>
            <w:tcW w:w="10340" w:type="dxa"/>
            <w:vAlign w:val="bottom"/>
            <w:tcBorders>
              <w:bottom w:val="single" w:sz="8" w:color="0000EE"/>
            </w:tcBorders>
            <w:gridSpan w:val="35"/>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Lease, dated as of January 27, 1994, by and between Rockefeller Center Properties and Lazard Frères &amp; Co. LLC (incorporated by reference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Exhibit 10.19 to the Registrant’s Registration Statement (File No. 333-121407) on Form S-1/A filed on February 11,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60" w:type="dxa"/>
            <w:vAlign w:val="bottom"/>
            <w:tcBorders>
              <w:right w:val="single" w:sz="8" w:color="0000EE"/>
            </w:tcBorders>
            <w:gridSpan w:val="6"/>
            <w:shd w:val="clear" w:color="auto" w:fill="0000EE"/>
          </w:tcPr>
          <w:p>
            <w:pPr>
              <w:spacing w:after="0" w:line="20" w:lineRule="exact"/>
              <w:rPr>
                <w:sz w:val="1"/>
                <w:szCs w:val="1"/>
                <w:color w:val="auto"/>
              </w:rPr>
            </w:pPr>
          </w:p>
        </w:tc>
        <w:tc>
          <w:tcPr>
            <w:tcW w:w="3500" w:type="dxa"/>
            <w:vAlign w:val="bottom"/>
            <w:tcBorders>
              <w:left w:val="single" w:sz="8" w:color="0000EE"/>
            </w:tcBorders>
            <w:gridSpan w:val="6"/>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10.4</w:t>
            </w:r>
          </w:p>
        </w:tc>
        <w:tc>
          <w:tcPr>
            <w:tcW w:w="10380" w:type="dxa"/>
            <w:vAlign w:val="bottom"/>
            <w:tcBorders>
              <w:bottom w:val="single" w:sz="8" w:color="0000EE"/>
            </w:tcBorders>
            <w:gridSpan w:val="37"/>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Fourth Amendment dated as of February 16, 2011, by and among RCPI Landmark Properties, L.L.C. (as the successor in interest to Rockefeller</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Center Properties), RCPI 30 Rock 22234849, L.L.C. and Lazard Group LLC (as the successor in interest to Lazard Frères &amp; Co. LLC), to the</w:t>
              </w:r>
            </w:hyperlink>
          </w:p>
        </w:tc>
        <w:tc>
          <w:tcPr>
            <w:tcW w:w="18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Lease dated as of January 27, 1994, by and among Rockefeller Center Properties and Lazard Frères &amp; Co. LLC (incorporated by reference to</w:t>
              </w:r>
            </w:hyperlink>
          </w:p>
        </w:tc>
        <w:tc>
          <w:tcPr>
            <w:tcW w:w="20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Exhibit 10.16 to the Registrant’s Quarterly Report (File No. 001-32492) on Form 10-Q filed on April 29, 2011).</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60" w:type="dxa"/>
            <w:vAlign w:val="bottom"/>
            <w:tcBorders>
              <w:right w:val="single" w:sz="8" w:color="0000EE"/>
            </w:tcBorders>
            <w:gridSpan w:val="6"/>
            <w:shd w:val="clear" w:color="auto" w:fill="0000EE"/>
          </w:tcPr>
          <w:p>
            <w:pPr>
              <w:spacing w:after="0" w:line="20" w:lineRule="exact"/>
              <w:rPr>
                <w:sz w:val="1"/>
                <w:szCs w:val="1"/>
                <w:color w:val="auto"/>
              </w:rPr>
            </w:pPr>
          </w:p>
        </w:tc>
        <w:tc>
          <w:tcPr>
            <w:tcW w:w="3500" w:type="dxa"/>
            <w:vAlign w:val="bottom"/>
            <w:tcBorders>
              <w:left w:val="single" w:sz="8" w:color="0000EE"/>
            </w:tcBorders>
            <w:gridSpan w:val="6"/>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10.5*</w:t>
            </w:r>
          </w:p>
        </w:tc>
        <w:tc>
          <w:tcPr>
            <w:tcW w:w="10100" w:type="dxa"/>
            <w:vAlign w:val="bottom"/>
            <w:tcBorders>
              <w:bottom w:val="single" w:sz="8" w:color="0000EE"/>
            </w:tcBorders>
            <w:gridSpan w:val="27"/>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Lazard Ltd 2005 Equity Incentive Plan (incorporated by reference to Exhibit 10.21 to the Registrant’s Registration Statement (File No. 333-</w:t>
              </w:r>
            </w:hyperlink>
          </w:p>
        </w:tc>
        <w:tc>
          <w:tcPr>
            <w:tcW w:w="28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121407) on Form S-1/A filed on May 2,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5240" w:type="dxa"/>
            <w:vAlign w:val="bottom"/>
            <w:gridSpan w:val="10"/>
          </w:tcPr>
          <w:p>
            <w:pPr>
              <w:spacing w:after="0" w:line="20" w:lineRule="exact"/>
              <w:rPr>
                <w:sz w:val="1"/>
                <w:szCs w:val="1"/>
                <w:color w:val="auto"/>
              </w:rPr>
            </w:pPr>
          </w:p>
        </w:tc>
        <w:tc>
          <w:tcPr>
            <w:tcW w:w="52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10.6*</w:t>
            </w:r>
          </w:p>
        </w:tc>
        <w:tc>
          <w:tcPr>
            <w:tcW w:w="9800" w:type="dxa"/>
            <w:vAlign w:val="bottom"/>
            <w:tcBorders>
              <w:bottom w:val="single" w:sz="8" w:color="0000EE"/>
            </w:tcBorders>
            <w:gridSpan w:val="20"/>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Lazard Ltd 2008 Incentive Compensation Plan (incorporated by reference to Annex B to the Registrant’s Definitive Proxy Statement on</w:t>
              </w:r>
            </w:hyperlink>
          </w:p>
        </w:tc>
        <w:tc>
          <w:tcPr>
            <w:tcW w:w="580" w:type="dxa"/>
            <w:vAlign w:val="bottom"/>
            <w:gridSpan w:val="1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5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Schedule 14A (File No. 001-32492) filed on March 24, 2008).</w:t>
              </w:r>
            </w:hyperlink>
          </w:p>
        </w:tc>
        <w:tc>
          <w:tcPr>
            <w:tcW w:w="5820" w:type="dxa"/>
            <w:vAlign w:val="bottom"/>
            <w:gridSpan w:val="27"/>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10.7*</w:t>
            </w:r>
          </w:p>
        </w:tc>
        <w:tc>
          <w:tcPr>
            <w:tcW w:w="10320" w:type="dxa"/>
            <w:vAlign w:val="bottom"/>
            <w:tcBorders>
              <w:bottom w:val="single" w:sz="8" w:color="0000EE"/>
            </w:tcBorders>
            <w:gridSpan w:val="34"/>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Lazard Ltd 2016 French Sub-plan (incorporated by reference to Annex B to the Registrant’s Definitive Proxy Statement on Schedule 14A (File</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06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No. 001-32492) filed on March 10, 2016).</w:t>
              </w:r>
            </w:hyperlink>
          </w:p>
        </w:tc>
        <w:tc>
          <w:tcPr>
            <w:tcW w:w="7320" w:type="dxa"/>
            <w:vAlign w:val="bottom"/>
            <w:gridSpan w:val="36"/>
          </w:tcPr>
          <w:p>
            <w:pPr>
              <w:spacing w:after="0"/>
              <w:rPr>
                <w:sz w:val="17"/>
                <w:szCs w:val="17"/>
                <w:color w:val="auto"/>
              </w:rPr>
            </w:pPr>
          </w:p>
        </w:tc>
      </w:tr>
      <w:tr>
        <w:trPr>
          <w:trHeight w:val="534"/>
        </w:trPr>
        <w:tc>
          <w:tcPr>
            <w:tcW w:w="1040" w:type="dxa"/>
            <w:vAlign w:val="bottom"/>
          </w:tcPr>
          <w:p>
            <w:pPr>
              <w:spacing w:after="0"/>
              <w:rPr>
                <w:sz w:val="24"/>
                <w:szCs w:val="24"/>
                <w:color w:val="auto"/>
              </w:rPr>
            </w:pPr>
          </w:p>
        </w:tc>
        <w:tc>
          <w:tcPr>
            <w:tcW w:w="4820" w:type="dxa"/>
            <w:vAlign w:val="bottom"/>
            <w:gridSpan w:val="11"/>
          </w:tcPr>
          <w:p>
            <w:pPr>
              <w:ind w:left="4580"/>
              <w:spacing w:after="0"/>
              <w:rPr>
                <w:sz w:val="20"/>
                <w:szCs w:val="20"/>
                <w:color w:val="auto"/>
              </w:rPr>
            </w:pPr>
            <w:r>
              <w:rPr>
                <w:rFonts w:ascii="Arial" w:cs="Arial" w:eastAsia="Arial" w:hAnsi="Arial"/>
                <w:sz w:val="18"/>
                <w:szCs w:val="18"/>
                <w:color w:val="auto"/>
              </w:rPr>
              <w:t>75</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ind w:left="940" w:right="5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24">
        <w:r>
          <w:rPr>
            <w:rFonts w:ascii="Arial" w:cs="Arial" w:eastAsia="Arial" w:hAnsi="Arial"/>
            <w:sz w:val="18"/>
            <w:szCs w:val="18"/>
            <w:u w:val="single" w:color="auto"/>
            <w:color w:val="0000EE"/>
          </w:rPr>
          <w:t>Lazard Ltd 2018 Incentive Compensation Plan (incorporated by reference to Annex B to the Registrant’s Definitive Proxy Statement on</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Schedule 14A (File No. 001-32492) filed on March 15, 2018).</w:t>
        </w:r>
      </w:hyperlink>
    </w:p>
    <w:p>
      <w:pPr>
        <w:spacing w:after="0" w:line="35" w:lineRule="exact"/>
        <w:rPr>
          <w:sz w:val="20"/>
          <w:szCs w:val="20"/>
          <w:color w:val="auto"/>
        </w:rPr>
      </w:pPr>
    </w:p>
    <w:p>
      <w:pPr>
        <w:ind w:left="940" w:right="8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25">
        <w:r>
          <w:rPr>
            <w:rFonts w:ascii="Arial" w:cs="Arial" w:eastAsia="Arial" w:hAnsi="Arial"/>
            <w:sz w:val="18"/>
            <w:szCs w:val="18"/>
            <w:u w:val="single" w:color="auto"/>
            <w:color w:val="0000EE"/>
          </w:rPr>
          <w:t>Amended and Restated Agreement relating to Retention and Noncompetition and Other Covenants, dated as of March 29, 2019, by and among</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the Registrant, Lazard Group LLC and Kenneth M. Jacobs (incorporated by reference to Exhibit 10.1 to the Registrant’s Current Report on</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Form 8-K (File No. 001-32492) filed on April 3, 2019).</w:t>
        </w:r>
      </w:hyperlink>
    </w:p>
    <w:p>
      <w:pPr>
        <w:spacing w:after="0" w:line="46" w:lineRule="exact"/>
        <w:rPr>
          <w:rFonts w:ascii="Arial" w:cs="Arial" w:eastAsia="Arial" w:hAnsi="Arial"/>
          <w:sz w:val="18"/>
          <w:szCs w:val="18"/>
          <w:u w:val="single" w:color="auto"/>
          <w:color w:val="0000EE"/>
        </w:rPr>
      </w:pPr>
    </w:p>
    <w:p>
      <w:pPr>
        <w:jc w:val="both"/>
        <w:ind w:left="94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26">
        <w:r>
          <w:rPr>
            <w:rFonts w:ascii="Arial" w:cs="Arial" w:eastAsia="Arial" w:hAnsi="Arial"/>
            <w:sz w:val="18"/>
            <w:szCs w:val="18"/>
            <w:u w:val="single" w:color="auto"/>
            <w:color w:val="0000EE"/>
          </w:rPr>
          <w:t>Amended and Restated Agreement relating to Retention and Noncompetition and Other Covenants, dated as of March 29, 2019, by and among</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the Registrant, Lazard Group LLC and Ashish Bhutani (incorporated by reference to Exhibit 10.3 to the Registrant’s Current Report on Form 8-</w:t>
        </w:r>
      </w:hyperlink>
      <w:hyperlink r:id="rId126">
        <w:r>
          <w:rPr>
            <w:rFonts w:ascii="Arial" w:cs="Arial" w:eastAsia="Arial" w:hAnsi="Arial"/>
            <w:sz w:val="18"/>
            <w:szCs w:val="18"/>
            <w:u w:val="single" w:color="auto"/>
            <w:color w:val="0000EE"/>
          </w:rPr>
          <w:t>K (File No. 001-32492) filed on April 3, 2019).</w:t>
        </w:r>
      </w:hyperlink>
    </w:p>
    <w:p>
      <w:pPr>
        <w:spacing w:after="0" w:line="46" w:lineRule="exact"/>
        <w:rPr>
          <w:rFonts w:ascii="Arial" w:cs="Arial" w:eastAsia="Arial" w:hAnsi="Arial"/>
          <w:sz w:val="18"/>
          <w:szCs w:val="18"/>
          <w:u w:val="single" w:color="auto"/>
          <w:color w:val="0000EE"/>
        </w:rPr>
      </w:pPr>
    </w:p>
    <w:p>
      <w:pPr>
        <w:jc w:val="both"/>
        <w:ind w:left="940" w:right="4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27">
        <w:r>
          <w:rPr>
            <w:rFonts w:ascii="Arial" w:cs="Arial" w:eastAsia="Arial" w:hAnsi="Arial"/>
            <w:sz w:val="18"/>
            <w:szCs w:val="18"/>
            <w:u w:val="single" w:color="auto"/>
            <w:color w:val="0000EE"/>
          </w:rPr>
          <w:t>Amended and Restated Agreement relating to Retention and Noncompetition and Other Covenants, dated as of March 29, 2019, by and among</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the Registrant, Lazard Group LLC and Scott D. Hoffman (incorporated by reference to Exhibit 10.4 to the Registrant’s Current Report on Form</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8-K (File No. 001-32492) filed on April 3, 2019).</w:t>
        </w:r>
      </w:hyperlink>
    </w:p>
    <w:p>
      <w:pPr>
        <w:spacing w:after="0" w:line="46" w:lineRule="exact"/>
        <w:rPr>
          <w:rFonts w:ascii="Arial" w:cs="Arial" w:eastAsia="Arial" w:hAnsi="Arial"/>
          <w:sz w:val="18"/>
          <w:szCs w:val="18"/>
          <w:u w:val="single" w:color="auto"/>
          <w:color w:val="0000EE"/>
        </w:rPr>
      </w:pPr>
    </w:p>
    <w:p>
      <w:pPr>
        <w:ind w:left="940" w:right="16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28">
        <w:r>
          <w:rPr>
            <w:rFonts w:ascii="Arial" w:cs="Arial" w:eastAsia="Arial" w:hAnsi="Arial"/>
            <w:sz w:val="18"/>
            <w:szCs w:val="18"/>
            <w:u w:val="single" w:color="auto"/>
            <w:color w:val="0000EE"/>
          </w:rPr>
          <w:t>Agreement relating to Retention and Noncompetition and Other Covenants, dated as of March 29, 2019, by and among the Registrant, Lazard</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Group LLC and Evan L. Russo (incorporated by reference to Exhibit 10.2 to the Registrant’s Current Report on Form 8-K (File No. 001-</w:t>
        </w:r>
      </w:hyperlink>
      <w:hyperlink r:id="rId128">
        <w:r>
          <w:rPr>
            <w:rFonts w:ascii="Arial" w:cs="Arial" w:eastAsia="Arial" w:hAnsi="Arial"/>
            <w:sz w:val="18"/>
            <w:szCs w:val="18"/>
            <w:u w:val="single" w:color="auto"/>
            <w:color w:val="0000EE"/>
          </w:rPr>
          <w:t>324927) filed April 3, 2019).</w:t>
        </w:r>
      </w:hyperlink>
    </w:p>
    <w:p>
      <w:pPr>
        <w:spacing w:after="0" w:line="46" w:lineRule="exact"/>
        <w:rPr>
          <w:rFonts w:ascii="Arial" w:cs="Arial" w:eastAsia="Arial" w:hAnsi="Arial"/>
          <w:sz w:val="18"/>
          <w:szCs w:val="18"/>
          <w:u w:val="single" w:color="auto"/>
          <w:color w:val="0000EE"/>
        </w:rPr>
      </w:pPr>
    </w:p>
    <w:p>
      <w:pPr>
        <w:ind w:left="940" w:right="8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29">
        <w:r>
          <w:rPr>
            <w:rFonts w:ascii="Arial" w:cs="Arial" w:eastAsia="Arial" w:hAnsi="Arial"/>
            <w:sz w:val="18"/>
            <w:szCs w:val="18"/>
            <w:u w:val="single" w:color="auto"/>
            <w:color w:val="0000EE"/>
          </w:rPr>
          <w:t>Amended and Restated Agreement relating to Retention and Noncompetition and Other Covenants, dated as of March 29, 2019, by and among</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the Registrant, Lazard Group LLC and Alexander F. Stern (incorporated by reference to Exhibit 10.5 to the Registrant’s Current Report on</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Form 8-K (File No. 001-32492) filed on April 3, 2019).</w:t>
        </w:r>
      </w:hyperlink>
    </w:p>
    <w:p>
      <w:pPr>
        <w:spacing w:after="0" w:line="46" w:lineRule="exact"/>
        <w:rPr>
          <w:rFonts w:ascii="Arial" w:cs="Arial" w:eastAsia="Arial" w:hAnsi="Arial"/>
          <w:sz w:val="18"/>
          <w:szCs w:val="18"/>
          <w:u w:val="single" w:color="auto"/>
          <w:color w:val="0000EE"/>
        </w:rPr>
      </w:pPr>
    </w:p>
    <w:p>
      <w:pPr>
        <w:ind w:left="940" w:right="1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30">
        <w:r>
          <w:rPr>
            <w:rFonts w:ascii="Arial" w:cs="Arial" w:eastAsia="Arial" w:hAnsi="Arial"/>
            <w:sz w:val="18"/>
            <w:szCs w:val="18"/>
            <w:u w:val="single" w:color="auto"/>
            <w:color w:val="0000EE"/>
          </w:rPr>
          <w:t>Form of Award Letter for Annual Grant of Deferred Stock Units to Non-Executive Directors (incorporated by reference to Exhibit 99.1 to the</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Registrant’s Current Report on Form 8-K (File No. 001-32492) filed on September 8, 2005).</w:t>
        </w:r>
      </w:hyperlink>
    </w:p>
    <w:p>
      <w:pPr>
        <w:spacing w:after="0" w:line="35" w:lineRule="exact"/>
        <w:rPr>
          <w:sz w:val="20"/>
          <w:szCs w:val="20"/>
          <w:color w:val="auto"/>
        </w:rPr>
      </w:pPr>
    </w:p>
    <w:p>
      <w:pPr>
        <w:ind w:left="940" w:right="320" w:hanging="949"/>
        <w:spacing w:after="0" w:line="334"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31">
        <w:r>
          <w:rPr>
            <w:rFonts w:ascii="Arial" w:cs="Arial" w:eastAsia="Arial" w:hAnsi="Arial"/>
            <w:sz w:val="16"/>
            <w:szCs w:val="16"/>
            <w:u w:val="single" w:color="auto"/>
            <w:color w:val="0000EE"/>
          </w:rPr>
          <w:t>Form of Agreement evidencing a grant of Restricted Stock Units to Executive Officers under the 2008 Incentive Compensation Plan</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(incorporated by reference to Exhibit 10.41 to the Registrant’s Annual Report (File No. 001-32492) on Form 10-K filed on March 2, 2009).</w:t>
        </w:r>
      </w:hyperlink>
    </w:p>
    <w:p>
      <w:pPr>
        <w:spacing w:after="0" w:line="1" w:lineRule="exact"/>
        <w:rPr>
          <w:sz w:val="20"/>
          <w:szCs w:val="20"/>
          <w:color w:val="auto"/>
        </w:rPr>
      </w:pPr>
    </w:p>
    <w:p>
      <w:pPr>
        <w:ind w:left="940" w:right="5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32">
        <w:r>
          <w:rPr>
            <w:rFonts w:ascii="Arial" w:cs="Arial" w:eastAsia="Arial" w:hAnsi="Arial"/>
            <w:sz w:val="18"/>
            <w:szCs w:val="18"/>
            <w:u w:val="single" w:color="auto"/>
            <w:color w:val="0000EE"/>
          </w:rPr>
          <w:t>Form of Agreement evidencing a grant of Deferred Cash Award to Executive Officers (incorporated by reference to Exhibit 10.42 to the</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Registrant’s Annual Report (File No. 001-32492) on Form 10-K filed on March 2, 2009).</w:t>
        </w:r>
      </w:hyperlink>
    </w:p>
    <w:p>
      <w:pPr>
        <w:spacing w:after="0" w:line="35" w:lineRule="exact"/>
        <w:rPr>
          <w:sz w:val="20"/>
          <w:szCs w:val="20"/>
          <w:color w:val="auto"/>
        </w:rPr>
      </w:pPr>
    </w:p>
    <w:p>
      <w:pPr>
        <w:ind w:left="940" w:right="36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33">
        <w:r>
          <w:rPr>
            <w:rFonts w:ascii="Arial" w:cs="Arial" w:eastAsia="Arial" w:hAnsi="Arial"/>
            <w:sz w:val="18"/>
            <w:szCs w:val="18"/>
            <w:u w:val="single" w:color="auto"/>
            <w:color w:val="0000EE"/>
          </w:rPr>
          <w:t>Directors’ Fee Deferral Unit Plan (incorporated by reference to Exhibit 10.39 to the Registrant’s Quarterly Report (File No. 001-32492) on</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Form 10-Q filed on May 11, 2006).</w:t>
        </w:r>
      </w:hyperlink>
    </w:p>
    <w:p>
      <w:pPr>
        <w:spacing w:after="0" w:line="35" w:lineRule="exact"/>
        <w:rPr>
          <w:sz w:val="20"/>
          <w:szCs w:val="20"/>
          <w:color w:val="auto"/>
        </w:rPr>
      </w:pPr>
    </w:p>
    <w:p>
      <w:pPr>
        <w:jc w:val="both"/>
        <w:ind w:left="940" w:right="34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34">
        <w:r>
          <w:rPr>
            <w:rFonts w:ascii="Arial" w:cs="Arial" w:eastAsia="Arial" w:hAnsi="Arial"/>
            <w:sz w:val="18"/>
            <w:szCs w:val="18"/>
            <w:u w:val="single" w:color="auto"/>
            <w:color w:val="0000EE"/>
          </w:rPr>
          <w:t>Amended and Restated Credit Agreement, dated as of September 25, 2015, among Lazard Group LLC, the Banks from time to time parties</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thereto, and Citibank, N.A., as Administrative Agent (incorporated by reference to Exhibit 10.27 to the Registrant’s Quarterly Report (File</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No. 001-32492) on Form 10-Q filed on October 28, 2015).</w:t>
        </w:r>
      </w:hyperlink>
    </w:p>
    <w:p>
      <w:pPr>
        <w:spacing w:after="0" w:line="46" w:lineRule="exact"/>
        <w:rPr>
          <w:rFonts w:ascii="Arial" w:cs="Arial" w:eastAsia="Arial" w:hAnsi="Arial"/>
          <w:sz w:val="18"/>
          <w:szCs w:val="18"/>
          <w:u w:val="single" w:color="auto"/>
          <w:color w:val="0000EE"/>
        </w:rPr>
      </w:pPr>
    </w:p>
    <w:p>
      <w:pPr>
        <w:ind w:left="940" w:right="26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35">
        <w:r>
          <w:rPr>
            <w:rFonts w:ascii="Arial" w:cs="Arial" w:eastAsia="Arial" w:hAnsi="Arial"/>
            <w:sz w:val="18"/>
            <w:szCs w:val="18"/>
            <w:u w:val="single" w:color="auto"/>
            <w:color w:val="0000EE"/>
          </w:rPr>
          <w:t>Form of Agreement evidencing a grant of Lazard Fund Interests to Named Executive Officers (incorporated by reference to Exhibit 10.55 to</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the Registrant’s Quarterly Report (File No. 001-32492) on Form 10-Q filed on May 1, 2013).</w:t>
        </w:r>
      </w:hyperlink>
    </w:p>
    <w:p>
      <w:pPr>
        <w:spacing w:after="0" w:line="35" w:lineRule="exact"/>
        <w:rPr>
          <w:sz w:val="20"/>
          <w:szCs w:val="20"/>
          <w:color w:val="auto"/>
        </w:rPr>
      </w:pPr>
    </w:p>
    <w:p>
      <w:pPr>
        <w:ind w:left="940" w:right="360" w:hanging="949"/>
        <w:spacing w:after="0" w:line="334"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36">
        <w:r>
          <w:rPr>
            <w:rFonts w:ascii="Arial" w:cs="Arial" w:eastAsia="Arial" w:hAnsi="Arial"/>
            <w:sz w:val="16"/>
            <w:szCs w:val="16"/>
            <w:u w:val="single" w:color="auto"/>
            <w:color w:val="0000EE"/>
          </w:rPr>
          <w:t>Form of Agreement evidencing a February 20, 2014 grant of Performance-Based Stock Units under the 2008 Incentive Compensation Plan</w:t>
        </w:r>
      </w:hyperlink>
      <w:r>
        <w:rPr>
          <w:rFonts w:ascii="Arial" w:cs="Arial" w:eastAsia="Arial" w:hAnsi="Arial"/>
          <w:sz w:val="16"/>
          <w:szCs w:val="16"/>
          <w:u w:val="single" w:color="auto"/>
          <w:color w:val="0000EE"/>
        </w:rPr>
        <w:t xml:space="preserve"> </w:t>
      </w:r>
      <w:hyperlink r:id="rId136">
        <w:r>
          <w:rPr>
            <w:rFonts w:ascii="Arial" w:cs="Arial" w:eastAsia="Arial" w:hAnsi="Arial"/>
            <w:sz w:val="16"/>
            <w:szCs w:val="16"/>
            <w:u w:val="single" w:color="auto"/>
            <w:color w:val="0000EE"/>
          </w:rPr>
          <w:t>(incorporated by reference to Exhibit 10.55 to the Registrant’s Quarterly Report (File No. 001-32492) on Form 10-Q filed May 6, 2014).</w:t>
        </w:r>
      </w:hyperlink>
    </w:p>
    <w:p>
      <w:pPr>
        <w:spacing w:after="0" w:line="1" w:lineRule="exact"/>
        <w:rPr>
          <w:sz w:val="20"/>
          <w:szCs w:val="20"/>
          <w:color w:val="auto"/>
        </w:rPr>
      </w:pPr>
    </w:p>
    <w:p>
      <w:pPr>
        <w:ind w:left="940" w:right="42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37">
        <w:r>
          <w:rPr>
            <w:rFonts w:ascii="Arial" w:cs="Arial" w:eastAsia="Arial" w:hAnsi="Arial"/>
            <w:sz w:val="18"/>
            <w:szCs w:val="18"/>
            <w:u w:val="single" w:color="auto"/>
            <w:color w:val="0000EE"/>
          </w:rPr>
          <w:t>Agreement between the Company and Kenneth M. Jacobs, dated as of February 20, 2014, evidencing a grant of Performance-Based Stock</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Units under the 2008 Incentive Compensation Plan (incorporated by reference to Exhibit 10.56 to the Registrant’s Quarterly Report</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(File No. 001-32492) on Form 10-Q filed on May 6, 2014).</w:t>
        </w:r>
      </w:hyperlink>
    </w:p>
    <w:p>
      <w:pPr>
        <w:spacing w:after="0" w:line="46" w:lineRule="exact"/>
        <w:rPr>
          <w:rFonts w:ascii="Arial" w:cs="Arial" w:eastAsia="Arial" w:hAnsi="Arial"/>
          <w:sz w:val="18"/>
          <w:szCs w:val="18"/>
          <w:u w:val="single" w:color="auto"/>
          <w:color w:val="0000EE"/>
        </w:rPr>
      </w:pPr>
    </w:p>
    <w:p>
      <w:pPr>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r:id="rId138">
        <w:r>
          <w:rPr>
            <w:rFonts w:ascii="Arial" w:cs="Arial" w:eastAsia="Arial" w:hAnsi="Arial"/>
            <w:sz w:val="16"/>
            <w:szCs w:val="16"/>
            <w:u w:val="single" w:color="auto"/>
            <w:color w:val="0000EE"/>
          </w:rPr>
          <w:t>Form of Agreement evidencing a grant of Restricted Stock under the 2008 Incentive Compensation Plan (incorporated by reference to Exhibit</w:t>
        </w:r>
      </w:hyperlink>
    </w:p>
    <w:p>
      <w:pPr>
        <w:spacing w:after="0" w:line="23" w:lineRule="exact"/>
        <w:rPr>
          <w:rFonts w:ascii="Arial" w:cs="Arial" w:eastAsia="Arial" w:hAnsi="Arial"/>
          <w:sz w:val="18"/>
          <w:szCs w:val="18"/>
          <w:u w:val="single" w:color="auto"/>
          <w:color w:val="0000EE"/>
        </w:rPr>
      </w:pPr>
    </w:p>
    <w:p>
      <w:pPr>
        <w:ind w:left="940"/>
        <w:spacing w:after="0"/>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10.55 to the Registrant’s Quarterly Report (File No. 001-32492) on Form 10-Q filed on April 30, 2010).</w:t>
        </w:r>
      </w:hyperlink>
    </w:p>
    <w:p>
      <w:pPr>
        <w:spacing w:after="0" w:line="76" w:lineRule="exact"/>
        <w:rPr>
          <w:rFonts w:ascii="Arial" w:cs="Arial" w:eastAsia="Arial" w:hAnsi="Arial"/>
          <w:sz w:val="18"/>
          <w:szCs w:val="18"/>
          <w:u w:val="single" w:color="auto"/>
          <w:color w:val="0000EE"/>
        </w:rPr>
      </w:pPr>
    </w:p>
    <w:p>
      <w:pPr>
        <w:ind w:left="940" w:right="50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39">
        <w:r>
          <w:rPr>
            <w:rFonts w:ascii="Arial" w:cs="Arial" w:eastAsia="Arial" w:hAnsi="Arial"/>
            <w:sz w:val="18"/>
            <w:szCs w:val="18"/>
            <w:u w:val="single" w:color="auto"/>
            <w:color w:val="0000EE"/>
          </w:rPr>
          <w:t>Form of Agreement evidencing a grant of Lazard Fund Interests (incorporated by reference to Exhibit 10.55 to the Registrant’s Quarterly</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Report (File No. 001-32492) on Form 10-Q filed on April 29, 2011).</w:t>
        </w:r>
      </w:hyperlink>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340" w:top="341"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Arial" w:cs="Arial" w:eastAsia="Arial" w:hAnsi="Arial"/>
                <w:sz w:val="18"/>
                <w:szCs w:val="18"/>
                <w:color w:val="auto"/>
              </w:rPr>
              <w:t>10.24*</w:t>
            </w:r>
          </w:p>
        </w:tc>
        <w:tc>
          <w:tcPr>
            <w:tcW w:w="10220" w:type="dxa"/>
            <w:vAlign w:val="bottom"/>
            <w:gridSpan w:val="6"/>
          </w:tcPr>
          <w:p>
            <w:pPr>
              <w:spacing w:after="0"/>
              <w:rPr>
                <w:rFonts w:ascii="Arial" w:cs="Arial" w:eastAsia="Arial" w:hAnsi="Arial"/>
                <w:sz w:val="18"/>
                <w:szCs w:val="18"/>
                <w:color w:val="0000EE"/>
                <w:w w:val="99"/>
              </w:rPr>
            </w:pPr>
            <w:hyperlink r:id="rId141">
              <w:r>
                <w:rPr>
                  <w:rFonts w:ascii="Arial" w:cs="Arial" w:eastAsia="Arial" w:hAnsi="Arial"/>
                  <w:sz w:val="18"/>
                  <w:szCs w:val="18"/>
                  <w:color w:val="0000EE"/>
                  <w:w w:val="99"/>
                </w:rPr>
                <w:t>Form of Agreement for Performance-Based Profits Interest Participation Right Units under the 2018 Incentive Compensation Plan</w:t>
              </w:r>
            </w:hyperlink>
          </w:p>
        </w:tc>
      </w:tr>
      <w:tr>
        <w:trPr>
          <w:trHeight w:val="20"/>
        </w:trPr>
        <w:tc>
          <w:tcPr>
            <w:tcW w:w="104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(incorporated by reference to Exhibit 10.24 to the Registrant’s Quarterly Report (File No. 001-32492) on Form 10-Q filed on April 30, 2019).</w:t>
              </w:r>
            </w:hyperlink>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31.1</w:t>
            </w:r>
          </w:p>
        </w:tc>
        <w:tc>
          <w:tcPr>
            <w:tcW w:w="37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Rule 13a-14(a) Certification of Kenneth M. Jacobs.</w:t>
              </w:r>
            </w:hyperlink>
          </w:p>
        </w:tc>
        <w:tc>
          <w:tcPr>
            <w:tcW w:w="6500" w:type="dxa"/>
            <w:vAlign w:val="bottom"/>
            <w:gridSpan w:val="2"/>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0220" w:type="dxa"/>
            <w:vAlign w:val="bottom"/>
            <w:gridSpan w:val="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Rule 13a-14(a) Certification of Evan L. Russo.</w:t>
              </w:r>
            </w:hyperlink>
          </w:p>
        </w:tc>
      </w:tr>
      <w:tr>
        <w:trPr>
          <w:trHeight w:val="20"/>
        </w:trPr>
        <w:tc>
          <w:tcPr>
            <w:tcW w:w="104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580" w:type="dxa"/>
            <w:vAlign w:val="bottom"/>
            <w:gridSpan w:val="3"/>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36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3">
              <w:r>
                <w:rPr>
                  <w:rFonts w:ascii="Arial" w:cs="Arial" w:eastAsia="Arial" w:hAnsi="Arial"/>
                  <w:sz w:val="18"/>
                  <w:szCs w:val="18"/>
                  <w:color w:val="0000EE"/>
                  <w:w w:val="91"/>
                </w:rPr>
                <w:t>Section 1350 Certification for Kenneth M. Jacobs.</w:t>
              </w:r>
            </w:hyperlink>
          </w:p>
        </w:tc>
        <w:tc>
          <w:tcPr>
            <w:tcW w:w="6580" w:type="dxa"/>
            <w:vAlign w:val="bottom"/>
            <w:gridSpan w:val="3"/>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10220" w:type="dxa"/>
            <w:vAlign w:val="bottom"/>
            <w:gridSpan w:val="6"/>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Section 1350 Certification for Evan L. Russo.</w:t>
              </w:r>
            </w:hyperlink>
          </w:p>
        </w:tc>
      </w:tr>
      <w:tr>
        <w:trPr>
          <w:trHeight w:val="20"/>
        </w:trPr>
        <w:tc>
          <w:tcPr>
            <w:tcW w:w="104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r>
      <w:tr>
        <w:trPr>
          <w:trHeight w:val="303"/>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6"/>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iXBRL tags are embedded within the</w:t>
            </w:r>
          </w:p>
        </w:tc>
      </w:tr>
      <w:tr>
        <w:trPr>
          <w:trHeight w:val="230"/>
        </w:trPr>
        <w:tc>
          <w:tcPr>
            <w:tcW w:w="1040" w:type="dxa"/>
            <w:vAlign w:val="bottom"/>
          </w:tcPr>
          <w:p>
            <w:pPr>
              <w:spacing w:after="0"/>
              <w:rPr>
                <w:sz w:val="20"/>
                <w:szCs w:val="20"/>
                <w:color w:val="auto"/>
              </w:rPr>
            </w:pPr>
          </w:p>
        </w:tc>
        <w:tc>
          <w:tcPr>
            <w:tcW w:w="10220" w:type="dxa"/>
            <w:vAlign w:val="bottom"/>
            <w:gridSpan w:val="6"/>
          </w:tcPr>
          <w:p>
            <w:pPr>
              <w:spacing w:after="0"/>
              <w:rPr>
                <w:sz w:val="20"/>
                <w:szCs w:val="20"/>
                <w:color w:val="auto"/>
              </w:rPr>
            </w:pPr>
            <w:r>
              <w:rPr>
                <w:rFonts w:ascii="Arial" w:cs="Arial" w:eastAsia="Arial" w:hAnsi="Arial"/>
                <w:sz w:val="18"/>
                <w:szCs w:val="18"/>
                <w:color w:val="auto"/>
              </w:rPr>
              <w:t>Inline XBRL document.</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r>
    </w:tbl>
    <w:p>
      <w:pPr>
        <w:ind w:right="3680" w:firstLine="8"/>
        <w:spacing w:after="0" w:line="433"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12090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324" w:right="39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undersigned thereunto duly authorized.</w:t>
            </w:r>
          </w:p>
        </w:tc>
        <w:tc>
          <w:tcPr>
            <w:tcW w:w="32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418"/>
        </w:trPr>
        <w:tc>
          <w:tcPr>
            <w:tcW w:w="6520" w:type="dxa"/>
            <w:vAlign w:val="bottom"/>
          </w:tcPr>
          <w:p>
            <w:pPr>
              <w:spacing w:after="0"/>
              <w:rPr>
                <w:sz w:val="20"/>
                <w:szCs w:val="20"/>
                <w:color w:val="auto"/>
              </w:rPr>
            </w:pPr>
            <w:r>
              <w:rPr>
                <w:rFonts w:ascii="Arial" w:cs="Arial" w:eastAsia="Arial" w:hAnsi="Arial"/>
                <w:sz w:val="18"/>
                <w:szCs w:val="18"/>
                <w:color w:val="auto"/>
              </w:rPr>
              <w:t>Dated: November 4, 2019</w:t>
            </w:r>
          </w:p>
        </w:tc>
        <w:tc>
          <w:tcPr>
            <w:tcW w:w="3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432"/>
        </w:trPr>
        <w:tc>
          <w:tcPr>
            <w:tcW w:w="6840" w:type="dxa"/>
            <w:vAlign w:val="bottom"/>
            <w:gridSpan w:val="2"/>
          </w:tcPr>
          <w:p>
            <w:pPr>
              <w:ind w:left="5720"/>
              <w:spacing w:after="0"/>
              <w:rPr>
                <w:sz w:val="20"/>
                <w:szCs w:val="20"/>
                <w:color w:val="auto"/>
              </w:rPr>
            </w:pPr>
            <w:r>
              <w:rPr>
                <w:rFonts w:ascii="Arial" w:cs="Arial" w:eastAsia="Arial" w:hAnsi="Arial"/>
                <w:sz w:val="18"/>
                <w:szCs w:val="18"/>
                <w:color w:val="auto"/>
                <w:w w:val="99"/>
              </w:rPr>
              <w:t>LAZARD LTD</w:t>
            </w:r>
          </w:p>
        </w:tc>
        <w:tc>
          <w:tcPr>
            <w:tcW w:w="4580" w:type="dxa"/>
            <w:vAlign w:val="bottom"/>
          </w:tcPr>
          <w:p>
            <w:pPr>
              <w:spacing w:after="0"/>
              <w:rPr>
                <w:sz w:val="24"/>
                <w:szCs w:val="24"/>
                <w:color w:val="auto"/>
              </w:rPr>
            </w:pPr>
          </w:p>
        </w:tc>
      </w:tr>
      <w:tr>
        <w:trPr>
          <w:trHeight w:val="432"/>
        </w:trPr>
        <w:tc>
          <w:tcPr>
            <w:tcW w:w="6520" w:type="dxa"/>
            <w:vAlign w:val="bottom"/>
          </w:tcPr>
          <w:p>
            <w:pPr>
              <w:ind w:left="5720"/>
              <w:spacing w:after="0"/>
              <w:rPr>
                <w:sz w:val="20"/>
                <w:szCs w:val="20"/>
                <w:color w:val="auto"/>
              </w:rPr>
            </w:pPr>
            <w:r>
              <w:rPr>
                <w:rFonts w:ascii="Arial" w:cs="Arial" w:eastAsia="Arial" w:hAnsi="Arial"/>
                <w:sz w:val="18"/>
                <w:szCs w:val="18"/>
                <w:color w:val="auto"/>
              </w:rPr>
              <w:t>By:</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Evan L. Russo</w:t>
            </w:r>
          </w:p>
        </w:tc>
      </w:tr>
      <w:tr>
        <w:trPr>
          <w:trHeight w:val="195"/>
        </w:trPr>
        <w:tc>
          <w:tcPr>
            <w:tcW w:w="652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00" w:type="dxa"/>
            <w:vAlign w:val="bottom"/>
            <w:gridSpan w:val="2"/>
          </w:tcPr>
          <w:p>
            <w:pPr>
              <w:spacing w:after="0" w:line="195" w:lineRule="exact"/>
              <w:rPr>
                <w:sz w:val="20"/>
                <w:szCs w:val="20"/>
                <w:color w:val="auto"/>
              </w:rPr>
            </w:pPr>
            <w:r>
              <w:rPr>
                <w:rFonts w:ascii="Arial" w:cs="Arial" w:eastAsia="Arial" w:hAnsi="Arial"/>
                <w:sz w:val="18"/>
                <w:szCs w:val="18"/>
                <w:color w:val="auto"/>
              </w:rPr>
              <w:t>Evan L. Russo</w:t>
            </w:r>
          </w:p>
        </w:tc>
      </w:tr>
      <w:tr>
        <w:trPr>
          <w:trHeight w:val="230"/>
        </w:trPr>
        <w:tc>
          <w:tcPr>
            <w:tcW w:w="6520" w:type="dxa"/>
            <w:vAlign w:val="bottom"/>
          </w:tcPr>
          <w:p>
            <w:pPr>
              <w:ind w:left="5720"/>
              <w:spacing w:after="0"/>
              <w:rPr>
                <w:sz w:val="20"/>
                <w:szCs w:val="20"/>
                <w:color w:val="auto"/>
              </w:rPr>
            </w:pPr>
            <w:r>
              <w:rPr>
                <w:rFonts w:ascii="Arial" w:cs="Arial" w:eastAsia="Arial" w:hAnsi="Arial"/>
                <w:sz w:val="18"/>
                <w:szCs w:val="18"/>
                <w:color w:val="auto"/>
              </w:rPr>
              <w:t>Title:</w:t>
            </w:r>
          </w:p>
        </w:tc>
        <w:tc>
          <w:tcPr>
            <w:tcW w:w="49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6520" w:type="dxa"/>
            <w:vAlign w:val="bottom"/>
          </w:tcPr>
          <w:p>
            <w:pPr>
              <w:ind w:left="5720"/>
              <w:spacing w:after="0"/>
              <w:rPr>
                <w:sz w:val="20"/>
                <w:szCs w:val="20"/>
                <w:color w:val="auto"/>
              </w:rPr>
            </w:pPr>
            <w:r>
              <w:rPr>
                <w:rFonts w:ascii="Arial" w:cs="Arial" w:eastAsia="Arial" w:hAnsi="Arial"/>
                <w:sz w:val="18"/>
                <w:szCs w:val="18"/>
                <w:color w:val="auto"/>
              </w:rPr>
              <w:t>By:</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Dominick Ragone</w:t>
            </w:r>
          </w:p>
        </w:tc>
      </w:tr>
      <w:tr>
        <w:trPr>
          <w:trHeight w:val="195"/>
        </w:trPr>
        <w:tc>
          <w:tcPr>
            <w:tcW w:w="652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00" w:type="dxa"/>
            <w:vAlign w:val="bottom"/>
            <w:gridSpan w:val="2"/>
          </w:tcPr>
          <w:p>
            <w:pPr>
              <w:spacing w:after="0" w:line="195" w:lineRule="exact"/>
              <w:rPr>
                <w:sz w:val="20"/>
                <w:szCs w:val="20"/>
                <w:color w:val="auto"/>
              </w:rPr>
            </w:pPr>
            <w:r>
              <w:rPr>
                <w:rFonts w:ascii="Arial" w:cs="Arial" w:eastAsia="Arial" w:hAnsi="Arial"/>
                <w:sz w:val="18"/>
                <w:szCs w:val="18"/>
                <w:color w:val="auto"/>
              </w:rPr>
              <w:t>Dominick Ragone</w:t>
            </w:r>
          </w:p>
        </w:tc>
      </w:tr>
      <w:tr>
        <w:trPr>
          <w:trHeight w:val="230"/>
        </w:trPr>
        <w:tc>
          <w:tcPr>
            <w:tcW w:w="6520" w:type="dxa"/>
            <w:vAlign w:val="bottom"/>
          </w:tcPr>
          <w:p>
            <w:pPr>
              <w:ind w:left="5720"/>
              <w:spacing w:after="0"/>
              <w:rPr>
                <w:sz w:val="20"/>
                <w:szCs w:val="20"/>
                <w:color w:val="auto"/>
              </w:rPr>
            </w:pPr>
            <w:r>
              <w:rPr>
                <w:rFonts w:ascii="Arial" w:cs="Arial" w:eastAsia="Arial" w:hAnsi="Arial"/>
                <w:sz w:val="18"/>
                <w:szCs w:val="18"/>
                <w:color w:val="auto"/>
              </w:rPr>
              <w:t>Title:</w:t>
            </w:r>
          </w:p>
        </w:tc>
        <w:tc>
          <w:tcPr>
            <w:tcW w:w="490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37"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2019 of Lazard Ltd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Evan L. Russo, certify that:</w:t>
      </w:r>
    </w:p>
    <w:p>
      <w:pPr>
        <w:spacing w:after="0" w:line="117" w:lineRule="exact"/>
        <w:rPr>
          <w:sz w:val="20"/>
          <w:szCs w:val="20"/>
          <w:color w:val="auto"/>
        </w:rPr>
      </w:pPr>
    </w:p>
    <w:p>
      <w:pPr>
        <w:ind w:left="700" w:hanging="174"/>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2019 of Lazard Ltd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4,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September 30, 2019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4,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September 30, 2019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1."/>
      <w:numFmt w:val="decimal"/>
      <w:start w:val="2"/>
    </w:lvl>
  </w:abstractNum>
  <w:abstractNum w:abstractNumId="6">
    <w:nsid w:val="77465F01"/>
    <w:multiLevelType w:val="hybridMultilevel"/>
    <w:lvl w:ilvl="0">
      <w:lvlJc w:val="left"/>
      <w:lvlText w:val="%1."/>
      <w:numFmt w:val="decimal"/>
      <w:start w:val="3"/>
    </w:lvl>
  </w:abstractNum>
  <w:abstractNum w:abstractNumId="7">
    <w:nsid w:val="7724C67E"/>
    <w:multiLevelType w:val="hybridMultilevel"/>
    <w:lvl w:ilvl="0">
      <w:lvlJc w:val="left"/>
      <w:lvlText w:val="(%1)"/>
      <w:numFmt w:val="lowerLetter"/>
      <w:start w:val="1"/>
    </w:lvl>
  </w:abstractNum>
  <w:abstractNum w:abstractNumId="8">
    <w:nsid w:val="5C482A97"/>
    <w:multiLevelType w:val="hybridMultilevel"/>
    <w:lvl w:ilvl="0">
      <w:lvlJc w:val="left"/>
      <w:lvlText w:val="(%1)"/>
      <w:numFmt w:val="lowerLetter"/>
      <w:start w:val="2"/>
    </w:lvl>
  </w:abstractNum>
  <w:abstractNum w:abstractNumId="9">
    <w:nsid w:val="2463B9EA"/>
    <w:multiLevelType w:val="hybridMultilevel"/>
    <w:lvl w:ilvl="0">
      <w:lvlJc w:val="left"/>
      <w:lvlText w:val="%1."/>
      <w:numFmt w:val="decimal"/>
      <w:start w:val="4"/>
    </w:lvl>
  </w:abstractNum>
  <w:abstractNum w:abstractNumId="10">
    <w:nsid w:val="5E884ADC"/>
    <w:multiLevelType w:val="hybridMultilevel"/>
    <w:lvl w:ilvl="0">
      <w:lvlJc w:val="left"/>
      <w:lvlText w:val="%1."/>
      <w:numFmt w:val="decimal"/>
      <w:start w:val="5"/>
    </w:lvl>
  </w:abstractNum>
  <w:abstractNum w:abstractNumId="11">
    <w:nsid w:val="51EAD36B"/>
    <w:multiLevelType w:val="hybridMultilevel"/>
    <w:lvl w:ilvl="0">
      <w:lvlJc w:val="left"/>
      <w:lvlText w:val="(%1)"/>
      <w:numFmt w:val="lowerLetter"/>
      <w:start w:val="1"/>
    </w:lvl>
  </w:abstractNum>
  <w:abstractNum w:abstractNumId="12">
    <w:nsid w:val="2D517796"/>
    <w:multiLevelType w:val="hybridMultilevel"/>
    <w:lvl w:ilvl="0">
      <w:lvlJc w:val="left"/>
      <w:lvlText w:val="%1."/>
      <w:numFmt w:val="decimal"/>
      <w:start w:val="6"/>
    </w:lvl>
  </w:abstractNum>
  <w:abstractNum w:abstractNumId="13">
    <w:nsid w:val="580BD78F"/>
    <w:multiLevelType w:val="hybridMultilevel"/>
    <w:lvl w:ilvl="0">
      <w:lvlJc w:val="left"/>
      <w:lvlText w:val="(%1)"/>
      <w:numFmt w:val="lowerLetter"/>
      <w:start w:val="1"/>
    </w:lvl>
  </w:abstractNum>
  <w:abstractNum w:abstractNumId="14">
    <w:nsid w:val="153EA438"/>
    <w:multiLevelType w:val="hybridMultilevel"/>
    <w:lvl w:ilvl="0">
      <w:lvlJc w:val="left"/>
      <w:lvlText w:val="(%1)"/>
      <w:numFmt w:val="lowerLetter"/>
      <w:start w:val="1"/>
    </w:lvl>
  </w:abstractNum>
  <w:abstractNum w:abstractNumId="15">
    <w:nsid w:val="3855585C"/>
    <w:multiLevelType w:val="hybridMultilevel"/>
    <w:lvl w:ilvl="0">
      <w:lvlJc w:val="left"/>
      <w:lvlText w:val="(%1)"/>
      <w:numFmt w:val="lowerLetter"/>
      <w:start w:val="1"/>
    </w:lvl>
  </w:abstractNum>
  <w:abstractNum w:abstractNumId="16">
    <w:nsid w:val="70A64E2A"/>
    <w:multiLevelType w:val="hybridMultilevel"/>
    <w:lvl w:ilvl="0">
      <w:lvlJc w:val="left"/>
      <w:lvlText w:val="%1."/>
      <w:numFmt w:val="decimal"/>
      <w:start w:val="7"/>
    </w:lvl>
  </w:abstractNum>
  <w:abstractNum w:abstractNumId="17">
    <w:nsid w:val="6A2342EC"/>
    <w:multiLevelType w:val="hybridMultilevel"/>
    <w:lvl w:ilvl="0">
      <w:lvlJc w:val="left"/>
      <w:lvlText w:val="(%1)"/>
      <w:numFmt w:val="lowerLetter"/>
      <w:start w:val="1"/>
    </w:lvl>
  </w:abstractNum>
  <w:abstractNum w:abstractNumId="18">
    <w:nsid w:val="2A487CB0"/>
    <w:multiLevelType w:val="hybridMultilevel"/>
    <w:lvl w:ilvl="0">
      <w:lvlJc w:val="left"/>
      <w:lvlText w:val="%1."/>
      <w:numFmt w:val="decimal"/>
      <w:start w:val="8"/>
    </w:lvl>
  </w:abstractNum>
  <w:abstractNum w:abstractNumId="19">
    <w:nsid w:val="1D4ED43B"/>
    <w:multiLevelType w:val="hybridMultilevel"/>
    <w:lvl w:ilvl="0">
      <w:lvlJc w:val="left"/>
      <w:lvlText w:val="%1."/>
      <w:numFmt w:val="decimal"/>
      <w:start w:val="9"/>
    </w:lvl>
  </w:abstractNum>
  <w:abstractNum w:abstractNumId="20">
    <w:nsid w:val="725A06FB"/>
    <w:multiLevelType w:val="hybridMultilevel"/>
    <w:lvl w:ilvl="0">
      <w:lvlJc w:val="left"/>
      <w:lvlText w:val="%1."/>
      <w:numFmt w:val="decimal"/>
      <w:start w:val="10"/>
    </w:lvl>
  </w:abstractNum>
  <w:abstractNum w:abstractNumId="21">
    <w:nsid w:val="2CD89A32"/>
    <w:multiLevelType w:val="hybridMultilevel"/>
    <w:lvl w:ilvl="0">
      <w:lvlJc w:val="left"/>
      <w:lvlText w:val="%1."/>
      <w:numFmt w:val="decimal"/>
      <w:start w:val="11"/>
    </w:lvl>
  </w:abstractNum>
  <w:abstractNum w:abstractNumId="22">
    <w:nsid w:val="57E4CCAF"/>
    <w:multiLevelType w:val="hybridMultilevel"/>
    <w:lvl w:ilvl="0">
      <w:lvlJc w:val="left"/>
      <w:lvlText w:val="(%1)"/>
      <w:numFmt w:val="lowerLetter"/>
      <w:start w:val="1"/>
    </w:lvl>
  </w:abstractNum>
  <w:abstractNum w:abstractNumId="23">
    <w:nsid w:val="7A6D8D3C"/>
    <w:multiLevelType w:val="hybridMultilevel"/>
    <w:lvl w:ilvl="0">
      <w:lvlJc w:val="left"/>
      <w:lvlText w:val="%1."/>
      <w:numFmt w:val="decimal"/>
      <w:start w:val="12"/>
    </w:lvl>
  </w:abstractNum>
  <w:abstractNum w:abstractNumId="24">
    <w:nsid w:val="4B588F54"/>
    <w:multiLevelType w:val="hybridMultilevel"/>
    <w:lvl w:ilvl="0">
      <w:lvlJc w:val="left"/>
      <w:lvlText w:val="%1."/>
      <w:numFmt w:val="decimal"/>
      <w:start w:val="13"/>
    </w:lvl>
  </w:abstractNum>
  <w:abstractNum w:abstractNumId="25">
    <w:nsid w:val="542289EC"/>
    <w:multiLevelType w:val="hybridMultilevel"/>
    <w:lvl w:ilvl="0">
      <w:lvlJc w:val="left"/>
      <w:lvlText w:val="(%1)"/>
      <w:numFmt w:val="lowerLetter"/>
      <w:start w:val="1"/>
    </w:lvl>
  </w:abstractNum>
  <w:abstractNum w:abstractNumId="26">
    <w:nsid w:val="6DE91B18"/>
    <w:multiLevelType w:val="hybridMultilevel"/>
    <w:lvl w:ilvl="0">
      <w:lvlJc w:val="left"/>
      <w:lvlText w:val="%1."/>
      <w:numFmt w:val="decimal"/>
      <w:start w:val="14"/>
    </w:lvl>
  </w:abstractNum>
  <w:abstractNum w:abstractNumId="27">
    <w:nsid w:val="38437FDB"/>
    <w:multiLevelType w:val="hybridMultilevel"/>
    <w:lvl w:ilvl="0">
      <w:lvlJc w:val="left"/>
      <w:lvlText w:val="%1."/>
      <w:numFmt w:val="decimal"/>
      <w:start w:val="15"/>
    </w:lvl>
  </w:abstractNum>
  <w:abstractNum w:abstractNumId="28">
    <w:nsid w:val="7644A45C"/>
    <w:multiLevelType w:val="hybridMultilevel"/>
    <w:lvl w:ilvl="0">
      <w:lvlJc w:val="left"/>
      <w:lvlText w:val="%1."/>
      <w:numFmt w:val="decimal"/>
      <w:start w:val="16"/>
    </w:lvl>
  </w:abstractNum>
  <w:abstractNum w:abstractNumId="29">
    <w:nsid w:val="32FFF902"/>
    <w:multiLevelType w:val="hybridMultilevel"/>
    <w:lvl w:ilvl="0">
      <w:lvlJc w:val="left"/>
      <w:lvlText w:val="%1."/>
      <w:numFmt w:val="decimal"/>
      <w:start w:val="17"/>
    </w:lvl>
  </w:abstractNum>
  <w:abstractNum w:abstractNumId="30">
    <w:nsid w:val="684A481A"/>
    <w:multiLevelType w:val="hybridMultilevel"/>
    <w:lvl w:ilvl="0">
      <w:lvlJc w:val="left"/>
      <w:lvlText w:val="(%1)"/>
      <w:numFmt w:val="lowerRoman"/>
      <w:start w:val="4"/>
    </w:lvl>
  </w:abstractNum>
  <w:abstractNum w:abstractNumId="31">
    <w:nsid w:val="579478FE"/>
    <w:multiLevelType w:val="hybridMultilevel"/>
    <w:lvl w:ilvl="0">
      <w:lvlJc w:val="left"/>
      <w:lvlText w:val="%1."/>
      <w:numFmt w:val="decimal"/>
      <w:start w:val="18"/>
    </w:lvl>
  </w:abstractNum>
  <w:abstractNum w:abstractNumId="32">
    <w:nsid w:val="749ABB43"/>
    <w:multiLevelType w:val="hybridMultilevel"/>
    <w:lvl w:ilvl="0">
      <w:lvlJc w:val="left"/>
      <w:lvlText w:val="%1."/>
      <w:numFmt w:val="decimal"/>
      <w:start w:val="19"/>
    </w:lvl>
  </w:abstractNum>
  <w:abstractNum w:abstractNumId="33">
    <w:nsid w:val="3DC240FB"/>
    <w:multiLevelType w:val="hybridMultilevel"/>
    <w:lvl w:ilvl="0">
      <w:lvlJc w:val="left"/>
      <w:lvlText w:val="(%1)"/>
      <w:numFmt w:val="lowerRoman"/>
      <w:start w:val="1"/>
    </w:lvl>
  </w:abstractNum>
  <w:abstractNum w:abstractNumId="34">
    <w:nsid w:val="1BA026FA"/>
    <w:multiLevelType w:val="hybridMultilevel"/>
    <w:lvl w:ilvl="0">
      <w:lvlJc w:val="left"/>
      <w:lvlText w:val="%1."/>
      <w:numFmt w:val="decimal"/>
      <w:start w:val="20"/>
    </w:lvl>
  </w:abstractNum>
  <w:abstractNum w:abstractNumId="35">
    <w:nsid w:val="79A1DEAA"/>
    <w:multiLevelType w:val="hybridMultilevel"/>
    <w:lvl w:ilvl="0">
      <w:lvlJc w:val="left"/>
      <w:lvlText w:val="%1."/>
      <w:numFmt w:val="decimal"/>
      <w:start w:val="2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1."/>
      <w:numFmt w:val="decimal"/>
      <w:start w:val="22"/>
    </w:lvl>
  </w:abstractNum>
  <w:abstractNum w:abstractNumId="38">
    <w:nsid w:val="70C6A529"/>
    <w:multiLevelType w:val="hybridMultilevel"/>
    <w:lvl w:ilvl="0">
      <w:lvlJc w:val="left"/>
      <w:lvlText w:val="(%1)"/>
      <w:numFmt w:val="lowerLetter"/>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lvl w:ilvl="1">
      <w:lvlJc w:val="left"/>
      <w:lvlText w:val="(%2)"/>
      <w:numFmt w:val="lowerRoman"/>
      <w:start w:val="1"/>
    </w:lvl>
  </w:abstractNum>
  <w:abstractNum w:abstractNumId="45">
    <w:nsid w:val="39386575"/>
    <w:multiLevelType w:val="hybridMultilevel"/>
    <w:lvl w:ilvl="0">
      <w:lvlJc w:val="left"/>
      <w:lvlText w:val="•"/>
      <w:numFmt w:val="bullet"/>
      <w:start w:val="1"/>
    </w:lvl>
    <w:lvl w:ilvl="1">
      <w:lvlJc w:val="left"/>
      <w:lvlText w:val="(%2)"/>
      <w:numFmt w:val="lowerRoman"/>
      <w:start w:val="2"/>
    </w:lvl>
  </w:abstractNum>
  <w:abstractNum w:abstractNumId="46">
    <w:nsid w:val="1CF10FD8"/>
    <w:multiLevelType w:val="hybridMultilevel"/>
    <w:lvl w:ilvl="0">
      <w:lvlJc w:val="left"/>
      <w:lvlText w:val="(%1)"/>
      <w:numFmt w:val="lowerLetter"/>
      <w:start w:val="1"/>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lowerLetter"/>
      <w:start w:val="1"/>
    </w:lvl>
  </w:abstractNum>
  <w:abstractNum w:abstractNumId="49">
    <w:nsid w:val="47398C89"/>
    <w:multiLevelType w:val="hybridMultilevel"/>
    <w:lvl w:ilvl="0">
      <w:lvlJc w:val="left"/>
      <w:lvlText w:val="(%1)"/>
      <w:numFmt w:val="lowerRoman"/>
      <w:start w:val="2"/>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1)"/>
      <w:numFmt w:val="lowerLetter"/>
      <w:start w:val="1"/>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lowerLetter"/>
      <w:start w:val="2"/>
    </w:lvl>
  </w:abstractNum>
  <w:abstractNum w:abstractNumId="54">
    <w:nsid w:val="10233C99"/>
    <w:multiLevelType w:val="hybridMultilevel"/>
    <w:lvl w:ilvl="0">
      <w:lvlJc w:val="left"/>
      <w:lvlText w:val="(%1)"/>
      <w:numFmt w:val="lowerLetter"/>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1)"/>
      <w:numFmt w:val="lowerLetter"/>
      <w:start w:val="2"/>
    </w:lvl>
  </w:abstractNum>
  <w:abstractNum w:abstractNumId="59">
    <w:nsid w:val="579BE4F1"/>
    <w:multiLevelType w:val="hybridMultilevel"/>
    <w:lvl w:ilvl="0">
      <w:lvlJc w:val="left"/>
      <w:lvlText w:val="(%1)"/>
      <w:numFmt w:val="lowerLetter"/>
      <w:start w:val="3"/>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1)"/>
      <w:numFmt w:val="lowerRoman"/>
      <w:start w:val="3"/>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2"/>
    </w:lvl>
  </w:abstractNum>
  <w:abstractNum w:abstractNumId="64">
    <w:nsid w:val="1DBABF00"/>
    <w:multiLevelType w:val="hybridMultilevel"/>
    <w:lvl w:ilvl="0">
      <w:lvlJc w:val="left"/>
      <w:lvlText w:val="%1"/>
      <w:numFmt w:val="decimal"/>
      <w:start w:val="104"/>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40"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04" Type="http://schemas.openxmlformats.org/officeDocument/2006/relationships/hyperlink" Target="http://www.sec.gov/Archives/edgar/data/1311370/000119312505056426/dex31.htm" TargetMode="External"/><Relationship Id="rId105" Type="http://schemas.openxmlformats.org/officeDocument/2006/relationships/hyperlink" Target="http://www.sec.gov/Archives/edgar/data/1311370/000119312505056426/dex32.htm" TargetMode="External"/><Relationship Id="rId106" Type="http://schemas.openxmlformats.org/officeDocument/2006/relationships/hyperlink" Target="http://www.sec.gov/Archives/edgar/data/1311370/000119312505126336/dex33.htm" TargetMode="External"/><Relationship Id="rId107" Type="http://schemas.openxmlformats.org/officeDocument/2006/relationships/hyperlink" Target="http://www.sec.gov/Archives/edgar/data/1311370/000119312508108332/dex34.htm" TargetMode="External"/><Relationship Id="rId108" Type="http://schemas.openxmlformats.org/officeDocument/2006/relationships/hyperlink" Target="http://www.sec.gov/Archives/edgar/data/1311370/000119312510102269/dex35.htm" TargetMode="External"/><Relationship Id="rId109" Type="http://schemas.openxmlformats.org/officeDocument/2006/relationships/hyperlink" Target="http://www.sec.gov/Archives/edgar/data/1311370/000119312505073325/dex41.htm" TargetMode="External"/><Relationship Id="rId110" Type="http://schemas.openxmlformats.org/officeDocument/2006/relationships/hyperlink" Target="http://www.sec.gov/Archives/edgar/data/1326141/000119312505145683/dex41.htm" TargetMode="External"/><Relationship Id="rId111" Type="http://schemas.openxmlformats.org/officeDocument/2006/relationships/hyperlink" Target="http://www.sec.gov/Archives/edgar/data/1311370/000119312515050385/d871111dex41.htm" TargetMode="External"/><Relationship Id="rId112" Type="http://schemas.openxmlformats.org/officeDocument/2006/relationships/hyperlink" Target="http://www.sec.gov/Archives/edgar/data/1311370/000119312516760477/d43064dex41.htm" TargetMode="External"/><Relationship Id="rId113" Type="http://schemas.openxmlformats.org/officeDocument/2006/relationships/hyperlink" Target="http://www.sec.gov/Archives/edgar/data/1311370/000119312518277695/d614135dex41.htm" TargetMode="External"/><Relationship Id="rId114" Type="http://schemas.openxmlformats.org/officeDocument/2006/relationships/hyperlink" Target="http://www.sec.gov/Archives/edgar/data/1311370/000095015719000259/ex4-1.htm" TargetMode="External"/><Relationship Id="rId115" Type="http://schemas.openxmlformats.org/officeDocument/2006/relationships/hyperlink" Target="http://www.sec.gov/Archives/edgar/data/1311370/000119312519027570/d671906dex991.htm" TargetMode="External"/><Relationship Id="rId116" Type="http://schemas.openxmlformats.org/officeDocument/2006/relationships/hyperlink" Target="http://www.sec.gov/Archives/edgar/data/1311370/000119312515355042/d41332dex102.htm" TargetMode="External"/><Relationship Id="rId117" Type="http://schemas.openxmlformats.org/officeDocument/2006/relationships/hyperlink" Target="http://www.sec.gov/Archives/edgar/data/1311370/000119312505025486/dex1019.htm" TargetMode="External"/><Relationship Id="rId118" Type="http://schemas.openxmlformats.org/officeDocument/2006/relationships/hyperlink" Target="http://www.sec.gov/Archives/edgar/data/1311370/000119312511117012/dex1016.htm" TargetMode="External"/><Relationship Id="rId119" Type="http://schemas.openxmlformats.org/officeDocument/2006/relationships/hyperlink" Target="http://www.sec.gov/Archives/edgar/data/1311370/000119312505091140/dex1021.htm" TargetMode="External"/><Relationship Id="rId120" Type="http://schemas.openxmlformats.org/officeDocument/2006/relationships/hyperlink" Target="http://www.sec.gov/Archives/edgar/data/1311370/000119312508063107/ddef14a.htm" TargetMode="External"/><Relationship Id="rId121" Type="http://schemas.openxmlformats.org/officeDocument/2006/relationships/hyperlink" Target="http://www.sec.gov/Archives/edgar/data/1311370/000119312516500308/d128121ddef14a.htm" TargetMode="External"/><Relationship Id="rId124" Type="http://schemas.openxmlformats.org/officeDocument/2006/relationships/hyperlink" Target="http://www.sec.gov/Archives/edgar/data/1311370/000119312518082725/d525181ddef14a.htm" TargetMode="External"/><Relationship Id="rId125" Type="http://schemas.openxmlformats.org/officeDocument/2006/relationships/hyperlink" Target="http://www.sec.gov/Archives/edgar/data/1311370/000119312519096097/d642761dex101.htm" TargetMode="External"/><Relationship Id="rId126" Type="http://schemas.openxmlformats.org/officeDocument/2006/relationships/hyperlink" Target="http://www.sec.gov/Archives/edgar/data/1311370/000119312519096097/d642761dex103.htm" TargetMode="External"/><Relationship Id="rId127" Type="http://schemas.openxmlformats.org/officeDocument/2006/relationships/hyperlink" Target="http://www.sec.gov/Archives/edgar/data/1311370/000119312519096097/d642761dex104.htm" TargetMode="External"/><Relationship Id="rId128" Type="http://schemas.openxmlformats.org/officeDocument/2006/relationships/hyperlink" Target="http://www.sec.gov/Archives/edgar/data/1311370/000119312519096097/d642761dex102.htm" TargetMode="External"/><Relationship Id="rId129" Type="http://schemas.openxmlformats.org/officeDocument/2006/relationships/hyperlink" Target="http://www.sec.gov/Archives/edgar/data/1311370/000119312519096097/d642761dex105.htm" TargetMode="External"/><Relationship Id="rId130" Type="http://schemas.openxmlformats.org/officeDocument/2006/relationships/hyperlink" Target="http://www.sec.gov/Archives/edgar/data/1311370/000089882205001180/sept9_exhibit.txt" TargetMode="External"/><Relationship Id="rId131" Type="http://schemas.openxmlformats.org/officeDocument/2006/relationships/hyperlink" Target="http://www.sec.gov/Archives/edgar/data/1311370/000119312509041325/dex1041.htm" TargetMode="External"/><Relationship Id="rId132" Type="http://schemas.openxmlformats.org/officeDocument/2006/relationships/hyperlink" Target="http://www.sec.gov/Archives/edgar/data/1311370/000119312509041325/dex1042.htm" TargetMode="External"/><Relationship Id="rId133" Type="http://schemas.openxmlformats.org/officeDocument/2006/relationships/hyperlink" Target="http://www.sec.gov/Archives/edgar/data/1311370/000119312506109044/dex1039.htm" TargetMode="External"/><Relationship Id="rId134" Type="http://schemas.openxmlformats.org/officeDocument/2006/relationships/hyperlink" Target="http://www.sec.gov/Archives/edgar/data/1311370/000119312515355042/d41332dex1027.htm" TargetMode="External"/><Relationship Id="rId135" Type="http://schemas.openxmlformats.org/officeDocument/2006/relationships/hyperlink" Target="http://www.sec.gov/Archives/edgar/data/1311370/000119312513188120/d498095dex1055.htm" TargetMode="External"/><Relationship Id="rId136" Type="http://schemas.openxmlformats.org/officeDocument/2006/relationships/hyperlink" Target="http://www.sec.gov/Archives/edgar/data/1311370/000119312514184963/d687179dex1055.htm" TargetMode="External"/><Relationship Id="rId137" Type="http://schemas.openxmlformats.org/officeDocument/2006/relationships/hyperlink" Target="http://www.sec.gov/Archives/edgar/data/1311370/000119312514184963/d687179dex1056.htm" TargetMode="External"/><Relationship Id="rId138" Type="http://schemas.openxmlformats.org/officeDocument/2006/relationships/hyperlink" Target="http://www.sec.gov/Archives/edgar/data/1311370/000119312510102269/dex1055.htm" TargetMode="External"/><Relationship Id="rId139" Type="http://schemas.openxmlformats.org/officeDocument/2006/relationships/hyperlink" Target="http://www.sec.gov/Archives/edgar/data/1311370/000119312511117012/dex1055.htm" TargetMode="External"/><Relationship Id="rId141" Type="http://schemas.openxmlformats.org/officeDocument/2006/relationships/hyperlink" Target="http://www.sec.gov/Archives/edgar/data/1311370/000156459019013924/laz-ex1024_5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2019-12-28T02:55:37Z</dcterms:created>
  <dcterms:modified xsi:type="dcterms:W3CDTF">2019-12-28T02:55:37Z</dcterms:modified>
</cp:coreProperties>
</file>