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165100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178435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155575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5"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22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18"/>
                <w:szCs w:val="18"/>
                <w:color w:val="auto"/>
              </w:rPr>
            </w:pPr>
          </w:p>
        </w:tc>
        <w:tc>
          <w:tcPr>
            <w:tcW w:w="108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w w:val="89"/>
              </w:rPr>
              <w:t>51-0278097</w:t>
            </w:r>
          </w:p>
        </w:tc>
        <w:tc>
          <w:tcPr>
            <w:tcW w:w="600" w:type="dxa"/>
            <w:vAlign w:val="bottom"/>
          </w:tcPr>
          <w:p>
            <w:pPr>
              <w:spacing w:after="0"/>
              <w:rPr>
                <w:sz w:val="18"/>
                <w:szCs w:val="18"/>
                <w:color w:val="auto"/>
              </w:rPr>
            </w:pPr>
          </w:p>
        </w:tc>
      </w:tr>
      <w:tr>
        <w:trPr>
          <w:trHeight w:val="149"/>
        </w:trPr>
        <w:tc>
          <w:tcPr>
            <w:tcW w:w="7220" w:type="dxa"/>
            <w:vAlign w:val="bottom"/>
            <w:gridSpan w:val="3"/>
          </w:tcPr>
          <w:p>
            <w:pPr>
              <w:jc w:val="center"/>
              <w:ind w:right="210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3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72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8"/>
              </w:rPr>
              <w:t>or Organization)</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4"/>
        </w:trPr>
        <w:tc>
          <w:tcPr>
            <w:tcW w:w="416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90"/>
        </w:trPr>
        <w:tc>
          <w:tcPr>
            <w:tcW w:w="416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416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8"/>
        </w:trPr>
        <w:tc>
          <w:tcPr>
            <w:tcW w:w="7220" w:type="dxa"/>
            <w:vAlign w:val="bottom"/>
            <w:gridSpan w:val="3"/>
          </w:tcPr>
          <w:p>
            <w:pPr>
              <w:jc w:val="center"/>
              <w:ind w:left="3397"/>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84"/>
        </w:trPr>
        <w:tc>
          <w:tcPr>
            <w:tcW w:w="7220" w:type="dxa"/>
            <w:vAlign w:val="bottom"/>
            <w:gridSpan w:val="3"/>
          </w:tcPr>
          <w:p>
            <w:pPr>
              <w:jc w:val="center"/>
              <w:ind w:left="3417"/>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5"/>
        </w:trPr>
        <w:tc>
          <w:tcPr>
            <w:tcW w:w="416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38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397"/>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12(b)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834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84"/>
        </w:trPr>
        <w:tc>
          <w:tcPr>
            <w:tcW w:w="79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15(d) of the Act.</w:t>
            </w:r>
          </w:p>
        </w:tc>
        <w:tc>
          <w:tcPr>
            <w:tcW w:w="420" w:type="dxa"/>
            <w:vAlign w:val="bottom"/>
          </w:tcPr>
          <w:p>
            <w:pPr>
              <w:ind w:left="120"/>
              <w:spacing w:after="0"/>
              <w:rPr>
                <w:sz w:val="20"/>
                <w:szCs w:val="20"/>
                <w:color w:val="auto"/>
              </w:rPr>
            </w:pPr>
            <w:r>
              <w:rPr>
                <w:rFonts w:ascii="Arial" w:cs="Arial" w:eastAsia="Arial" w:hAnsi="Arial"/>
                <w:sz w:val="18"/>
                <w:szCs w:val="18"/>
                <w:color w:val="auto"/>
                <w:w w:val="90"/>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1"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283" w:gutter="0" w:footer="0" w:header="0"/>
        </w:sectPr>
      </w:pPr>
    </w:p>
    <w:p>
      <w:pPr>
        <w:spacing w:after="0" w:line="53"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60"/>
          </w:cols>
          <w:pgMar w:left="240" w:top="230" w:right="259" w:bottom="283"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firstLine="342"/>
        <w:spacing w:after="0" w:line="253" w:lineRule="auto"/>
        <w:rPr>
          <w:sz w:val="20"/>
          <w:szCs w:val="20"/>
          <w:color w:val="auto"/>
        </w:rPr>
      </w:pPr>
      <w:r>
        <w:rPr>
          <w:rFonts w:ascii="Arial" w:cs="Arial" w:eastAsia="Arial" w:hAnsi="Arial"/>
          <w:sz w:val="18"/>
          <w:szCs w:val="18"/>
          <w:color w:val="auto"/>
        </w:rPr>
        <w:t>As of June 30, 2011, none of the Registrant’s common membership interests were held by non-affiliates. As of June 30, 2011, LAZ-MD Holdings LLC held 6,905,208 common memberships interests of the Registrant, representing approximately 5.4% of the Registrant’s then outstanding common membership interests. As of January 31, 2012, LAZ-MD Holdings LLC held 6,756,779 common membership interests, or 5.2% of the Registrant’s then outstanding common membership interests. If LAZ-MD Holdings LLC is not deemed an “affiliate” of the Registrant, then as of June 30, 2011 there would have been 6,905,208 outstanding common membership interests of the Registrant held by non-affiliates, with a market value of $256,183,217 (assuming each common membership interest has a value equivalent to one share of Lazard Ltd Class A common stock and based on a closing price per share of $37.10 of Lazard Ltd Class A common stock on June 30, 2011).</w:t>
      </w:r>
    </w:p>
    <w:p>
      <w:pPr>
        <w:spacing w:after="0" w:line="53" w:lineRule="exact"/>
        <w:rPr>
          <w:sz w:val="24"/>
          <w:szCs w:val="24"/>
          <w:color w:val="auto"/>
        </w:rPr>
      </w:pPr>
    </w:p>
    <w:p>
      <w:pPr>
        <w:ind w:right="500" w:firstLine="342"/>
        <w:spacing w:after="0" w:line="268" w:lineRule="auto"/>
        <w:rPr>
          <w:sz w:val="20"/>
          <w:szCs w:val="20"/>
          <w:color w:val="auto"/>
        </w:rPr>
      </w:pPr>
      <w:r>
        <w:rPr>
          <w:rFonts w:ascii="Arial" w:cs="Arial" w:eastAsia="Arial" w:hAnsi="Arial"/>
          <w:sz w:val="18"/>
          <w:szCs w:val="18"/>
          <w:color w:val="auto"/>
        </w:rPr>
        <w:t>As of January 31, 2012, in addition to profit participation interests, there were 129,766,090 common membership interests and two managing member interests outstanding.</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28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PART I</w:t>
            </w:r>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2"/>
              </w:rPr>
              <w:t>Business</w:t>
            </w:r>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Executive Officers of the Registrant</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5"/>
              </w:rPr>
              <w:t>Risk Factors</w:t>
            </w:r>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7"/>
              </w:rPr>
              <w:t>Unresolved Staff Comments</w:t>
            </w:r>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Properties</w:t>
            </w: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5"/>
              </w:rPr>
              <w:t>Legal Proceedings</w:t>
            </w:r>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43"/>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auto"/>
              </w:rPr>
              <w:t>Mine Safety Disclosures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6"/>
        </w:trPr>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PART II</w:t>
            </w:r>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8"/>
              </w:rPr>
              <w:t>Market for Registrant’s Common Equity, Related Stockholder Matters and Issuer Purchases of Equity Securities</w:t>
            </w: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Selected Financial Data</w:t>
            </w: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8"/>
              </w:rPr>
              <w:t>Management’s Discussion and Analysis of Financial Condition and Results of Operations</w:t>
            </w:r>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Financial Statements and Supplementary Data</w:t>
            </w:r>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8"/>
              </w:rPr>
              <w:t>Changes in and Disagreements with Accountants on Accounting and Financial Disclosure</w:t>
            </w:r>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Controls and Procedures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sz w:val="20"/>
                <w:szCs w:val="20"/>
                <w:color w:val="auto"/>
              </w:rPr>
            </w:pPr>
            <w:r>
              <w:rPr>
                <w:rFonts w:ascii="Arial" w:cs="Arial" w:eastAsia="Arial" w:hAnsi="Arial"/>
                <w:sz w:val="18"/>
                <w:szCs w:val="18"/>
                <w:color w:val="0000EE"/>
              </w:rPr>
              <w:t>PART III</w:t>
            </w: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7"/>
              </w:rPr>
              <w:t>Executive Compensation</w:t>
            </w:r>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87"/>
              </w:rPr>
              <w:t>Certain Relationships and Related Transactions, and Director Independence</w:t>
            </w:r>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Principal Accountant Fees and Services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165</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PART IV</w:t>
            </w:r>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Exhibits and Financial Statement Schedule</w:t>
            </w:r>
            <w:r>
              <w:rPr>
                <w:rFonts w:ascii="Arial" w:cs="Arial" w:eastAsia="Arial" w:hAnsi="Arial"/>
                <w:sz w:val="18"/>
                <w:szCs w:val="18"/>
                <w:color w:val="000000"/>
              </w:rPr>
              <w: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12"/>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Arial" w:cs="Arial" w:eastAsia="Arial" w:hAnsi="Arial"/>
                <w:sz w:val="18"/>
                <w:szCs w:val="18"/>
                <w:color w:val="0000EE"/>
              </w:rPr>
              <w:t>Index to Financial Statements and Financial Statement Schedule Items 15(a)(1) and 15(a)(2)</w:t>
            </w:r>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sz w:val="20"/>
                <w:szCs w:val="20"/>
                <w:color w:val="auto"/>
              </w:rPr>
            </w:pPr>
            <w:r>
              <w:rPr>
                <w:rFonts w:ascii="Arial" w:cs="Arial" w:eastAsia="Arial" w:hAnsi="Arial"/>
                <w:sz w:val="18"/>
                <w:szCs w:val="18"/>
                <w:color w:val="0000EE"/>
              </w:rPr>
              <w:t>SIGNATURES</w:t>
            </w: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December 31, 2011 of approximately 94.8% of the common membership interests in Lazard Group. Lazard Ltd controls Lazard Group through two of its indirect wholly-owned subsidiaries who are co-managing members of Lazard Group.</w:t>
      </w:r>
    </w:p>
    <w:p>
      <w:pPr>
        <w:spacing w:after="0" w:line="13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(including certain executive officers).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8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 is a leading global independent advisor to corporations, governments, sovereigns, institutions and individual clients. We offer a wide array of financial advisory services regarding mergers and acquisitions (“M&amp;A”) and other strategic matters, restructurings, capital structure, capital raising and various other financial matters. We focus on solving our clients’ most complex problems,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continue to build our Financial Advisory business by fostering long-term, senior level relationships with existing and new clients as their independent advisor on strategic transactions.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execution.</w:t>
      </w:r>
    </w:p>
    <w:p>
      <w:pPr>
        <w:spacing w:after="0" w:line="13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years ended December 31, 2011, 2010 and 2009, the Financial Advisory segment net revenue totaled $992 million, $1.120 billion and $987 million, respectively, accounting for approximately 54%, 59% and 65%, respectively, of our consolidated net revenue for such years. We earned $1 million or more from 241 clients, 255 clients and 257 clients for the years ended December 31, 2011, 2010 and 2009, respectively. For the years ended December 31, 2011, 2010 and 2009, the ten largest fee paying clients constituted approximately 14%, 16% and 17% of our Financial Advisory segment net revenue, respectively, with no client individually having constituted more than 10% of segment net revenue during any of these years. For the years ended December 31, 2011, 2010 and 2009, the Financial Advisory segment reported operating income (loss) of $62 million, $169 million and $(12) million, respectively. Operating income in 2010 and 2009 included charges of approximately $20 million and $49 million, respectively, representing the portion of special items (as described in Management’s Discussion and Analysis of Financial Condition and Results of Operations) that are applicable to the Financial Advisory segment. Excluding the impact of such special items, our Financial Advisory segment had operating income of $189 million and $37 million in the years ended December 31, 2010 and 2009, respectively. At December 31, 2011, 2010 and 2009, the Financial Advisory segment had total assets of $768 million, $799 million and $707 million, respectively.</w:t>
      </w:r>
    </w:p>
    <w:p>
      <w:pPr>
        <w:spacing w:after="0" w:line="109"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We believe that we have been pioneers in offering financial advisory services on an international basis, with the establishment of our New York, Paris and London offices dating back to the nineteenth century. We maintain a major local presence in the U.S., the United Kingdom (the “U.K.”) and France, including a network of regional branch offices in the U.S. and France, as well a presence in Argentina, Australia, Belgium, Brazil, Chile, China, Colombia, Germany, India, Italy, Japan, the Netherlands, Panama, Peru, Saudi Arabia, Singapore, South Korea, Spain, Sweden, Switzerland, the United Arab Emirates, and Uruguay.</w:t>
      </w:r>
    </w:p>
    <w:p>
      <w:pPr>
        <w:spacing w:after="0" w:line="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Over the past several years, our Financial Advisory segment has made several business acquisitions and entered into certain other business relationships. In 2007 we acquired all of the outstanding ownership interests of Goldsmith, Agio, Helms &amp; Lynner, LLC (“GAHL”), a Minneapolis-based investment bank specializing in financial advisory services to mid-sized private companies, and Lazard Ltd acquired all of the outstanding shares of Carnegie, Wylie &amp; Company (Holdings) PTY LTD (“CWC”), an Australia-based financial advisory and private equity firm, now known as Lazard Holdings Pty Limited, and, along with the Company’s existing financial advisory business in Australia, referred to below as “Lazard Australia”, and concurrently sold such investment to Lazard Group, and we entered into a joint cooperation agreement with Raiffeisen Investment AG (“Raiffeisen”) for merger and acquisition advisory services in Russia and the Central and Eastern European (the “CEE”) region. The cooperation between us and Raiffeisen, one of the CEE region’s top M&amp;A advisors, provides domestic, international and cross-border expertise within Russia and the CEE region. In 2008, we acquired a 50% interest in Merchant Bankers Asociados (“MBA”), an Argentina-based financial advisory services firm with offices across Central and South America and the parent company of MBA Banco de Inversiones. In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w:t>
      </w:r>
    </w:p>
    <w:p>
      <w:pPr>
        <w:spacing w:after="0" w:line="111"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In addition to seeking business centered in the locations referred to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their entire company, our services include advising on the appropriate sales process for the situation, valuation issues, assisting in preparing an offering circular or other appropriate sales materials and rendering, if appropriate, fairness opinions. We also identify and contact selected qualified acquirors and assist in negotiating and closing the proposed sale. As appropriate, we also advise our clients regarding financial and strategic alternatives to a sale including recapitalizations, spin-offs, carve-outs and split-offs. Our advice includes recommendations with respect to the structure, timing and pricing of these alternatives.</w:t>
      </w:r>
    </w:p>
    <w:p>
      <w:pPr>
        <w:spacing w:after="0" w:line="10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and recommending financial and strategic alternatives, including providing advice on dividend policy.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originating public underwritings of equity, debt and convertible securities and originating and executing private placements of partnership and similar interests in alternative investment funds such as leveraged buyout, mezzanine or real estate focused funds.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Since the beginning of the financial crisis that began in mid-2007, we have been at the forefront of providing independent advice to governments and governmental agencies challenged by the current troubled environment. Lazard’s Sovereign Advisory Group is also highly active, advising a number of countries with respect to sovereign debt.</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May 10, 2005, Lazard Group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(“LFCM Holdings”), a Delaware limited liability company. We refer to these businesses, assets and liabilities as the “separated businesses” and these transfers collectively as the “separation.” In connection with the separation, we entered into a business alliance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agreement dated as of May 10, 2005 by and among Lazard Group, LAZ-MD Holdings LLC and LFCM Holdings (the “business alliance agreement”), pursuant to which a subsidiary of LFCM Holdings generally underwrites and distributes U.S. securities offerings originated by our Financial Advisory business in a manner intended to be similar to our practice prior to the separation, with revenue from such offerings generally continuing to be divided evenly between Lazard Group and LFCM Holdings.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staff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transaction execution services. Our managing directors have significant experience, and many of them are able to use this experience to advise on M&amp;A, financings, restructurings, capital structure and other transactions or financial matters, depending on our clients’ needs. Many of our managing directors and senior advisors come from diverse backgrounds, such as senior executive positions at corporations and in government, law and strategic consulting, which we believe enhances our ability to offer sophisticated advice and customized solutions to our clients. As of December 31, 2011, our Financial Advisory segment had 140 managing directors and 730 other professionals (which includes directors, vice presidents, associates and analysts).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3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and life sciences,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quality of the advice that we can offer, which improves our ability to market our capabilities to clients.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segment:</w:t>
      </w:r>
    </w:p>
    <w:p>
      <w:pPr>
        <w:spacing w:after="0" w:line="7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advisory,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raising for alternative investment funds,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investment in public equities, or “PIPES,”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finance and other advisory services, including convertible exchange transactions, registered direct offerings and private placements.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77" w:lineRule="exact"/>
        <w:rPr>
          <w:sz w:val="20"/>
          <w:szCs w:val="20"/>
          <w:color w:val="auto"/>
        </w:rPr>
      </w:pPr>
    </w:p>
    <w:p>
      <w:pPr>
        <w:ind w:left="780" w:right="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a significant investment in our intellectual capital with the addition of senior professionals who we believe have strong client relationships and industry expertise,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26" w:lineRule="exact"/>
        <w:rPr>
          <w:rFonts w:ascii="Arial" w:cs="Arial" w:eastAsia="Arial" w:hAnsi="Arial"/>
          <w:sz w:val="16"/>
          <w:szCs w:val="16"/>
          <w:color w:val="auto"/>
        </w:rPr>
      </w:pPr>
    </w:p>
    <w:p>
      <w:pPr>
        <w:ind w:left="780" w:right="6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new client relationships, including by leveraging the broad geographic footprint and strong relationships in our Asset Management business,</w:t>
      </w:r>
    </w:p>
    <w:p>
      <w:pPr>
        <w:spacing w:after="0" w:line="37"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Debt Advisory and Sovereign Advisory Groups, to help corporations and governments in addressing the significant deleveraging that is occurring in the developed markets,</w:t>
      </w:r>
    </w:p>
    <w:p>
      <w:pPr>
        <w:spacing w:after="0" w:line="45"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Restructuring, Capital Markets and other professionals, and</w:t>
      </w:r>
    </w:p>
    <w:p>
      <w:pPr>
        <w:spacing w:after="0" w:line="37" w:lineRule="exact"/>
        <w:rPr>
          <w:rFonts w:ascii="Arial" w:cs="Arial" w:eastAsia="Arial" w:hAnsi="Arial"/>
          <w:sz w:val="18"/>
          <w:szCs w:val="18"/>
          <w:color w:val="auto"/>
        </w:rPr>
      </w:pPr>
    </w:p>
    <w:p>
      <w:pPr>
        <w:ind w:left="780" w:right="120" w:hanging="326"/>
        <w:spacing w:after="0" w:line="255"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including, since the beginning of 2007, offices in Australia (Melbourne and Perth), Saudi Arabia (Riyadh), Switzerland (Zurich) and the United Arab Emirates (Dubai City), as well as new regional offices in the U.S. (Boston, Minneapolis, Charlotte and Washington DC), acquiring a 50% interest in a financial advisory firm with offices in Central and South America (Argentina, Chile, Colombia, Panama, Peru and Uruguay) and entering into a joint cooperation agreement in Eastern Europe and Russia, as well as a strategic alliance with a financial advisory firm in Mexico.</w:t>
      </w:r>
    </w:p>
    <w:p>
      <w:pPr>
        <w:spacing w:after="0" w:line="12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3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potential increase in cross-border M&amp;A and large capitalization M&amp;A, two of our areas of historical specialization.</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in recent years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since 2007, as described above, we have broadened our geographic footprint through acquisitions, investments and alliances.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Recapitalization and Relationship with Natixis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10, 2005, Lazard Ltd completed the equity public offering (the “equity public offering”) of its Class A common stock, the public offering of equity security units of Lazard Ltd, the private placements under an investment agreement with IXIS Corporate &amp; Investment Bank (“IXIS” or, following its merger with and into its parent, “Natixis”) and the private offering of the 7.125% senior notes due 2015 of Lazard Group, primarily to recapitalize Lazard Group. We refer to these 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Lazard Group and Natixis have in place a cooperation arrangement to place and underwrite securities in the French capital markets under a common brand, currently “Lazard-Natixis,” and cooperate in their respective origination, syndication, placement and other activities, whose term continues through July 8, 2012. This arrangement primarily covers French listed companies included in the Société des Bourses Francaises (“SBF”) 120 Index and initial public offerings with an expected resulting market capitalization of at least €500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Asset Management business provides investment management and advisory services to institutional clients, financial intermediaries, private clients and investment vehicles around the world.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the trade-off between a company’s valuation and its financial productivity.</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2011, total assets under management (“AUM”) were $141 billion, of which approximately 83% was invested in equities, 12% in fixed income, 4% in alternative investments and 1% in private equity funds. As of the same date, approximately 29% of our AUM was invested in international (</w:t>
      </w:r>
      <w:r>
        <w:rPr>
          <w:rFonts w:ascii="Arial" w:cs="Arial" w:eastAsia="Arial" w:hAnsi="Arial"/>
          <w:sz w:val="16"/>
          <w:szCs w:val="16"/>
          <w:i w:val="1"/>
          <w:iCs w:val="1"/>
          <w:color w:val="auto"/>
        </w:rPr>
        <w:t>i.e.</w:t>
      </w:r>
      <w:r>
        <w:rPr>
          <w:rFonts w:ascii="Arial" w:cs="Arial" w:eastAsia="Arial" w:hAnsi="Arial"/>
          <w:sz w:val="16"/>
          <w:szCs w:val="16"/>
          <w:color w:val="auto"/>
        </w:rPr>
        <w:t>, non-U.S. and regional non-U.S.) investment strategies, 50% was invested in global investment strategies and 21% was invested in U.S. investment strategies, and our top ten clients accounted for 22% of our total AUM. Approximately 90% of our AUM as of that date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high-net worth individuals.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2011,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4905375" cy="142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537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For the years ended December 31, 2011, 2010 and 2009, our Asset Management segment net revenue totaled $897 million, $850 million and $602 million, respectively, accounting for approximately 49%, 45% and 39% respectively, of our consolidated net revenue for such years. For the years ended December 31, 2011, 2010 and 2009, Asset Management reported operating income of $268 million, $265 million and $97 million, respectively. Operating income in 2010 and 2009 included charges of $3 million and $8 million, respectively, representing the portion of the special items (as described in Management’s Discussion and Analysis of Financial Condition and Results of Operations) that are applicable to the Asset Management segment. Excluding the impact of such special items, our Asset Management segment had operating income of $268 million and $105 million in the years ended December 31, 2010 and 2009, respectively. At December 31, 2011, 2010 and 2009, our Asset Management segment had total assets of $584 million, $687 million and $703 million, respectively.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largest Asset Management businesses are Lazard Asset Management LLC and its subsidiaries (“LAM”), with offices in New York, San Francisco, Boston, Chicago, Toronto, Montreal, London, Milan, Frankfurt, Hamburg, Tokyo, Hong Kong, Sydney, Seoul, Zurich and Manama (aggregating approximately $127 billion in total AUM as of December 31, 2011), and Lazard Frères Gestion SAS (“LFG”), with offices in Paris, Bordeaux, Brussels and Lyon (aggregating approximately $13 billion in total AUM as of December 31, 2011). These operations, with 63 managing directors and 327 professionals as of December 31, 2011, provide our business with both a global presence and a local identity.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7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03"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broad-based team of 259 investment professionals as of December 31, 2011 (LAM, with 228 investment professionals, including 88 focused, in-house investment analysts across all products and platforms, many of whom have substantial industry or sector specific expertise, and LFG, with 31 investment professionals, including research analysts),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security selection-based investment philosophy applied across products,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3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the trade-off between returns and valuations,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85"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3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analytical framework analysis and screening,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validation,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85" w:lineRule="exact"/>
        <w:rPr>
          <w:sz w:val="20"/>
          <w:szCs w:val="20"/>
          <w:color w:val="auto"/>
        </w:rPr>
      </w:pPr>
    </w:p>
    <w:p>
      <w:pPr>
        <w:ind w:right="460" w:firstLine="456"/>
        <w:spacing w:after="0" w:line="325"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Equities</w:t>
            </w:r>
          </w:p>
        </w:tc>
        <w:tc>
          <w:tcPr>
            <w:tcW w:w="16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201"/>
        </w:trPr>
        <w:tc>
          <w:tcPr>
            <w:tcW w:w="2040" w:type="dxa"/>
            <w:vAlign w:val="bottom"/>
            <w:vMerge w:val="continue"/>
          </w:tcPr>
          <w:p>
            <w:pPr>
              <w:spacing w:after="0"/>
              <w:rPr>
                <w:sz w:val="17"/>
                <w:szCs w:val="17"/>
                <w:color w:val="auto"/>
              </w:rPr>
            </w:pPr>
          </w:p>
        </w:tc>
        <w:tc>
          <w:tcPr>
            <w:tcW w:w="1600" w:type="dxa"/>
            <w:vAlign w:val="bottom"/>
          </w:tcPr>
          <w:p>
            <w:pPr>
              <w:ind w:left="260"/>
              <w:spacing w:after="0" w:line="201" w:lineRule="exact"/>
              <w:rPr>
                <w:sz w:val="20"/>
                <w:szCs w:val="20"/>
                <w:color w:val="auto"/>
              </w:rPr>
            </w:pPr>
            <w:r>
              <w:rPr>
                <w:rFonts w:ascii="Arial" w:cs="Arial" w:eastAsia="Arial" w:hAnsi="Arial"/>
                <w:sz w:val="18"/>
                <w:szCs w:val="18"/>
                <w:b w:val="1"/>
                <w:bCs w:val="1"/>
                <w:i w:val="1"/>
                <w:iCs w:val="1"/>
                <w:color w:val="auto"/>
              </w:rPr>
              <w:t>Global</w:t>
            </w: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Thematic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Convertibles**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Listed Infrastructure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89"/>
              </w:rPr>
              <w:t>Emerging Markets Small</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480"/>
              <w:spacing w:after="0"/>
              <w:rPr>
                <w:sz w:val="20"/>
                <w:szCs w:val="20"/>
                <w:color w:val="auto"/>
              </w:rPr>
            </w:pPr>
            <w:r>
              <w:rPr>
                <w:rFonts w:ascii="Arial" w:cs="Arial" w:eastAsia="Arial" w:hAnsi="Arial"/>
                <w:sz w:val="18"/>
                <w:szCs w:val="18"/>
                <w:color w:val="auto"/>
              </w:rPr>
              <w:t>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Latin American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Trend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Real Estate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Multi Strategies</w:t>
            </w: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EAFE (Non-U.S.)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Multi-Capitalization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Real Estate</w:t>
            </w: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Global Ex</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Ex-U.K.</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Ex-Japan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Ex-Australia</w:t>
            </w:r>
          </w:p>
        </w:tc>
        <w:tc>
          <w:tcPr>
            <w:tcW w:w="0" w:type="dxa"/>
            <w:vAlign w:val="bottom"/>
          </w:tcPr>
          <w:p>
            <w:pPr>
              <w:spacing w:after="0"/>
              <w:rPr>
                <w:sz w:val="1"/>
                <w:szCs w:val="1"/>
                <w:color w:val="auto"/>
              </w:rPr>
            </w:pPr>
          </w:p>
        </w:tc>
      </w:tr>
      <w:tr>
        <w:trPr>
          <w:trHeight w:val="285"/>
        </w:trPr>
        <w:tc>
          <w:tcPr>
            <w:tcW w:w="2040" w:type="dxa"/>
            <w:vAlign w:val="bottom"/>
          </w:tcPr>
          <w:p>
            <w:pPr>
              <w:spacing w:after="0"/>
              <w:rPr>
                <w:sz w:val="20"/>
                <w:szCs w:val="20"/>
                <w:color w:val="auto"/>
              </w:rPr>
            </w:pPr>
            <w:r>
              <w:rPr>
                <w:rFonts w:ascii="Arial" w:cs="Arial" w:eastAsia="Arial" w:hAnsi="Arial"/>
                <w:sz w:val="18"/>
                <w:szCs w:val="18"/>
                <w:b w:val="1"/>
                <w:bCs w:val="1"/>
                <w:color w:val="auto"/>
              </w:rPr>
              <w:t>Fixed Income and Cash</w:t>
            </w: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Global</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Core Fixed Income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High Yield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Short Duration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480"/>
              <w:spacing w:after="0"/>
              <w:rPr>
                <w:sz w:val="20"/>
                <w:szCs w:val="20"/>
                <w:color w:val="auto"/>
              </w:rPr>
            </w:pPr>
            <w:r>
              <w:rPr>
                <w:rFonts w:ascii="Arial" w:cs="Arial" w:eastAsia="Arial" w:hAnsi="Arial"/>
                <w:sz w:val="18"/>
                <w:szCs w:val="18"/>
                <w:color w:val="auto"/>
              </w:rPr>
              <w:t>Fixed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Alternative</w:t>
      </w:r>
      <w:r>
        <w:rPr>
          <w:sz w:val="20"/>
          <w:szCs w:val="20"/>
          <w:color w:val="auto"/>
        </w:rPr>
        <w:tab/>
      </w:r>
      <w:r>
        <w:rPr>
          <w:rFonts w:ascii="Arial" w:cs="Arial" w:eastAsia="Arial" w:hAnsi="Arial"/>
          <w:sz w:val="18"/>
          <w:szCs w:val="18"/>
          <w:b w:val="1"/>
          <w:bCs w:val="1"/>
          <w:i w:val="1"/>
          <w:iCs w:val="1"/>
          <w:color w:val="auto"/>
        </w:rPr>
        <w:t>Global</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Fund of Hedge Funds</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Fund of Closed-End Funds</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(Long and Long/Short)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Convertible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Arbitrage/Relative Value</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Emerging Income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060"/>
        <w:spacing w:after="0"/>
        <w:rPr>
          <w:sz w:val="20"/>
          <w:szCs w:val="20"/>
          <w:color w:val="auto"/>
        </w:rPr>
      </w:pPr>
      <w:r>
        <w:rPr>
          <w:rFonts w:ascii="Arial" w:cs="Arial" w:eastAsia="Arial" w:hAnsi="Arial"/>
          <w:sz w:val="14"/>
          <w:szCs w:val="14"/>
          <w:b w:val="1"/>
          <w:bCs w:val="1"/>
          <w:u w:val="single" w:color="auto"/>
          <w:color w:val="auto"/>
        </w:rPr>
        <w:t>Regional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Continental European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Small Cap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 Cap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Eurozone (</w:t>
      </w:r>
      <w:r>
        <w:rPr>
          <w:rFonts w:ascii="Arial" w:cs="Arial" w:eastAsia="Arial" w:hAnsi="Arial"/>
          <w:sz w:val="16"/>
          <w:szCs w:val="16"/>
          <w:i w:val="1"/>
          <w:iCs w:val="1"/>
          <w:color w:val="auto"/>
        </w:rPr>
        <w:t>i.e</w:t>
      </w:r>
      <w:r>
        <w:rPr>
          <w:rFonts w:ascii="Arial" w:cs="Arial" w:eastAsia="Arial" w:hAnsi="Arial"/>
          <w:sz w:val="16"/>
          <w:szCs w:val="16"/>
          <w:color w:val="auto"/>
        </w:rPr>
        <w:t>., Euro Bloc)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Euro-Trend (Thematic)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Duration Overlay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European Explorer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(Long/Short)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 (Long/Short)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4"/>
          <w:szCs w:val="14"/>
          <w:b w:val="1"/>
          <w:bCs w:val="1"/>
          <w:u w:val="single" w:color="auto"/>
          <w:color w:val="auto"/>
        </w:rPr>
        <w:t>Domestic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Quantitative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France (Large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 (Small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 Duration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Fixed Income</w:t>
      </w:r>
    </w:p>
    <w:p>
      <w:pPr>
        <w:spacing w:after="0" w:line="1974" w:lineRule="exact"/>
        <w:rPr>
          <w:sz w:val="20"/>
          <w:szCs w:val="20"/>
          <w:color w:val="auto"/>
        </w:rPr>
      </w:pPr>
    </w:p>
    <w:p>
      <w:pPr>
        <w:sectPr>
          <w:pgSz w:w="11900" w:h="16838" w:orient="portrait"/>
          <w:cols w:equalWidth="0" w:num="3">
            <w:col w:w="5140" w:space="720"/>
            <w:col w:w="2120" w:space="720"/>
            <w:col w:w="2700"/>
          </w:cols>
          <w:pgMar w:left="240" w:top="459" w:right="259" w:bottom="144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Distribution</w:t>
      </w:r>
      <w:r>
        <w:rPr>
          <w:rFonts w:ascii="Arial" w:cs="Arial" w:eastAsia="Arial" w:hAnsi="Arial"/>
          <w:sz w:val="16"/>
          <w:szCs w:val="16"/>
          <w:color w:val="auto"/>
        </w:rPr>
        <w:t>. We distribute our products through a broad array of marketing channels on a global basis. LAM’s marketing, sales and client service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are organized through a global market delivery and service network, with distribution professionals located in cities including New York, Boston, Chicago, San Francisco, Tampa, London, Milan, Montreal, Toronto, Frankfurt, Hamburg, Zurich, Tokyo, Sydney, Hong Kong, Manama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Seoul. We have developed a well-established presence in the institutional asset management arena, managing money for corporations, labor unions, sovereign wealth funds and public pension funds around the world. In addition, we manage assets for insurance companies, savings and trust banks, endowments, foundations and charities.</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also have become a leading firm in third-party distribution, managing mutual funds and separately managed accounts for many of the world’s largest broker-dealers, insurance companies, registered advisors and other financial intermediaries. In the area of wealth management, we cater to family offices and private clients.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LFG markets and distributes its products through 28 sales professionals based in France, who directly target both individual and institutional investors.</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June 2009, the Company formed a new wealth management subsidiary, Lazard Wealth Management LLC (“Lazard Wealth Management U.S.”). Lazard Wealth Management U.S. provides customized investment management and financial planning services to high net worth individuals and works with investors to construct, implement and monitor an asset allocation strategy designed to meet the individual client’s investment objectives, integrating tax planning, estate planning, philanthropic interests and legacy planning with investment and risk management services. Lazard Wealth Management U.S. is registered as an investment advisor with the United States Securities and Exchange Commission (the “SEC”). In addition, in December 2011, the Company’s recently formed subsidiary, Lazard Wealth Management Europe S.à.r.l., (“Lazard Wealth Management Europe”), acquired BSI Spain Wealth and Asset Management, S.A. (referred to below as “Lazard Wealth Management Spain”), from BSI, S.A., a unit of Assicurazioni Gernerali S.p.A., as a platform from which to build a wealth management business and presence in Spain. Lazard Wealth Management Spain, through its two subsidiaries, which are regulated by the Comisión Nacional del Mercado de Valores, will provide high net worth clients with a full range of wealth management services. Lazard Wealth Management U.S. and Lazard Wealth Management Europe are collectively referred to as “Lazard Wealth Management”. As of December 31, 2011, Lazard Wealth Management had 7 managing directors and 6 professionals.”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4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26"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leveraging the broad geographic footprint and strong client relationships in our Financial Advisory business,</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our product platform, including the addition of a new emerging markets debt team, a global equity team and a global real estate investment team,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continued to expand the geographic reach of our Asset Management business, including through opening offices in Hong Kong and Bahrain.</w:t>
      </w:r>
    </w:p>
    <w:p>
      <w:pPr>
        <w:spacing w:after="0" w:line="20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In this regard, in September 2011, LAM acquired the assets of Grubb &amp; Ellis Alesco Global Advisors, LLC (“Alesco”). Alesco is an investment advisor located in San Mateo, California, focusing on real estate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securities and managing three registered mutual funds. We also believe that our specific investment strategies, global reach, unique brand identity and access to multiple distribution channels may allow us to expand into new investment products, strategies and geographic locations. In addition, we plan to expand our participation in alternative investment activities through investments in new and successor funds, through organic growth, acquisitions or otherwise.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Lazard has a long history of making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9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Since 2005, consistent with our obligations to LFCM Holdings, we have engaged in a number of alternative investments and private equity activities. In February 2009 the business alliance agreement with LFCM Holdings was amended to remove certain restrictions on the Company engaging in private equity businesses in North America and to reduce the price of our option to acquire the fund management activities of Lazard Alternative Investments Holdings LLC (“LAI”) in North America.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As of December 31, 2011, Edgewater employed 10 professionals and had approximately $1 billion of AUM and unfunded fee-earning commitments. Lazard Australia operates our private equity business in Australia, which, as of December 31, 2011, employed 6 professionals and had approximately $350 million of AUM and unfunded fee-earning commitments.</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LFCM Holdings operates the alternative investment business (including private equity activities) transferred to it in the separation. Pursuant to the business alliance agreement with LFCM Holdings, we are entitled to receive all or a portion of the payments from incentive distributions attributable to capital that we have invested in funds managed or formed by LAI (net of compensation payable to investment professionals who manage these funds). In addition, pursuant to the business alliance agreement, we retained an option to acquire the North American and European fund management activities of LAI and have the right to participate in the oversight of LFCM Holdings’ funds and to consent to certain actions. On December 15, 2009, Lazard Group exercised its option to acquire the European fund management activities of LAI. While the remaining option to purchase the North American fund management activities is currently exercisable at any time prior to May 10, 2014, during the fourth quarter of 2011, the Company determined that it was unlikely to exercise such option (see Note 20 of Notes to Consolidated Financial Statements).</w:t>
      </w:r>
    </w:p>
    <w:p>
      <w:pPr>
        <w:spacing w:after="0" w:line="10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will continue to abide by our obligations with respect to transferred funds. Also, consistent with our obligations to LFCM Holdings, we may explore discrete capital markets opportunities. See Note 20 of Notes to Consolidated Financial Statements for additional information regarding alternative investments, including certain matters with respect to Corporate Partners II Limited (“CP II”).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2011, we employed 2,511 people, which included 140 managing directors and 730 other professionals in our Financial Advisory segment and 71 managing directors and 349 other professionals in our Asset Management segment. We strive to maintain a work environment that fosters professionalism, excellence, diversity and cooperation among our employees worldwide. We generally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our competitors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While our competitors vary by country in our Mergers and Acquisitions practice, we believe our primary competitors in securing M&amp;A advisory engagements are Bank of America Merrill Lynch, Barclays, Citigroup, Credit Suisse, Deutsche Bank AG, Evercore Partners, Goldman Sachs &amp; Co., Greenhill &amp; Co., JPMorgan Chase, Mediobanca, Morgan Stanley, Rothschild and UBS. In our Restructuring practice, our primary competitors are The Blackstone Group, Evercore Partners, Greenhill &amp; Co., Houlihan Lokey, Miller Buckfire, Moelis &amp; Company and Rothschild.</w:t>
      </w:r>
    </w:p>
    <w:p>
      <w:pPr>
        <w:spacing w:after="0" w:line="9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believe that our primary global competitors in our Asset Management business include, in the case of LAM, Aberdeen and Schroders, Alliance Bernstein, Capital Management &amp; Research, Fidelity, Franklin Templeton, Invesco, JP Morgan Asset Management, Lord Abbett and Mondrian Investment Partners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02"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Competition is also intense in each of our businesses for the attraction and retention of qualified employees, and we compete on the level and nature of compensation and equity-based incentives for key employees. Our ability to continue to compete effectively in our businesses will depend upon our ability to attract new employees and retain and motivate our existing employees.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bank holding companies or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requirements and customer protection rules. In the U.S., certain of our subsidiaries are subject to such regulations promulgated by the SEC or Financial Industry Regulatory Authority (“FINRA”) (formerly the NASD)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0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particularly in light of the extraordinary disruption and volatility in the global financial markets experienced in recent years. The effect of any such changes cannot be predicted and may impact the manner of operation and profitability of our company.</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effectively every aspect of the securities business, including minimum capital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new registration category that includes placement agents that solicit investments from public pension funds on behalf of investments funds. The MSRB has adopted, and is in the process of adopting, additional rules to govern municipal advisors, including “pay-to-play” rules and rules regarding professional standards, and LFNY is subject to those rules.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0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Services Authority. We also have other subsidiaries that are registered as broker-dealers (or have similar non-U.S. registration in various jurisdictions).</w:t>
      </w:r>
    </w:p>
    <w:p>
      <w:pPr>
        <w:spacing w:after="0" w:line="9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for its banking activities conducted through its subsidiary, our Paris-based banking affiliate, Lazard Frères Banque SA (“LFB”). In addition, the investment services activities of the Paris group, exercised through LFB and other subsidiaries of CFLF, primarily LFG (asset management), are subject to regulation and supervision by the Autorité des Marchés Financiers.</w:t>
      </w:r>
    </w:p>
    <w:p>
      <w:pPr>
        <w:spacing w:after="0" w:line="99"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business is also subject to regulation by non-U.S. governmental and regulatory bodies and self-regulatory authorities in other countries where we operate.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registered investment advisors, each is subject to the requirements of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the underwriter or distributor for mutual funds and hedge funds managed by LAM, and as an introducing broker to Lazard Capital Markets LLC for unmanaged accounts of LAM’s private clients.</w:t>
      </w:r>
    </w:p>
    <w:p>
      <w:pPr>
        <w:spacing w:after="0" w:line="10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the Japanese Ministry of Finance and the Financial Supervisory Agency, the Korean Financial Supervisory Commission, the Australian Securities &amp; Investments Commission and German banking authorities, among others, regulate various of our operating entities and also have capital standards and other requirements comparable to the rules of the SEC.</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Regulators are empowered to conduct administrative proceedings that can result in censure, fine, the issuance of cease-and-desist orders or the suspension or expulsion or other disciplining of a broker-dealer or its directors, officers or employees.</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Lazard Ltd is required to be supervised by another regulatory body, either in the U.S. or the European Union. The Dodd-Frank Act allows certain securities holding companies seeking consolidated supervision, including Lazard Ltd, to elect to be supervised by the Board of Governors of the Federal Reserve. Lazard Ltd anticipates that the Board of Governors of the Federal Reserve will adopt regulations pursuant to Section 618 of the Dodd-Frank Act in the near future for companies that seek to come under its consolidated supervision. Once it analyzes the final scope of such regulations, Lazard Ltd will determine whether it will elect to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 See “Risk Factors—Other Business Risks—Extensive regulation of our businesses limits our activities and results in ongoing exposure to the potential for significant penalties, including fines or limitations on our ability to conduct our businesses.”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Over the last several years, global financial markets experienced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22, 2012, all of whom have been appointed by, and serve at the pleasure of,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53</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52</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Bucaille has served as Chief Financial Officer of Lazard Ltd and Lazard Group since April 1, 2011. Mr. Bucaille has served as a Managing Director of Lazard since 1998 and as the Deputy Chief Executive Officer of LFB in Paris since October 2009. Mr. Bucaille joined Lazard in 1989 from the First Boston Corporation in New York.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51</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49</w:t>
      </w:r>
    </w:p>
    <w:p>
      <w:pPr>
        <w:spacing w:after="0" w:line="8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Mr. Hoffman has served as General Counsel of Lazard Ltd since May 2005. Mr. Hoffman has served as a Managing Director of Lazard Group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45</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Mr. Stern has served as Chief Operating Officer of Lazard Ltd and Lazard Group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Lazard Group files current, annual and quarterly reports, proxy statements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proxy statements and other information can also be inspected at the offices of the New York Stock Exchange, Inc., 20 Broad Street, New York, New York 10005, U.S.A.</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public internet 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internet 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internet site,</w:t>
      </w:r>
      <w:r>
        <w:rPr>
          <w:rFonts w:ascii="Arial" w:cs="Arial" w:eastAsia="Arial" w:hAnsi="Arial"/>
          <w:sz w:val="16"/>
          <w:szCs w:val="16"/>
          <w:i w:val="1"/>
          <w:iCs w:val="1"/>
          <w:color w:val="auto"/>
        </w:rPr>
        <w:t xml:space="preserve"> </w:t>
      </w:r>
      <w:r>
        <w:rPr>
          <w:rFonts w:ascii="Arial" w:cs="Arial" w:eastAsia="Arial" w:hAnsi="Arial"/>
          <w:sz w:val="16"/>
          <w:szCs w:val="16"/>
          <w:color w:val="auto"/>
        </w:rPr>
        <w:t>our annual reports on Form 10-K, quarterly reports on Form 10-Q, current reports on Form 8-K and any amendments to those reports filed or furnished pursuant to the Exchange Act as soon as reasonably practicable after we electronically file such material with, or furnish it to, the SEC. Also posted on our website, and available in print upon request of any shareholder to the Investor Relations Department, are charters for Lazard Ltd’s Audit Committee, Compensation Committee and Nominating &amp; Governance Committee. Copies of these charters and Lazard Ltd’s Corporate Governance Guidelines and Code of Business Conduct and Ethics governing our directors, officers and employees are also posted on our website in the “Corporate Governance” section.</w:t>
      </w:r>
    </w:p>
    <w:p>
      <w:pPr>
        <w:spacing w:after="0" w:line="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material risks of which we are aware. If any of the events or developments described below actually occurred, our business, financial condition or results of operations would likely suffer.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77" w:lineRule="exact"/>
        <w:rPr>
          <w:sz w:val="20"/>
          <w:szCs w:val="20"/>
          <w:color w:val="auto"/>
        </w:rPr>
      </w:pPr>
    </w:p>
    <w:p>
      <w:pPr>
        <w:ind w:right="40" w:firstLine="456"/>
        <w:spacing w:after="0" w:line="329" w:lineRule="auto"/>
        <w:rPr>
          <w:sz w:val="20"/>
          <w:szCs w:val="20"/>
          <w:color w:val="auto"/>
        </w:rPr>
      </w:pPr>
      <w:r>
        <w:rPr>
          <w:rFonts w:ascii="Arial" w:cs="Arial" w:eastAsia="Arial" w:hAnsi="Arial"/>
          <w:sz w:val="16"/>
          <w:szCs w:val="16"/>
          <w:b w:val="1"/>
          <w:bCs w:val="1"/>
          <w:color w:val="auto"/>
        </w:rPr>
        <w:t>In recent years, the U.S. and global capital markets and the economy experienced periods of significant deterioration and volatility, which has had negative repercussions on the global economy, and any continued deterioration and volatility could present challenges for our business.</w:t>
      </w:r>
    </w:p>
    <w:p>
      <w:pPr>
        <w:spacing w:after="0" w:line="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recent years, certain adverse financial developments have impacted the U.S. and global capital markets. These developments included a general slowing of economic growth both in the U.S. and globally, periods of substantial volatility in equity securities markets and volatility and tightening of liquidity in credit markets. In addition, concerns over high unemployment levels, declining business and consumer confidence, volatile energy costs, geopolitical issues and a weak real estate market in the U.S. and elsewhere have contributed to increased volatility and diminished expectations for the economy and the markets going forward. Significant levels of volatility in the equity securities markets and credit markets continue at the present time. In addition, investor concerns about the financial health of certain European countries and financial institutions caused market disruptions in 2010 and 2011 and may continue to cause disruption in future periods. If significant levels of market disruption and volatility continue, or if current conditions materially worsen, our business may be adversely affected, which may have a material impact on our business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The full extent of the effects of governmental economic and regulatory involvement in the wake of disruption and volatility in global financial markets remains uncertain.</w:t>
      </w:r>
    </w:p>
    <w:p>
      <w:pPr>
        <w:spacing w:after="0" w:line="3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result of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 (including the Dodd-Frank Act) effected in connection with, and as a result of, such extraordinary disruption and volatility is uncertain, both as to the financial capital markets and participants in general, and as to us in particular.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The level of soundness of third parties, including our clients, as well as financial, governmental and other institutions, could adversely affect us.</w:t>
      </w:r>
    </w:p>
    <w:p>
      <w:pPr>
        <w:spacing w:after="0" w:line="11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77" w:lineRule="exact"/>
        <w:rPr>
          <w:sz w:val="20"/>
          <w:szCs w:val="20"/>
          <w:color w:val="auto"/>
        </w:rPr>
      </w:pPr>
    </w:p>
    <w:p>
      <w:pPr>
        <w:jc w:val="both"/>
        <w:ind w:right="2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people are our most important resource. We must retain the services of our managing directors and other key professional employees, and strategically recruit and hire new talented employees, to obtain and successfully execute the advisory and asset management engagements that generate substantially all our revenue.</w:t>
      </w:r>
    </w:p>
    <w:p>
      <w:pPr>
        <w:spacing w:after="0" w:line="12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Lazard Group has experienced several significant events in recent years. In general, our industry continues to experience change and exerts competitive pressures for retaining top talent, which makes it more difficult for us to retain professionals. If any of our managing directors and other key professional employees were to join an existing competitor, form a competing company or otherwise leave us, some of our clients could choose to use the services of that competitor or some other competitor instead of our services.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Certain changes to our employee compensation arrangements, such as changes to the composition between cash and deferred compensation, may result in increased compensation and benefits expense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08"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scale back other costs within a timeframe sufficient to offset any decreases in revenue relating to changes in market and economic conditions. The future market and economic climate may deteriorate because of many factors, including possible increases in interest rates, inflation, corporate or sovereign defaults, terrorism or political uncertainty.</w:t>
      </w:r>
    </w:p>
    <w:p>
      <w:pPr>
        <w:spacing w:after="0" w:line="105"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slowdown, we typically have seen that our Restructuring practice has been more active and our Mergers and Acquisitions practice has been less active. As a result, our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9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or in specific geographic markets or sectors that constitute a significant portion of our AUM (</w:t>
      </w:r>
      <w:r>
        <w:rPr>
          <w:rFonts w:ascii="Arial" w:cs="Arial" w:eastAsia="Arial" w:hAnsi="Arial"/>
          <w:sz w:val="16"/>
          <w:szCs w:val="16"/>
          <w:i w:val="1"/>
          <w:iCs w:val="1"/>
          <w:color w:val="auto"/>
        </w:rPr>
        <w:t>e.g.</w:t>
      </w:r>
      <w:r>
        <w:rPr>
          <w:rFonts w:ascii="Arial" w:cs="Arial" w:eastAsia="Arial" w:hAnsi="Arial"/>
          <w:sz w:val="16"/>
          <w:szCs w:val="16"/>
          <w:color w:val="auto"/>
        </w:rPr>
        <w:t>, our emerging markets strategies), would be expected to cause our revenue and income to decline by causing:</w:t>
      </w:r>
    </w:p>
    <w:p>
      <w:pPr>
        <w:spacing w:after="0" w:line="18"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103" w:lineRule="exact"/>
        <w:rPr>
          <w:rFonts w:ascii="Arial" w:cs="Arial" w:eastAsia="Arial" w:hAnsi="Arial"/>
          <w:sz w:val="18"/>
          <w:szCs w:val="18"/>
          <w:color w:val="auto"/>
        </w:rPr>
      </w:pPr>
    </w:p>
    <w:p>
      <w:pPr>
        <w:ind w:left="780" w:right="780" w:hanging="326"/>
        <w:spacing w:after="0" w:line="325"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1"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our Asset Management revenue declines without a commensurate reduction in our expenses, our net income would be reduced. In addition, in the event of a market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A majority of our revenue is derived from Financial Advisory fees, which are not long-term contracted sources of revenue and are subject to intense competition, and declines in our Financial Advisory engagements could have a material adverse effect on our financial condition and results of operations.</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2011, Financial Advisory services accounted for approximately 54%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as a result of the sale or merger of a client, a change in a client’s senior management, competition from other financial advisors and financial institutions and other causes. As a result, our engagements with clients are constantly changing and our Financial Advisory fees could decline quickly due to the factors discussed above.</w:t>
      </w:r>
    </w:p>
    <w:p>
      <w:pPr>
        <w:spacing w:after="0" w:line="96"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There will not be a consistent pattern in our financial results from period to period, which may make it difficult for us to achieve steady earnings growth on a quarterly basis.</w:t>
      </w:r>
    </w:p>
    <w:p>
      <w:pPr>
        <w:spacing w:after="0" w:line="11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experience significant fluctuations in quarterly revenue and profits. These fluctuations generally can be attributed to the fact that we earn a significant portion of our Financial Advisory revenue upon the successful completion of a transaction or a restructuring, the timing of which is uncertain and is not subject to our control. In addition, our Asset Management revenue is particularly sensitive to fluctuations in our AUM. Asset Management fees are often based on AUM as of the end of a quarter or month. As a result, a reduction in assets at the end of a quarter or month (as a result of market depreciation, withdrawals or otherwise) will result in a decrease in management fees. Similarly, timing of flows, contributions and withdrawals are often out of our control and may be inconsistent from quarter to quarter. As a result of quarterly fluctuations, it may be difficult for us to achieve steady earnings growth on a quarterly basis.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many cases, we are paid for advisory engagements only upon the successful consummation of the underlying transaction or restructuring. As a result, our Financial Advisory business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of directors or stockholder approval,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materially adversely affect our business, financial condition or results of operations. For more information, see “Management’s Discussion and Analysis of Financial Condition and Results of Operations.”</w:t>
      </w:r>
    </w:p>
    <w:p>
      <w:pPr>
        <w:spacing w:after="0" w:line="108"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practice’s revenue could suffer.</w:t>
      </w:r>
    </w:p>
    <w:p>
      <w:pPr>
        <w:spacing w:after="0" w:line="11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provide various restructuring and restructuring-related advice to companies in financial distress or to their creditors or other stakeholders. Historically, the fees from restructuring related services have been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121"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70" w:lineRule="exact"/>
        <w:rPr>
          <w:sz w:val="20"/>
          <w:szCs w:val="20"/>
          <w:color w:val="auto"/>
        </w:rPr>
      </w:pPr>
    </w:p>
    <w:p>
      <w:pPr>
        <w:ind w:left="780" w:right="50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37"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20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suffer an adverse effect on our financial position. Loss of key employees may occur due to perceived opportunity for promotion, increased compensation, work environment or other individual reasons, some of which may be beyond our control.</w:t>
      </w:r>
    </w:p>
    <w:p>
      <w:pPr>
        <w:spacing w:after="0" w:line="12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Our investment style in our Asset Management business may underperform other investment approaches, which may result in significant client or asset departures, or a reduction in AUM.</w:t>
      </w:r>
    </w:p>
    <w:p>
      <w:pPr>
        <w:spacing w:after="0" w:line="11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Even when securities prices are rising generally, performance can be affected by investment style. Many of the equity investment strategies in our Asset Management business share a common investment orientation towards fundamental security selection. We believe this style tends to outperform the market in some market environments and underperform it in others. In particular, a prolonged growth environment may cause certain investment strategies to go out of favor with some clients, advisors, consultants or third-party intermediaries.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01"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11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96"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25"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25"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Our historical investment activities involve increased levels of investments in relatively high-risk, illiquid assets, and we may lose some or all of the principal amount that we invest in these activities or fail to realize any profits from these activities for a considerable period of time.</w:t>
      </w:r>
    </w:p>
    <w:p>
      <w:pPr>
        <w:spacing w:after="0" w:line="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July 2009, the Company established a private equity business with Edgewater. We may expand our participation in alternative investment activities through investments in new and successor funds, including funds managed by Lazard Australia.</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revenue from this business is derived primarily from management fees, which are calculated as a percentage of committed capital or invested capital depending on the stage of each respective fund, transaction and advisory fees and incentive fees, which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we have made, and in the future may make, principal investments in public or private companies or in alternative investments (including private equity funds and special purpose acquisition companies) established by us or by LFCM Holdings, and continue to hold principal investments directly or through several funds managed by LFCM Holdings, Edgewater and Lazard Australia.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our allocable share of any such gains or losses will affect our revenue,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market fluctuations related to positions held in our investment portfolios.</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invest capital in various types of equity and debt securities in order to seed LAM equity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the hedge may not be effective or the investments may not be able to be hedged. These investments are adjusted for accounting purposes to fair value at the end of each quarter regardless of our intended holding period, with such gains or losses reflected in revenue, and therefore may increase the volatility of our earnings, even though such gains or losses may not be realized.</w:t>
      </w:r>
    </w:p>
    <w:p>
      <w:pPr>
        <w:spacing w:after="0" w:line="96"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color w:val="auto"/>
        </w:rPr>
        <w:t>We face strong competition from financial services firms, many of whom have the ability to offer clients a wider range of products and services than we can offer, which could lead to pricing pressures that could materially adversely affect our revenue and profitability.</w:t>
      </w:r>
    </w:p>
    <w:p>
      <w:pPr>
        <w:spacing w:after="0" w:line="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advice, employees and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In particular, a number of factors increase the competitive risks of our Asset Management business:</w:t>
      </w:r>
    </w:p>
    <w:p>
      <w:pPr>
        <w:spacing w:after="0" w:line="3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number of our competitors have more experience, greater financial and other resources and more personnel than we do;</w:t>
      </w:r>
    </w:p>
    <w:p>
      <w:pPr>
        <w:spacing w:after="0" w:line="103" w:lineRule="exact"/>
        <w:rPr>
          <w:rFonts w:ascii="Arial" w:cs="Arial" w:eastAsia="Arial" w:hAnsi="Arial"/>
          <w:sz w:val="18"/>
          <w:szCs w:val="18"/>
          <w:color w:val="auto"/>
        </w:rPr>
      </w:pPr>
    </w:p>
    <w:p>
      <w:pPr>
        <w:ind w:left="780" w:right="26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firms, including a relatively low cost of entering these businesses, and the successful efforts of new entrants into our various lines of business, including major banks and other financial institutions, have resulted in increased competition;</w:t>
      </w:r>
    </w:p>
    <w:p>
      <w:pPr>
        <w:spacing w:after="0" w:line="45"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industry participants will from time to time seek to recruit our investment professionals and other employees away from us in order to compete in our lines of business;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of our asset management products are newly established and relatively small.</w:t>
      </w:r>
    </w:p>
    <w:p>
      <w:pPr>
        <w:spacing w:after="0" w:line="1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competitive pressure could adversely affect our ability to make successful investments, retain our personnel and increase AUM, any of which would adversely impact our revenue and earnings.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6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As of December 31, 2011, Lazard Group and its subsidiaries had approximately $1.1 billion in debt (including capital lease obligations) outstanding, of which $529 million and $548 million relate to Lazard Group senior notes that mature in 2015 and 2017, respectively. This debt has certain mandated payment obligations, which may constrain our ability to operate our business.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10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We may pursue acquisitions, joint ventures or cooperation agreements that may result in additional risks and uncertainties in our business and could present unforeseen integration obstacles or costs.</w:t>
      </w:r>
    </w:p>
    <w:p>
      <w:pPr>
        <w:spacing w:after="0" w:line="11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During 2009, we established a private equity business with Edgewater. During 2011, we acquired the assets of Alesco. We expect to continue to explore acquisitions and partnership or strategic alliance opportunities that we believe to be attractive.</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 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10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1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Financial Advisory activities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Our Financial Advisory engagements typically include broad indemnities from our clients and provisions designed to limit our exposure to legal claims relating to our services, but these provisions may not protect us or may not be adhered to in all cases. We also are subject to claims arising from disputes with employees for alleged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64"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Our business is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operating results. Although back-up systems are in place, our back-up procedures and capabilities in the event of a failure or interruption may not be adequate.</w:t>
      </w:r>
    </w:p>
    <w:p>
      <w:pPr>
        <w:spacing w:after="0" w:line="7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1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3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recent years, the U.S. and global financial markets experienced periods of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currently are in the process of examining the potential impact of the Dodd-Frank Act and related regulations, we are not able to predict the ultimate effect on us. In addition, several states and municipalities in the United States have recently adopted “pay-to-play” rules, which could limit our ability to charge fees in connection with certain of our Private Fund Advisory engagements, and could therefore affect the profitability of that portion of our business.</w:t>
      </w:r>
    </w:p>
    <w:p>
      <w:pPr>
        <w:spacing w:after="0" w:line="109"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2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Financial services firms are subject to numerous conflicts of interest or perceived conflicts. We have adopted various policies, controls and procedures to address or limit actual or perceived conflicts and regularly seek to review and update our policies, controls and procedures. However, these policies and procedures may result in increased costs, additional operational personnel and increased regulatory risk. Failure to adhere to these policies and procedures may result in regulatory sanctions or client litigation.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is periodically reexamined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2011, our Asset Management business obtained research and other services through third-party soft dollar arrangements, the total cost of which we estimate to be approximately $19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disclosure and reporting requirements relating to the hedge fund businesses or other businesses. In addition, legislators around the world are exploring regulatory changes and additional oversight of the financial industry generally. The impact of these proposed changes on us are uncertain. These regulatory changes and other proposed or potential changes may result in an increase in costs or a reduction of revenue associated with our Asset Management business.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52"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11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exposed to fluctuations in foreign currencies. Our financial statements are denominated in U.S. Dollars and, for the year ended December 31, 2011, we received approximately 41%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Foreign currency fluctuations also can impact the portfolios of our Asset Management clients. Client portfolios are invested in securities across the globe, although most portfolios are in a single base currency. Foreign currency fluctuations can adversely impact investment performance for a client’s portfolio. In addition, foreign currency fluctuations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 While this risk may be limited by foreign currency hedging, some risks cannot be hedged and our hedging activity may not be successful. Poor performance may result in decreased AUM, including as a result of withdrawal of client assets or a decrease in new assets being raised in the relevant product.</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Note 15 of Notes to Consolidated Financial Statements for additional information regarding the impact on members’ equity from currency translation adjustments.</w:t>
      </w:r>
    </w:p>
    <w:p>
      <w:pPr>
        <w:spacing w:after="0" w:line="112"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1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Lazard Group depends on its subsidiaries, which conduct the operations of the businesses, for dividends and other payments to generate the funds necessary to meet its financial obligations, including payments of principal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indebtedness of Lazard Group’s subsidiaries and regulatory requirements with respect to our broker-dealer and other regulated subsidiaries may not permit such subsidiaries to provide Lazard Group with sufficient dividends, distributions or loans to fund its financial obligations, when due.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authorities may challenge our tax computations and classifications and our transfer pricing methods, and their application.</w:t>
      </w:r>
    </w:p>
    <w:p>
      <w:pPr>
        <w:spacing w:after="0" w:line="16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the tax authorities will disagree with all, or a portion, of the tax benefits claimed. If they were to successfully challenge our positions, it could result in significant additional tax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February 13, 2012, the Executive Branch presented its 2013 budget proposals to Congress. The budget proposals included several potential revenue generating proposals, including proposals to (i) limit the deduction of certain related party interest and (ii) defer the deduction of interest attributable to foreign source income of foreign subsidiaries. Each of these proposals would be effective only for taxable years beginning after December 31, 2012. In addition, other members of Congress have proposed legislation that, if enacted, would reclassify certain types of publicly-traded entities as U.S. corporations for tax purposes if the management and control of such entities occurs primarily within the U.S.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proposals. If enacted in their current form, however, some of these proposals may increase Lazard’s effective tax rate during future periods.</w:t>
      </w:r>
    </w:p>
    <w:p>
      <w:pPr>
        <w:spacing w:after="0" w:line="112"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w:t>
      </w:r>
    </w:p>
    <w:p>
      <w:pPr>
        <w:spacing w:after="0" w:line="11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2011.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 For example, persons may seek to hold us responsible for liabilities assumed by LAZ-MD Holdings or LFCM Holdings or, as a result of the use of the Lazard name by subsidiaries of LFCM Holdings, for certain actions of LFCM Holdings or its subsidiaries. If these liabilities are significant and we are held liable for them, we may not be able to recover any or all of the amount of those losses from LAZ-MD Holdings or LFCM Holdings should either be financially unable to perform under their indemnification obligations.</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 Also, in connection with the CP II MgmtCo Spin-Off (as defined in Note 20 of Notes to Consolidated Financial Statements), the subsidiary of LFCM Holdings that manages CP II MgmtCo (“CP II MgmtCo”) has generally agreed to indemnify us against certain losses related to CP II that arise after the date of closing of the CP II MgmtCo Spin-Off. However, should persons seek to hold us responsible for liabilities assumed by CP II MgmtCo, we may not be able to recover any or all of the amount of our losses from CP II MgmtCo if CP II MgmtCo is financially unable to perform under its indemnification obligations.</w:t>
      </w:r>
    </w:p>
    <w:p>
      <w:pPr>
        <w:spacing w:after="0" w:line="101" w:lineRule="exact"/>
        <w:rPr>
          <w:sz w:val="20"/>
          <w:szCs w:val="20"/>
          <w:color w:val="auto"/>
        </w:rPr>
      </w:pPr>
    </w:p>
    <w:p>
      <w:pPr>
        <w:ind w:right="860" w:firstLine="456"/>
        <w:spacing w:after="0" w:line="275" w:lineRule="auto"/>
        <w:rPr>
          <w:sz w:val="20"/>
          <w:szCs w:val="20"/>
          <w:color w:val="auto"/>
        </w:rPr>
      </w:pPr>
      <w:r>
        <w:rPr>
          <w:rFonts w:ascii="Arial" w:cs="Arial" w:eastAsia="Arial" w:hAnsi="Arial"/>
          <w:sz w:val="18"/>
          <w:szCs w:val="18"/>
          <w:b w:val="1"/>
          <w:bCs w:val="1"/>
          <w:color w:val="auto"/>
        </w:rPr>
        <w:t>We may have potential business conflicts of interest with LAZ-MD Holdings and LFCM Holdings with respect to our past and ongoing relationships that could harm our business operations.</w:t>
      </w:r>
    </w:p>
    <w:p>
      <w:pPr>
        <w:spacing w:after="0" w:line="112"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Pursuant to the LAZ-MD Holdings amended and restated stockholders’ agreement, LAZ-MD Holdings will vote the single share of Lazard Ltd Class B common stock, which, as of December 31, 2011, represented approximately 5.2% of Lazard Ltd’s voting power, as directed by its individual members who are party to that agreement. In addition, several employees of Lazard provide services to LFCM Holdings. Conflicts of interest may arise between LFCM Holdings and us in a number of areas relating to our past and ongoing relationships, including:</w:t>
      </w:r>
    </w:p>
    <w:p>
      <w:pPr>
        <w:spacing w:after="0" w:line="18"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tax, employee benefits, indemnification and other matters arising from the separation,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80" w:right="32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our managing directors provide services to LFCM Holdings,</w:t>
      </w:r>
    </w:p>
    <w:p>
      <w:pPr>
        <w:spacing w:after="0" w:line="45"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the master separation agreement and related ancillary agreements, including the operation of the alternative investment fund management business and Lazard Group’s option to purchase the business,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nature, quality and pricing of administrative services to be provided by us,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 of services by certain of our managing directors to LFCM Holdings.</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 the parties to those agreements. We may not be able to resolve any potential conflicts and, even if we do, the resolution may be less favorable to us than if we were dealing with a different party.</w:t>
      </w:r>
    </w:p>
    <w:p>
      <w:pPr>
        <w:spacing w:after="0" w:line="12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 of the “Lazard” brand name. These risks could expose us to liability and also may adversely affect our revenue and our business prospects.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 particular, you should consider the numerous risks and uncertainties outlined in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this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the year relating to our periodic or current reports under the Exchange Act.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The following table lists the properties used for the entire Lazard organization as of December 31, 2011, including properties used by the separated businesses. As a general matter, one or both of our Financial Advisory and Asset Management segments (as well as our Corporate segment) uses the following properties. We license and sublease to affiliates of LFCM Holdings certain office space, including office space that is used by the separated businesses. This includes subleasing or licensing 33,715 square feet principally relating to our lease in New York City located at 30 Rockefeller Plaza to affiliates of LFCM Holdings. Additionally, our New York, London and other offices sublease 37,481, 55,676 and 23,045 square feet, respectively, to third parties. We remain fully liable for the subleased space to the extent that affiliates of LFCM Holdings, or the third parties, fail to perform their obligations under the subleases for any reason.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400" w:type="dxa"/>
            <w:vAlign w:val="bottom"/>
            <w:gridSpan w:val="2"/>
          </w:tcPr>
          <w:p>
            <w:pPr>
              <w:ind w:left="640"/>
              <w:spacing w:after="0"/>
              <w:rPr>
                <w:sz w:val="20"/>
                <w:szCs w:val="20"/>
                <w:color w:val="auto"/>
              </w:rPr>
            </w:pPr>
            <w:r>
              <w:rPr>
                <w:rFonts w:ascii="Arial" w:cs="Arial" w:eastAsia="Arial" w:hAnsi="Arial"/>
                <w:sz w:val="14"/>
                <w:szCs w:val="14"/>
                <w:b w:val="1"/>
                <w:bCs w:val="1"/>
                <w:color w:val="auto"/>
              </w:rPr>
              <w:t>Square Footage</w:t>
            </w:r>
          </w:p>
        </w:tc>
        <w:tc>
          <w:tcPr>
            <w:tcW w:w="5920" w:type="dxa"/>
            <w:vAlign w:val="bottom"/>
          </w:tcPr>
          <w:p>
            <w:pPr>
              <w:ind w:left="2760"/>
              <w:spacing w:after="0"/>
              <w:rPr>
                <w:sz w:val="20"/>
                <w:szCs w:val="20"/>
                <w:color w:val="auto"/>
              </w:rPr>
            </w:pPr>
            <w:r>
              <w:rPr>
                <w:rFonts w:ascii="Arial" w:cs="Arial" w:eastAsia="Arial" w:hAnsi="Arial"/>
                <w:sz w:val="14"/>
                <w:szCs w:val="14"/>
                <w:b w:val="1"/>
                <w:bCs w:val="1"/>
                <w:color w:val="auto"/>
              </w:rPr>
              <w:t>Offices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384,428 square feet of</w:t>
            </w:r>
          </w:p>
        </w:tc>
        <w:tc>
          <w:tcPr>
            <w:tcW w:w="220" w:type="dxa"/>
            <w:vAlign w:val="bottom"/>
          </w:tcPr>
          <w:p>
            <w:pPr>
              <w:spacing w:after="0"/>
              <w:rPr>
                <w:sz w:val="17"/>
                <w:szCs w:val="17"/>
                <w:color w:val="auto"/>
              </w:rPr>
            </w:pPr>
          </w:p>
        </w:tc>
        <w:tc>
          <w:tcPr>
            <w:tcW w:w="5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Principal office located at 30 Rockefeller Plaza.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North America</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157,156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3"/>
              </w:rPr>
              <w:t>Boston, Charlotte, Chicago, Houston, Los Angeles, Minneapolis, Montreal, San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Francisco and Washington D.C.</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Paris</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170,644 square feet of owned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121 Boulevard Haussmann.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and 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London</w:t>
            </w:r>
          </w:p>
        </w:tc>
        <w:tc>
          <w:tcPr>
            <w:tcW w:w="2400" w:type="dxa"/>
            <w:vAlign w:val="bottom"/>
            <w:gridSpan w:val="2"/>
          </w:tcPr>
          <w:p>
            <w:pPr>
              <w:spacing w:after="0"/>
              <w:rPr>
                <w:sz w:val="20"/>
                <w:szCs w:val="20"/>
                <w:color w:val="auto"/>
              </w:rPr>
            </w:pPr>
            <w:r>
              <w:rPr>
                <w:rFonts w:ascii="Arial" w:cs="Arial" w:eastAsia="Arial" w:hAnsi="Arial"/>
                <w:sz w:val="18"/>
                <w:szCs w:val="18"/>
                <w:color w:val="auto"/>
              </w:rPr>
              <w:t>86,695 square feet of leased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Europe</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123,900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8"/>
              </w:rPr>
              <w:t>Amsterdam, Bordeaux, Brussels, Frankfurt, Hamburg, Lyon, Madrid, Milan,</w:t>
            </w:r>
          </w:p>
        </w:tc>
        <w:tc>
          <w:tcPr>
            <w:tcW w:w="0" w:type="dxa"/>
            <w:vAlign w:val="bottom"/>
          </w:tcPr>
          <w:p>
            <w:pPr>
              <w:spacing w:after="0"/>
              <w:rPr>
                <w:sz w:val="1"/>
                <w:szCs w:val="1"/>
                <w:color w:val="auto"/>
              </w:rPr>
            </w:pPr>
          </w:p>
        </w:tc>
      </w:tr>
      <w:tr>
        <w:trPr>
          <w:trHeight w:val="222"/>
        </w:trPr>
        <w:tc>
          <w:tcPr>
            <w:tcW w:w="3100" w:type="dxa"/>
            <w:vAlign w:val="bottom"/>
            <w:gridSpan w:val="3"/>
            <w:vMerge w:val="restart"/>
          </w:tcPr>
          <w:p>
            <w:pPr>
              <w:spacing w:after="0"/>
              <w:rPr>
                <w:sz w:val="20"/>
                <w:szCs w:val="20"/>
                <w:color w:val="auto"/>
              </w:rPr>
            </w:pPr>
            <w:r>
              <w:rPr>
                <w:rFonts w:ascii="Arial" w:cs="Arial" w:eastAsia="Arial" w:hAnsi="Arial"/>
                <w:sz w:val="18"/>
                <w:szCs w:val="18"/>
                <w:color w:val="auto"/>
              </w:rPr>
              <w:t>Asia, Australia and</w:t>
            </w: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Stockholm and Zurich.</w:t>
            </w:r>
          </w:p>
        </w:tc>
        <w:tc>
          <w:tcPr>
            <w:tcW w:w="0" w:type="dxa"/>
            <w:vAlign w:val="bottom"/>
          </w:tcPr>
          <w:p>
            <w:pPr>
              <w:spacing w:after="0"/>
              <w:rPr>
                <w:sz w:val="1"/>
                <w:szCs w:val="1"/>
                <w:color w:val="auto"/>
              </w:rPr>
            </w:pPr>
          </w:p>
        </w:tc>
      </w:tr>
      <w:tr>
        <w:trPr>
          <w:trHeight w:val="210"/>
        </w:trPr>
        <w:tc>
          <w:tcPr>
            <w:tcW w:w="310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79,114 square feet of leased</w:t>
            </w:r>
          </w:p>
        </w:tc>
        <w:tc>
          <w:tcPr>
            <w:tcW w:w="5920" w:type="dxa"/>
            <w:vAlign w:val="bottom"/>
            <w:vMerge w:val="restart"/>
          </w:tcPr>
          <w:p>
            <w:pPr>
              <w:spacing w:after="0"/>
              <w:rPr>
                <w:sz w:val="20"/>
                <w:szCs w:val="20"/>
                <w:color w:val="auto"/>
              </w:rPr>
            </w:pPr>
            <w:r>
              <w:rPr>
                <w:rFonts w:ascii="Arial" w:cs="Arial" w:eastAsia="Arial" w:hAnsi="Arial"/>
                <w:sz w:val="18"/>
                <w:szCs w:val="18"/>
                <w:color w:val="auto"/>
                <w:w w:val="95"/>
              </w:rPr>
              <w:t>Beijing, Dubai City, Hong Kong, Manama, Melbourne, Mumbai, Perth, Riyadh,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5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Seoul, Singapore, Sydney and Tokyo.</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December 31, 2011, approximately 94.8% and 5.2% of our common membership interests are held by wholly-owned subsidiaries of Lazard Ltd and by LAZ-MD Holdings, respectively. Our co-managing member interests are held by two indirect wholly-owned subsidiaries of Lazard Ltd and our profit participation interests are held by various managing directors. There are no public trading markets for any of these interests.</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Subsequent to the equity public offering, pursuant to provisions of its amended and restated Operating Agreement, Lazard Group distributions in respect of common membership interests are allocated to the holders of such interests on a pro rata basis. Such distributions represent amounts necessary to fund (i) dividends Lazard Ltd declares on its Class A common stock and (ii) tax distributions in respect of income taxes that Lazard Ltd’s subsidiaries and members of LAZ-MD Holdings incur as a result of holding Lazard Group common membership interests. During the years ended December 31, 2011, 2010 and 2009, Lazard Group distributed approximately $4.4 million, $9.8 million and $17.4 million, respectively, to LAZ-MD Holdings and approximately $70.6 million, $50.6 million and $33.5 million, respectively, to the subsidiaries of Lazard Ltd, which latter amounts were used by Lazard Ltd to pay dividends to third-party stockholders of its Class A common stock. In addition, during the years ended December 31, 2011, 2010 and 2009, Lazard Group made tax distributions of approximately $17.5 million, $61.6 million and $67.3 million, respectively, including $0.7 million, $9.5 million and $25.3 million, respectively, paid to LAZ-MD Holdings and approximately $16.8 million, $52.1 million and $42.0 million, respectively, paid to subsidiaries of Lazard Ltd.</w:t>
      </w:r>
    </w:p>
    <w:p>
      <w:pPr>
        <w:spacing w:after="0" w:line="1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selected consolidated financial data for the Company for all years presented.</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2011 have been derived from Lazard Group’s consolidated financial statements. The audited consolidated statements of financial condition as of December 31, 2011 and 2010 and audited consolidated statements of operations for each of the years in the three year period ended December 31, 2011 are included elsewhere in this Form 10-K. The audited consolidated statements of financial condition as of December 31, 2009, 2008 and 2007, and the audited consolidated statements of operations for the years ended December 31, 2008 and 2007, are not included in this Form 10-K. Historical results are not necessarily indicative of results for any future period.</w:t>
      </w:r>
    </w:p>
    <w:p>
      <w:pPr>
        <w:spacing w:after="0" w:line="13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89"/>
              </w:rPr>
              <w:t>As Of Or For The Year Ended December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5"/>
          </w:tcPr>
          <w:p>
            <w:pPr>
              <w:jc w:val="center"/>
              <w:ind w:right="9"/>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992,107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1,119,867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986,820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1,022,913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1,240,177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897,401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849,662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601,652</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614,781</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724,751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(55,947)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(65,024)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(58,509)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(82,725)</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(48,035)</w:t>
            </w:r>
          </w:p>
        </w:tc>
        <w:tc>
          <w:tcPr>
            <w:tcW w:w="0" w:type="dxa"/>
            <w:vAlign w:val="bottom"/>
          </w:tcPr>
          <w:p>
            <w:pPr>
              <w:spacing w:after="0"/>
              <w:rPr>
                <w:sz w:val="1"/>
                <w:szCs w:val="1"/>
                <w:color w:val="auto"/>
              </w:rPr>
            </w:pPr>
          </w:p>
        </w:tc>
      </w:tr>
      <w:tr>
        <w:trPr>
          <w:trHeight w:val="163"/>
        </w:trPr>
        <w:tc>
          <w:tcPr>
            <w:tcW w:w="638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1,833,561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1,904,505</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1,529,963</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1,554,969</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1,916,893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1,168,909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1,194,158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1,309,231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1,128,243</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1,123,058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422,861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463,538</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402,720</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384,697</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357,771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1,591,770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1,657,696</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1,711,951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1,512,940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1,480,829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8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 (Loss)</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241,791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246,809</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(181,988)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42,029</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436,064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214,383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201,424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(213,715)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12,338</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347,278</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Net Income (Loss) Attributable to Lazard Group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gridSpan w:val="3"/>
            <w:vMerge w:val="continue"/>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210,705</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194,544</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(216,547)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25,671</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342,134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0" w:type="dxa"/>
            <w:vAlign w:val="bottom"/>
          </w:tcPr>
          <w:p>
            <w:pPr>
              <w:spacing w:after="0"/>
              <w:rPr>
                <w:sz w:val="5"/>
                <w:szCs w:val="5"/>
                <w:color w:val="auto"/>
              </w:rPr>
            </w:pPr>
          </w:p>
        </w:tc>
        <w:tc>
          <w:tcPr>
            <w:tcW w:w="5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3,037,453</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3,336,284</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3,115,048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2,885,582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3,763,942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1,096,934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1,249,753</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1,261,478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1,264,575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1,764,622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tcPr>
          <w:p>
            <w:pPr>
              <w:spacing w:after="0"/>
              <w:rPr>
                <w:sz w:val="20"/>
                <w:szCs w:val="20"/>
                <w:color w:val="auto"/>
              </w:rPr>
            </w:pPr>
            <w:r>
              <w:rPr>
                <w:rFonts w:ascii="Arial" w:cs="Arial" w:eastAsia="Arial" w:hAnsi="Arial"/>
                <w:sz w:val="14"/>
                <w:szCs w:val="14"/>
                <w:color w:val="auto"/>
              </w:rPr>
              <w:t>Total Lazard Group Members’ Equity (Deficiency)</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614,344</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369,565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155,371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105,629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(26,307)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Members’ Equity (Deficiency)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718,267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490,447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282,931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126,510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25,448</w:t>
            </w:r>
          </w:p>
        </w:tc>
        <w:tc>
          <w:tcPr>
            <w:tcW w:w="0" w:type="dxa"/>
            <w:vAlign w:val="bottom"/>
          </w:tcPr>
          <w:p>
            <w:pPr>
              <w:spacing w:after="0"/>
              <w:rPr>
                <w:sz w:val="1"/>
                <w:szCs w:val="1"/>
                <w:color w:val="auto"/>
              </w:rPr>
            </w:pPr>
          </w:p>
        </w:tc>
      </w:tr>
      <w:tr>
        <w:trPr>
          <w:trHeight w:val="230"/>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As of December 31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141,039,000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155,337,000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129,543,000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91,109,000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141,413,000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Average During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7"/>
              </w:rPr>
              <w:t>152,072,000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137,381,000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103,988,000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122,828,000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2"/>
              </w:rPr>
              <w:t>130,827,000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60" w:type="dxa"/>
            <w:vAlign w:val="bottom"/>
            <w:gridSpan w:val="2"/>
          </w:tcPr>
          <w:p>
            <w:pPr>
              <w:spacing w:after="0"/>
              <w:rPr>
                <w:sz w:val="20"/>
                <w:szCs w:val="20"/>
                <w:color w:val="auto"/>
              </w:rPr>
            </w:pPr>
            <w:r>
              <w:rPr>
                <w:rFonts w:ascii="Arial" w:cs="Arial" w:eastAsia="Arial" w:hAnsi="Arial"/>
                <w:sz w:val="14"/>
                <w:szCs w:val="14"/>
                <w:color w:val="auto"/>
              </w:rPr>
              <w:t>Total Headcount, As of December 31</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2,511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2,294</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2,434</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2,458</w:t>
            </w: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gridSpan w:val="2"/>
          </w:tcPr>
          <w:p>
            <w:pPr>
              <w:spacing w:after="0"/>
              <w:rPr>
                <w:sz w:val="7"/>
                <w:szCs w:val="7"/>
                <w:color w:val="auto"/>
              </w:rPr>
            </w:pPr>
          </w:p>
        </w:tc>
        <w:tc>
          <w:tcPr>
            <w:tcW w:w="5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38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38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8"/>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Strategic Advisory</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700,539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714,059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526,225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814,660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969,409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Capital Markets and Other Advisory</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111,933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83,885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88,970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Strategic Advisory</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794,364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825,992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610,110</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903,630</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1,113,002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Restructuring</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197,743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293,875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376,710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119,283</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Advisory Net Revenue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992,107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1,119,867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986,820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1,022,913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1,240,177</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818,038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715,885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486,810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568,436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595,725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26,245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86,298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74,795</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34,961</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53,118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47,479</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40,047</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11,384</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760" w:type="dxa"/>
            <w:vAlign w:val="bottom"/>
          </w:tcPr>
          <w:p>
            <w:pPr>
              <w:ind w:left="260"/>
              <w:spacing w:after="0" w:line="155" w:lineRule="exact"/>
              <w:rPr>
                <w:sz w:val="20"/>
                <w:szCs w:val="20"/>
                <w:color w:val="auto"/>
              </w:rPr>
            </w:pPr>
            <w:r>
              <w:rPr>
                <w:rFonts w:ascii="Arial" w:cs="Arial" w:eastAsia="Arial" w:hAnsi="Arial"/>
                <w:sz w:val="14"/>
                <w:szCs w:val="14"/>
                <w:color w:val="auto"/>
              </w:rPr>
              <w:t>Asset Management Net Revenue</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897,401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849,662</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601,652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614,781</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724,751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line="23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“Corporate” includes interest expense (net of interest income), investment income (losses) from certain investments and net revenue earned by LFB through its money market desk and commercial banking operations, as well as any gains or losses from the extinguishment of debt.</w:t>
      </w:r>
    </w:p>
    <w:p>
      <w:pPr>
        <w:ind w:left="340" w:right="20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 in 2010, $24,860 relating to the acceleration of amortization expense pertaining to the amendment of Lazard’s retirement policy with respect to RSU awards; (ii) in 2009, charges of $86,514 related to the acceleration of amortization expense relating to the vesting of RSUs held by Lazard’s former Chairman and Chief Executive Officer as the result of his death in October 2009 and $60,512 related to the accelerated vesting of the then unamortized portion of previously awarded deferred cash incentive awards; and (iii) in 2008, $197,550 relating to the compensation portion of the LAM Merger charge.</w:t>
      </w:r>
    </w:p>
    <w:p>
      <w:pPr>
        <w:spacing w:after="0" w:line="1" w:lineRule="exact"/>
        <w:rPr>
          <w:rFonts w:ascii="Arial" w:cs="Arial" w:eastAsia="Arial" w:hAnsi="Arial"/>
          <w:sz w:val="14"/>
          <w:szCs w:val="14"/>
          <w:color w:val="auto"/>
        </w:rPr>
      </w:pPr>
    </w:p>
    <w:p>
      <w:pPr>
        <w:ind w:left="340" w:right="18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 in 2010, restructuring expense of $87,108 related to the restructuring plan announced in the first quarter of 2010 and (ii) in 2009, restructuring expense of $62,550 related to the restructuring plan announced in the first quarter of 2009.</w:t>
      </w: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the aggregate amount reflected in the Company’s consolidated statements of financial condition relating to senior debt, capital lease obligations and subordinated debt.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77" w:lineRule="exact"/>
        <w:rPr>
          <w:sz w:val="20"/>
          <w:szCs w:val="20"/>
          <w:color w:val="auto"/>
        </w:rPr>
      </w:pPr>
    </w:p>
    <w:p>
      <w:pPr>
        <w:jc w:val="both"/>
        <w:ind w:left="780" w:right="24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45"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7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34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9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gridSpan w:val="2"/>
            <w:vMerge w:val="continue"/>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98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jc w:val="both"/>
        <w:ind w:right="120" w:firstLine="8"/>
        <w:spacing w:after="0" w:line="302" w:lineRule="auto"/>
        <w:tabs>
          <w:tab w:leader="none" w:pos="2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9 of Notes to Consolidated Financial Statements), (ii) Lazard Australia Corporate Opportunities Fund 2, which has an opportunistic investment strategy focused on the Australian mid-market, (iii) a mezzanine fund, which invests in mezzanine debt of a diversified selection of small-to mid cap European companies, (iv) Corporate Partners II Limited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(“CP II”), a private equity fund targeting significant non-controlling investments in established public and private companies and (v) Lazard Senior Housing Partners LP (“Senior Housing”), which acquires companies and assets in the senior housing, extended stay and shopping center sectors.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Overall, equity market indices at December 31, 2011 reflected little change in the U.S., and declined outside the U.S., when compared to such indices at December 31, 2010, with periods of significant volatility during the year. For the same period, capital-raising and M&amp;A activity were uneven due to economic uncertainty caused by concerns over the scope and depth of the sovereign debt situation in Europe, the U.S. debt ceiling and related rating agency downgrade issues and continuing high U.S. unemployment, among other factors. The announced value of M&amp;A activity increased modestly during 2011 when compared to 2010. Restructuring activity continued at low levels, reflecting a cyclical decline in restructuring activity and a decrease in the number of corporate defaults.</w:t>
      </w:r>
    </w:p>
    <w:p>
      <w:pPr>
        <w:spacing w:after="0" w:line="10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Entering 2012, the outlook for equity and credit markets appears healthier, interest rates remain low while corporate cash balances remain high, CEO confidence appears to be improving and, as such, companies may be better positioned to make acquisitions for future growth and investors may be increasingly interested in deploying capital for investment purposes. Uncertainty remains, however, with regard to the stability of the global financial system and a variety of other factors.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 We seek to leverage the power and scale of our firm-wide global network to drive growth in both our Financial Advisory and Asset Management business segments. We believe that we are well positioned to benefit from opportunities that may result from regional or global increases in M&amp;A, restructuring, capital-raising or similar transactions, as well as increases in demand for investment management and advisory services. We continue to focus on the development of our business in this environment and on a wide variety of related factors, including the generation of stable revenue growth during periods of macroeconomic volatility, the prudent management of our costs and expenses and the return of cash to our shareholders.</w:t>
      </w:r>
    </w:p>
    <w:p>
      <w:pPr>
        <w:spacing w:after="0" w:line="10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from time to time,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this Form 10-K. Furthermore, net income and revenue in any period may not be indicative of full-year results or the results of any other period and may vary significantly from year to year and quarter to quarter.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shown in the following table, during 2011 the value and number of completed and announced M&amp;A transactions increased as compared to 2010, despite the overall decline in the value of both announced and completed transactions during the second half of 2011 versus the corresponding prior year period.</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680" w:type="dxa"/>
            <w:vAlign w:val="bottom"/>
          </w:tcPr>
          <w:p>
            <w:pPr>
              <w:jc w:val="right"/>
              <w:ind w:right="678"/>
              <w:spacing w:after="0"/>
              <w:rPr>
                <w:sz w:val="20"/>
                <w:szCs w:val="20"/>
                <w:color w:val="auto"/>
              </w:rPr>
            </w:pPr>
            <w:r>
              <w:rPr>
                <w:rFonts w:ascii="Arial" w:cs="Arial" w:eastAsia="Arial" w:hAnsi="Arial"/>
                <w:sz w:val="14"/>
                <w:szCs w:val="14"/>
                <w:b w:val="1"/>
                <w:bCs w:val="1"/>
                <w:color w:val="auto"/>
              </w:rPr>
              <w:t>2010</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Incr / (Decr)</w:t>
            </w:r>
          </w:p>
        </w:tc>
      </w:tr>
      <w:tr>
        <w:trPr>
          <w:trHeight w:val="156"/>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 in billions)</w:t>
            </w: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Global:</w:t>
            </w:r>
          </w:p>
        </w:tc>
        <w:tc>
          <w:tcPr>
            <w:tcW w:w="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Value</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4"/>
              </w:rPr>
              <w:t>$2,819</w:t>
            </w:r>
          </w:p>
        </w:tc>
        <w:tc>
          <w:tcPr>
            <w:tcW w:w="168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$2,481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Number</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w w:val="94"/>
              </w:rPr>
              <w:t>43,599</w:t>
            </w:r>
          </w:p>
        </w:tc>
        <w:tc>
          <w:tcPr>
            <w:tcW w:w="1680" w:type="dxa"/>
            <w:vAlign w:val="bottom"/>
          </w:tcPr>
          <w:p>
            <w:pPr>
              <w:jc w:val="right"/>
              <w:ind w:right="538"/>
              <w:spacing w:after="0"/>
              <w:rPr>
                <w:sz w:val="20"/>
                <w:szCs w:val="20"/>
                <w:color w:val="auto"/>
              </w:rPr>
            </w:pPr>
            <w:r>
              <w:rPr>
                <w:rFonts w:ascii="Arial" w:cs="Arial" w:eastAsia="Arial" w:hAnsi="Arial"/>
                <w:sz w:val="18"/>
                <w:szCs w:val="18"/>
                <w:color w:val="auto"/>
              </w:rPr>
              <w:t>41,416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Trans-Atlantic:</w:t>
            </w:r>
          </w:p>
        </w:tc>
        <w:tc>
          <w:tcPr>
            <w:tcW w:w="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Value</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$236</w:t>
            </w:r>
          </w:p>
        </w:tc>
        <w:tc>
          <w:tcPr>
            <w:tcW w:w="1680" w:type="dxa"/>
            <w:vAlign w:val="bottom"/>
          </w:tcPr>
          <w:p>
            <w:pPr>
              <w:jc w:val="right"/>
              <w:ind w:right="538"/>
              <w:spacing w:after="0"/>
              <w:rPr>
                <w:sz w:val="20"/>
                <w:szCs w:val="20"/>
                <w:color w:val="auto"/>
              </w:rPr>
            </w:pPr>
            <w:r>
              <w:rPr>
                <w:rFonts w:ascii="Arial" w:cs="Arial" w:eastAsia="Arial" w:hAnsi="Arial"/>
                <w:sz w:val="18"/>
                <w:szCs w:val="18"/>
                <w:color w:val="auto"/>
              </w:rPr>
              <w:t>$190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Number</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1,694</w:t>
            </w:r>
          </w:p>
        </w:tc>
        <w:tc>
          <w:tcPr>
            <w:tcW w:w="168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1,499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w:t>
            </w:r>
          </w:p>
        </w:tc>
        <w:tc>
          <w:tcPr>
            <w:tcW w:w="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Value</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w w:val="94"/>
              </w:rPr>
              <w:t>$2,819</w:t>
            </w:r>
          </w:p>
        </w:tc>
        <w:tc>
          <w:tcPr>
            <w:tcW w:w="1680" w:type="dxa"/>
            <w:vAlign w:val="bottom"/>
          </w:tcPr>
          <w:p>
            <w:pPr>
              <w:jc w:val="right"/>
              <w:ind w:right="538"/>
              <w:spacing w:after="0"/>
              <w:rPr>
                <w:sz w:val="20"/>
                <w:szCs w:val="20"/>
                <w:color w:val="auto"/>
              </w:rPr>
            </w:pPr>
            <w:r>
              <w:rPr>
                <w:rFonts w:ascii="Arial" w:cs="Arial" w:eastAsia="Arial" w:hAnsi="Arial"/>
                <w:sz w:val="18"/>
                <w:szCs w:val="18"/>
                <w:color w:val="auto"/>
              </w:rPr>
              <w:t>$2,735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Number</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4"/>
              </w:rPr>
              <w:t>44,435</w:t>
            </w:r>
          </w:p>
        </w:tc>
        <w:tc>
          <w:tcPr>
            <w:tcW w:w="168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41,838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Trans-Atlantic:</w:t>
            </w:r>
          </w:p>
        </w:tc>
        <w:tc>
          <w:tcPr>
            <w:tcW w:w="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Value</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$214</w:t>
            </w:r>
          </w:p>
        </w:tc>
        <w:tc>
          <w:tcPr>
            <w:tcW w:w="168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$201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2"/>
        </w:trPr>
        <w:tc>
          <w:tcPr>
            <w:tcW w:w="20" w:type="dxa"/>
            <w:vAlign w:val="bottom"/>
          </w:tcPr>
          <w:p>
            <w:pPr>
              <w:spacing w:after="0"/>
              <w:rPr>
                <w:sz w:val="19"/>
                <w:szCs w:val="19"/>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Number</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1,726</w:t>
            </w:r>
          </w:p>
        </w:tc>
        <w:tc>
          <w:tcPr>
            <w:tcW w:w="1680" w:type="dxa"/>
            <w:vAlign w:val="bottom"/>
          </w:tcPr>
          <w:p>
            <w:pPr>
              <w:jc w:val="right"/>
              <w:ind w:right="538"/>
              <w:spacing w:after="0"/>
              <w:rPr>
                <w:sz w:val="20"/>
                <w:szCs w:val="20"/>
                <w:color w:val="auto"/>
              </w:rPr>
            </w:pPr>
            <w:r>
              <w:rPr>
                <w:rFonts w:ascii="Arial" w:cs="Arial" w:eastAsia="Arial" w:hAnsi="Arial"/>
                <w:sz w:val="18"/>
                <w:szCs w:val="18"/>
                <w:color w:val="auto"/>
              </w:rPr>
              <w:t>1,503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January 16, 2012.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continue to believe that we are relatively well positioned as our clients refinance, restructure and reposition their asset portfolios for growth.</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Global restructuring activity during 2011 decreased from 2010 levels driven by a cyclical decline, resulting in a decelerating pace of corporate debt defaults. According to Moody’s Investors Service, Inc., during 2011 a total of 36 issuers defaulted, as compared to 61 in 2010. While the number and value of corporate defaults for 2011 are significantly lower as compared to 2010, we expect that our Restructuring business will remain active. Our Restructuring activities include advising companies on matters relating to debt restructurings, refinancings and other on- and off-balance sheet assignments. Our Restructuring assignments are generally executed over a six- to eighteen-month period.</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Private Fund Advisory Group, which is part of our Financial Advisory segment and is conducted in the U.S. through Lazard Frères &amp; Co. LLC (“LFNY”), an SEC-registered broker-dealer and municipal advisor and member of the Financial Industry Regulatory Authority (“FINRA”) and the Municipal Securities Rulemaking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22, 2011, the SEC approved an amendment to its June 30, 2010 rule which, among other things, will place certain restrictions on the use of placement agents. As amended, the SEC rule will prohibit investment advisors from paying a third-party placement agent for soliciting investment advisory business from a U.S. governmental entity, unless the placement agent is (i) an SEC-registered investment advisor complying with the rule, (ii) an SEC-registered broker-dealer that is a member of FINRA and thus subject to FINRA’s forthcoming “pay-to-play” rule, or (iii)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shown in the table below, major equity market indices at December 31, 2011 were mixed in the U.S., but declined outside the U.S., when compared to such indices at December 31, 2010. Global market indices at December 31, 2010 increased in most markets versus the corresponding indices at December 31, 2009.</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5"/>
              </w:rPr>
              <w:t>Percentage Changes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5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60" w:type="dxa"/>
            <w:vAlign w:val="bottom"/>
            <w:tcBorders>
              <w:bottom w:val="single" w:sz="8" w:color="CCEEFF"/>
            </w:tcBorders>
          </w:tcPr>
          <w:p>
            <w:pPr>
              <w:spacing w:after="0"/>
              <w:rPr>
                <w:sz w:val="12"/>
                <w:szCs w:val="12"/>
                <w:color w:val="auto"/>
              </w:rPr>
            </w:pPr>
          </w:p>
        </w:tc>
      </w:tr>
      <w:tr>
        <w:trPr>
          <w:trHeight w:val="210"/>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0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CAC 40</w:t>
            </w:r>
          </w:p>
        </w:tc>
        <w:tc>
          <w:tcPr>
            <w:tcW w:w="2000" w:type="dxa"/>
            <w:vAlign w:val="bottom"/>
            <w:gridSpan w:val="2"/>
          </w:tcPr>
          <w:p>
            <w:pPr>
              <w:jc w:val="right"/>
              <w:ind w:right="972"/>
              <w:spacing w:after="0"/>
              <w:rPr>
                <w:sz w:val="20"/>
                <w:szCs w:val="20"/>
                <w:color w:val="auto"/>
              </w:rPr>
            </w:pPr>
            <w:r>
              <w:rPr>
                <w:rFonts w:ascii="Arial" w:cs="Arial" w:eastAsia="Arial" w:hAnsi="Arial"/>
                <w:sz w:val="18"/>
                <w:szCs w:val="18"/>
                <w:color w:val="auto"/>
              </w:rPr>
              <w:t>(17)%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200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FTSE 100</w:t>
            </w:r>
          </w:p>
        </w:tc>
        <w:tc>
          <w:tcPr>
            <w:tcW w:w="2000" w:type="dxa"/>
            <w:vAlign w:val="bottom"/>
            <w:gridSpan w:val="2"/>
          </w:tcPr>
          <w:p>
            <w:pPr>
              <w:jc w:val="right"/>
              <w:ind w:right="972"/>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200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MSCI Emerging Market</w:t>
            </w:r>
          </w:p>
        </w:tc>
        <w:tc>
          <w:tcPr>
            <w:tcW w:w="2000" w:type="dxa"/>
            <w:vAlign w:val="bottom"/>
            <w:gridSpan w:val="2"/>
          </w:tcPr>
          <w:p>
            <w:pPr>
              <w:jc w:val="right"/>
              <w:ind w:right="972"/>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200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NASDAQ</w:t>
            </w:r>
          </w:p>
        </w:tc>
        <w:tc>
          <w:tcPr>
            <w:tcW w:w="2000" w:type="dxa"/>
            <w:vAlign w:val="bottom"/>
            <w:gridSpan w:val="2"/>
          </w:tcPr>
          <w:p>
            <w:pPr>
              <w:jc w:val="right"/>
              <w:ind w:right="972"/>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200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bl>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December 31, 2011 decreased 9% versus AUM at December 31, 2010 (primarily due to market and foreign exchange depreciation), while our average AUM for 2011 increased 11% as compared to our average AUM in 2010. The higher levels of average AUM contributed to increased management fee revenues in 2011.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LFG, Edgewater (commencing July 15, 2009) and Lazard Wealth Management. Asset Management net revenue is derived from fees for investment management and advisory services provided to institutional and private clients. As noted above, the main driver of Asset Management net revenue is the level of AUM, which is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in LAM equity and fixed income funds and principal investments in equities and alternative asset management funds, investments at LFB and “equity method” investments (including gains and losses on the extinguishment of debt, interest income and interest expense). Corporate net revenue also can fluctuate due to changes in the fair value of investments classified as “trading”, and with respect to “available-for-sale” investments, when realized, or, with respect to “available-for-sale” and “held-to-maturity” investments, when a decline is determined to be other than temporary, as well as due to changes in interest and currency exchange rates and in the levels of cash, investments and indebtedness. During the fourth quarter of 2010, all of LFB’s remaining corporate debt portfolio that had been previously designated as “available-for-sale” was sold, with net realized losses on a pre-tax basis reclassified from “accumulated other comprehensive income (loss), net of tax” (“AOCI”) to “investment gains (losses)”. For the years ended December 31, 2010 and 2009, the Company recorded net investment gains of $13 million and $29 million, respectively, in AOCI. As of December 31, 2010 and subsequent thereto, the Company held no “available-for-sale” or “held-to-maturity” investments.</w:t>
      </w:r>
    </w:p>
    <w:p>
      <w:pPr>
        <w:spacing w:after="0" w:line="10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Although Corporate segment net revenue during 2011 represented (3)% of Lazard’s net revenue, total assets in the Corporate segment represented 56% of Lazard’s consolidated total assets as of December 31, 2011, which is attributable to investments in government bonds and money market funds, fixed income funds, alternative asset management funds and other securities, private equity investments, cash and assets associated with LFB.</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(see Note 16 of Notes to Consolidated Financial Statements) and (iii) a provision for discretionary or guaranteed bonuses and profit pools.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3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non-U.S. GAAP measures,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49" w:lineRule="exact"/>
        <w:rPr>
          <w:sz w:val="20"/>
          <w:szCs w:val="20"/>
          <w:color w:val="auto"/>
        </w:rPr>
      </w:pPr>
    </w:p>
    <w:p>
      <w:pPr>
        <w:ind w:left="780" w:right="6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37" w:lineRule="exact"/>
        <w:rPr>
          <w:rFonts w:ascii="Arial" w:cs="Arial" w:eastAsia="Arial" w:hAnsi="Arial"/>
          <w:sz w:val="18"/>
          <w:szCs w:val="18"/>
          <w:color w:val="auto"/>
        </w:rPr>
      </w:pPr>
    </w:p>
    <w:p>
      <w:pPr>
        <w:ind w:left="780" w:right="160" w:hanging="326"/>
        <w:spacing w:after="0" w:line="298"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2012, 2011 and 2010 related to the 2011, 2010 and 2009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“awarded compensation and benefits expense” and related ratios to “operating revenue,” see the table under “Consolidated Results of Operations” below.</w:t>
      </w:r>
    </w:p>
    <w:p>
      <w:pPr>
        <w:spacing w:after="0" w:line="13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2010 and 2009, restructuring expense. Amortization of intangible assets relates primarily to the acquisition of Edgewater. Restructuring expense relates to certain staff reductions and realignment of personnel in the first quarters of 2010 and 2009,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Noncontrolling interests primarily relate to amounts related to Edgewater, and various LAM-related general partnership interests (“GPs”) in limited partnerships held directly by certain of our LAM managing directors and investment companies which are deemed to be controlled by the Company. See Note 15 of Notes to Consolidated Financial Statements for information regarding the Company’s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2010 and 2009, the Company reported certain credits (charges) (the “2010 special items” and the “2009 special items”, respectively, and collectively, the “2010 and 2009 special items”) that significantly impacted operating results for the applicable years. We believe that the impact of the 2010 and 2009 special items should be considered when comparing the results of the years in providing the most meaningful comparison between present, historical and future periods. The impact of such special items on the Company’s consolidated statements of operations (described in more detail in Notes 16 and 18 of Notes to Consolidated Financial Statements) is reflected in the table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2010</w:t>
            </w:r>
          </w:p>
        </w:tc>
        <w:tc>
          <w:tcPr>
            <w:tcW w:w="1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260" w:type="dxa"/>
            <w:vAlign w:val="bottom"/>
            <w:tcBorders>
              <w:right w:val="single" w:sz="8" w:color="CCEEFF"/>
            </w:tcBorders>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($24,860)(a)</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($147,026)(c)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2260" w:type="dxa"/>
            <w:vAlign w:val="bottom"/>
            <w:gridSpan w:val="2"/>
          </w:tcPr>
          <w:p>
            <w:pPr>
              <w:jc w:val="right"/>
              <w:ind w:right="1132"/>
              <w:spacing w:after="0"/>
              <w:rPr>
                <w:sz w:val="20"/>
                <w:szCs w:val="20"/>
                <w:color w:val="auto"/>
              </w:rPr>
            </w:pPr>
            <w:r>
              <w:rPr>
                <w:rFonts w:ascii="Arial" w:cs="Arial" w:eastAsia="Arial" w:hAnsi="Arial"/>
                <w:sz w:val="18"/>
                <w:szCs w:val="18"/>
                <w:color w:val="auto"/>
              </w:rPr>
              <w:t>(87,108)(b)</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(62,550)(d)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On Operating Income (Loss)</w:t>
            </w:r>
          </w:p>
        </w:tc>
        <w:tc>
          <w:tcPr>
            <w:tcW w:w="2260" w:type="dxa"/>
            <w:vAlign w:val="bottom"/>
            <w:tcBorders>
              <w:right w:val="single" w:sz="8" w:color="CCEEFF"/>
            </w:tcBorders>
            <w:gridSpan w:val="2"/>
            <w:shd w:val="clear" w:color="auto" w:fill="CCEEFF"/>
          </w:tcPr>
          <w:p>
            <w:pPr>
              <w:jc w:val="right"/>
              <w:ind w:right="1332"/>
              <w:spacing w:after="0"/>
              <w:rPr>
                <w:sz w:val="20"/>
                <w:szCs w:val="20"/>
                <w:color w:val="auto"/>
              </w:rPr>
            </w:pPr>
            <w:r>
              <w:rPr>
                <w:rFonts w:ascii="Arial" w:cs="Arial" w:eastAsia="Arial" w:hAnsi="Arial"/>
                <w:sz w:val="18"/>
                <w:szCs w:val="18"/>
                <w:color w:val="auto"/>
              </w:rPr>
              <w:t>(111,968)</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(209,576)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w:t>
            </w:r>
          </w:p>
        </w:tc>
        <w:tc>
          <w:tcPr>
            <w:tcW w:w="14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On Net Income (Loss) Attributable To Lazard Ltd</w:t>
            </w:r>
          </w:p>
        </w:tc>
        <w:tc>
          <w:tcPr>
            <w:tcW w:w="2260" w:type="dxa"/>
            <w:vAlign w:val="bottom"/>
            <w:tcBorders>
              <w:right w:val="single" w:sz="8" w:color="CCEEFF"/>
            </w:tcBorders>
            <w:gridSpan w:val="2"/>
            <w:shd w:val="clear" w:color="auto" w:fill="CCEEFF"/>
          </w:tcPr>
          <w:p>
            <w:pPr>
              <w:jc w:val="right"/>
              <w:ind w:right="1332"/>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104,925)</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Accelerated amortization expense recognized in the first quarter of 2010 in connection with the vesting of share-based incentive compensation awards related to the amendment of the Company’s retirement policy.</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 relating to the restructuring plan announced in the first quarter of 2010.</w:t>
      </w:r>
    </w:p>
    <w:p>
      <w:pPr>
        <w:spacing w:after="0" w:line="9"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acceleration of amortization expense of (i) $86,514 in connection with the vesting of share-based incentive awards held by Lazard’s former Chairman and Chief Executive Officer as a result of his death in October 2009 and (ii) $60,512 related to the unamortized portion of previously awarded deferred cash incentive awards (no portion of which relates to Lazard’s former Chairman and Chief Executive Officer).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 relating to the restructuring plan announced in the first quarter of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Selected financial data from the Company’s reported consolidated results of operations is set forth below, followed by a more detailed discussion of both consolidated and business segment results.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6"/>
              </w:rPr>
              <w:t>Year Ended December 31,</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14"/>
                <w:szCs w:val="14"/>
                <w:b w:val="1"/>
                <w:bCs w:val="1"/>
                <w:color w:val="auto"/>
                <w:w w:val="89"/>
              </w:rPr>
              <w:t>2010</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 in thousands)</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1,833,561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1,904,505</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1,529,963</w:t>
            </w:r>
          </w:p>
        </w:tc>
        <w:tc>
          <w:tcPr>
            <w:tcW w:w="0" w:type="dxa"/>
            <w:vAlign w:val="bottom"/>
          </w:tcPr>
          <w:p>
            <w:pPr>
              <w:spacing w:after="0"/>
              <w:rPr>
                <w:sz w:val="1"/>
                <w:szCs w:val="1"/>
                <w:color w:val="auto"/>
              </w:rPr>
            </w:pPr>
          </w:p>
        </w:tc>
      </w:tr>
      <w:tr>
        <w:trPr>
          <w:trHeight w:val="330"/>
        </w:trPr>
        <w:tc>
          <w:tcPr>
            <w:tcW w:w="7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1,168,909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1,194,158</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1,309,231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410,946</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368,563</w:t>
            </w:r>
          </w:p>
        </w:tc>
        <w:tc>
          <w:tcPr>
            <w:tcW w:w="5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335,180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87,108</w:t>
            </w:r>
          </w:p>
        </w:tc>
        <w:tc>
          <w:tcPr>
            <w:tcW w:w="5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1,591,770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1,657,696</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1,711,951</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6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241,791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246,809</w:t>
            </w:r>
          </w:p>
        </w:tc>
        <w:tc>
          <w:tcPr>
            <w:tcW w:w="5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(181,988)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31,727</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6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214,383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201,424</w:t>
            </w:r>
          </w:p>
        </w:tc>
        <w:tc>
          <w:tcPr>
            <w:tcW w:w="5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(213,715)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(Loss) Attributable to Noncontrolling Interests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Group</w:t>
            </w: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6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$210,705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$194,544</w:t>
            </w:r>
          </w:p>
        </w:tc>
        <w:tc>
          <w:tcPr>
            <w:tcW w:w="5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and awarded compensation and benefits expense and related key ratios, which include non-U.S. GAAP measures used by the Company to manage total compensation and benefits expense. We believe such non-U.S. GAAP measures provide the most meaningful basis for comparison between present, historical and future periods, as described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81"/>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$1,927,772</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$ 2,006,754</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$ 1,643,243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(3,926)</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(8,277)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(16,696)</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(16,277)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Gain on the repurchase of subordinated promissory note (c)</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(18,171)</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Changes in fair value pertaining to Lazard Fund Interests (d)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1,892,003</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1,982,200</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1,622,463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right="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28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Gain on the repurchase of the Company’s subordinated promissory note is excluded from operating revenue because of the non-operating nature of such transaction.</w:t>
      </w:r>
    </w:p>
    <w:p>
      <w:pPr>
        <w:jc w:val="both"/>
        <w:ind w:left="460" w:right="4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fair value of investments held in connection with Lazard Fund Interests and other similar deferred compensation arrangements are excluded from operating revenue because they are equally offset by the change in value of the derivative liability pertaining to such awards, which is recorded within compensation and benefits expense.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256"/>
              <w:spacing w:after="0" w:line="142" w:lineRule="exact"/>
              <w:rPr>
                <w:sz w:val="20"/>
                <w:szCs w:val="20"/>
                <w:color w:val="auto"/>
              </w:rPr>
            </w:pPr>
            <w:r>
              <w:rPr>
                <w:rFonts w:ascii="Arial" w:cs="Arial" w:eastAsia="Arial" w:hAnsi="Arial"/>
                <w:sz w:val="14"/>
                <w:szCs w:val="14"/>
                <w:b w:val="1"/>
                <w:bCs w:val="1"/>
                <w:color w:val="auto"/>
                <w:w w:val="83"/>
              </w:rPr>
              <w:t>2010</w:t>
            </w: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$1,168,909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$1,194,158</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$1,309,231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2010 and 2009 special items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(24,860)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interests (a)</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(3,740)</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(3,098)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Changes in fair value pertaining to Lazard Fund Interests (b)</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3,024</w:t>
            </w:r>
          </w:p>
        </w:tc>
        <w:tc>
          <w:tcPr>
            <w:tcW w:w="3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1,168,193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1,166,200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Deduct – Amortization of incentive compensation awards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(289,366)</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(240,533)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(333,374)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adjusted cash compensation and benefits expense (c)</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878,827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925,667</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Add:</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Year-end deferred incentive compensation awards (d)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280,560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292,744</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Sign-on and other special incentive awards (e)</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39,950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27,255</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 Adjustment for estimated forfeitures (f)</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(32,051)</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(32,000)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Other adjustments (g)</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3,291</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Awarded compensation and benefits expense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1,162,666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1,216,957</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1,083,423</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20" w:type="dxa"/>
            <w:vAlign w:val="bottom"/>
            <w:gridSpan w:val="3"/>
            <w:vMerge w:val="continue"/>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200"/>
              <w:spacing w:after="0"/>
              <w:rPr>
                <w:sz w:val="20"/>
                <w:szCs w:val="20"/>
                <w:color w:val="auto"/>
              </w:rPr>
            </w:pPr>
            <w:r>
              <w:rPr>
                <w:rFonts w:ascii="Arial" w:cs="Arial" w:eastAsia="Arial" w:hAnsi="Arial"/>
                <w:sz w:val="18"/>
                <w:szCs w:val="18"/>
                <w:color w:val="auto"/>
              </w:rPr>
              <w:t>as a % of Operating Revenue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58.8%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Awarded compensation and benefits expense,</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 a % of Operating Revenue</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61.4%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from compensation and benefits expense because such amounts are equally offset by a corresponding change in the fair value of the underlying investments excluded from operating revenue.</w:t>
      </w:r>
    </w:p>
    <w:p>
      <w:pPr>
        <w:spacing w:after="0" w:line="1"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base salaries and benefits of $506,490, $453,193 and $422,614 for 2011, 2010 and 2009, respectively, and cash incentive compensation of $372,373, $472,484 and $404,569 for the respective years.</w:t>
      </w:r>
    </w:p>
    <w:p>
      <w:pPr>
        <w:ind w:left="460" w:right="2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Grant date fair value of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2012, 2011 and 2010 related to the 2011, 2010 and 2009 year-end compensation processes, respectively).</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w:t>
      </w:r>
    </w:p>
    <w:p>
      <w:pPr>
        <w:ind w:left="460" w:right="2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year-end incentive compensation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260" w:type="dxa"/>
            <w:vAlign w:val="bottom"/>
            <w:vMerge w:val="continue"/>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Money management fees</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Revenue</w:t>
            </w: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w w:val="90"/>
              </w:rPr>
              <w:t>See Note 22 of Notes to Consolidated Financial Statements for additional financial information on a geographic basis.</w:t>
            </w: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As Of December 31,</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60" w:type="dxa"/>
            <w:vAlign w:val="bottom"/>
            <w:vMerge w:val="continue"/>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1,092</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999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1,197</w:t>
            </w: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1,131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2,332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480" w:firstLine="456"/>
        <w:spacing w:after="0" w:line="378" w:lineRule="auto"/>
        <w:rPr>
          <w:sz w:val="20"/>
          <w:szCs w:val="20"/>
          <w:color w:val="auto"/>
        </w:rPr>
      </w:pPr>
      <w:r>
        <w:rPr>
          <w:rFonts w:ascii="Arial" w:cs="Arial" w:eastAsia="Arial" w:hAnsi="Arial"/>
          <w:sz w:val="15"/>
          <w:szCs w:val="15"/>
          <w:b w:val="1"/>
          <w:bCs w:val="1"/>
          <w:color w:val="auto"/>
        </w:rPr>
        <w:t>As reflected in the table above, the 2010 and 2009 special items had a significant impact on the Company’s reported operating results for the respective years. Lazard management believes that comparisons between years are most meaningful after excluding the impact of such items.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reported net income attributable to Lazard Group of $211 million in 2011 as compared to $195 million in 2010. The Company’s results in 2010 were significantly impacted by the 2010 special items, which served to decrease net income attributable to Lazard Ltd by $105 million. Accordingly, excluding the after-tax impact of the 2010 special items, net income attributable to Lazard Group in 2011 decreased $89 million, or 30%, as compared to 2010. The changes in the Company’s operating results during these years are described below.</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 decreased by $71 million, or 4%, with operating revenue decreasing by $90 million, or 5%. Fees from investment banking and other advisory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decreased $135 million, or 12%, reflecting the continued cyclical decline in restructuring activity and the number of corporate debt defaults, as well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slowdown in overall M&amp;A activity. Restructuring fee revenues in 2011 declined by $96 million, or 33%. M&amp;A and Strategic Advisory fees in 2011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or 2%. Money management fees, including incentive fees, increased $47 million, or 6%, primarily due to a $102 million, or 14%, increase in money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principally reflecting a $15 billion, or 11%, increase in average AUM for 2011 and a favorable change in the mix of AUM into higher margin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products, partially offset by a $60 million, or 70%, decline in incentive fees earned. Interest income decreased $2 million, or 10%, due primarily to a shift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asset allocation at LFB (with a corresponding decrease in interest expense). Other revenue increased $11 million, or 17%, primarily due to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pre-tax gain of $18 million related to the repurchase of the Company’s subordinated promissory note, partially offset by a $7 million aggregate decrease in net referral fees for underwriting, foreign exchange gains and commission revenue and net investment losses in 2011 (including losses of $3 million related to our purchase of investments underlying Lazard Fund Interests, which are equally offset by a corresponding reduction in compensation and benefits expense) as compared to net investment gains in 2010. Interest expense decreased $8 million, or 8%, principally reflecting the repurchase of our subordinated promissory note in the third quarter of 2011, as well as reduced interest expense on interest rate swap hedges on investments that were sold in 2010.</w:t>
      </w:r>
    </w:p>
    <w:p>
      <w:pPr>
        <w:spacing w:after="0" w:line="10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Compensation and benefits expense in 2011 was $1.169 billion, as compared to $1.194 billion in 2010. The decrease of $25 million in 2011 was principally due to the costs associated with the 2010 special item included in compensation and benefits expense in 2010. Adjusted compensation and benefits expense (which excludes certain items that management believes allows for improved comparability between years and which is described more thoroughly above) was $1.168 billion in 2011, substantially unchanged when compared to $1.166 billion in 2010. The resulting ratios of adjusted compensation and benefits expense to operating revenue were 61.7% and 58.8% for 2011 and 2010, respectively. The increase in the 2011 ratio reflects increases in base salaries of $53 million, or 12%, and amortization expense for deferred incentive compensation of $49 million, or 20%, which in the aggregate were offset by a decrease in cash incentive compensation of $100 million, or 21%. As described above, when analyzing compensation and benefits expense on a full year basis, we believe that awarded compensation and benefits expense provides the most meaningful basis for comparison of compensation and benefits expense between present, historical and future years. Awarded compensation and benefits expense in 2011 of $1.163 billion decreased $54 million, or 4.5%, when compared to $1.217 billion for 2010, roughly in line with the 4.6% decline in operating revenue, despite significant investments in new hires in both of our businesses. The resulting ratio of awarded compensation and benefits expense to operating revenue was substantially unchanged when comparing 2011 to 2010 at 61.5% and 61.4%, respectively. The grant date fair value of year-end deferred incentive compensation awards for 2011 was $281 million, representing a 4% decrease compared to 2010.</w:t>
      </w:r>
    </w:p>
    <w:p>
      <w:pPr>
        <w:spacing w:after="0" w:line="11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2012, we currently anticipate a further increase in amortization expense for deferred incentive compensation of approximately $41 million. While the value of deferred incentive compensation award grants related to the 2011 and 2010 compensation processes were at a lower level than in previous years, the vesting periods associated with award grants related to prior years are uneven, resulting in all of the $41 million of increased amortization expense in 2012. When assuming a constant level of award grants in 2012, we currently anticipate that amortization expense will revert to a lower level in 2013. In addition, we currently expect to record a charge to compensation and benefits expense in the first quarter of 2012 in the range of $25 to $30 million related to severance costs and benefit payments and the acceleration of unrecognized amortization expense of deferred incentive compensation previously granted to individuals being terminated.</w:t>
      </w:r>
    </w:p>
    <w:p>
      <w:pPr>
        <w:spacing w:after="0" w:line="13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Non-compensation expense in 2011 was $411 million, an increase of $42 million, or 11%, as compared to $369 million in 2010. Non-compensation expense in the fourth quarter of 2011 included aggregate charges of $11 million relating to the Company’s leased facilities in the U.K. and the write-off of the capitalized costs related to the Company’s option to acquire the fund management activities of Lazard Alternative Investment Holdings LLC (“LAI”) (see Notes 14 and 20 of Notes to Consolidated Financial Statements). When excluding such charges, non-compensation expense increased by $31 million, or 8%, primarily reflecting (i) higher costs associated with investments in the business, including technology and related consulting, recruitment fees and, to a lesser extent, occupancy-related costs related to new and amended leases and (ii) increased costs related to a higher level of business activity, including transactional and AUM-based costs within our Asset Management business and travel expenditures in both our Financial Advisory and Asset Management businesses. The ratio of non-compensation expense to operating revenue was 21.7% in 2011 versus 18.6% for 2010. In 2012, as compared to 2011, we expect our occupancy-related costs associated with the amended lease at our Rockefeller Center facility to increase by approximately $11 million.</w:t>
      </w:r>
    </w:p>
    <w:p>
      <w:pPr>
        <w:spacing w:after="0" w:line="106" w:lineRule="exact"/>
        <w:rPr>
          <w:sz w:val="20"/>
          <w:szCs w:val="20"/>
          <w:color w:val="auto"/>
        </w:rPr>
      </w:pPr>
    </w:p>
    <w:p>
      <w:pPr>
        <w:jc w:val="center"/>
        <w:ind w:right="380"/>
        <w:spacing w:after="0" w:line="440" w:lineRule="auto"/>
        <w:rPr>
          <w:sz w:val="20"/>
          <w:szCs w:val="20"/>
          <w:color w:val="auto"/>
        </w:rPr>
      </w:pPr>
      <w:r>
        <w:rPr>
          <w:rFonts w:ascii="Arial" w:cs="Arial" w:eastAsia="Arial" w:hAnsi="Arial"/>
          <w:sz w:val="18"/>
          <w:szCs w:val="18"/>
          <w:color w:val="auto"/>
        </w:rPr>
        <w:t>Amortization of intangible assets in 2011 increased by $4 million, primarily due to increased amortization relating to the Edgewater acquisition. 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Operating income in 2011 was $242 million, a decrease of $5 million, or 2%, as compared to operating income of $247 million in 2010 (with such latter amount including the impact of the 2010 special items) and, as a percentage of net revenue, was 13% in both 2011 and 2010. Excluding the impact of the 2010 special items, operating income in 2011 decreased $117 million, or 33%, as compared to operating income of $359 million in 2010, and, as a percentage of net revenue, was 13%, as compared to 19%, respectively.</w:t>
      </w:r>
    </w:p>
    <w:p>
      <w:pPr>
        <w:spacing w:after="0" w:line="13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provision for income taxes was $27 million and $45 million in 2011 and 2010, respectively, representing effective tax rates of 11.3% and 18.4% in 2011 and 2010, respectively. When excluding the tax impact of the 2010 special items, the income tax provision would have been $52 million in 2010, representing an effective tax rate of 14.6%.</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Net income attributable to noncontrolling interests was $4 million and $7 million in 2011 and 2010, respectively, principally reflecting a decrease in the noncontrolling interest in 2011 relating to Edgewater.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versus December 31, 2009</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reported net income attributable to Lazard Group of $195 million in 2010, as compared to a net loss of $217 million in 2009. The Company’s results in these years were adversely affected by the 2010 and the 2009 special items, which served to reduce the net income attributable to Lazard Group in 2010 and 2009 by $105 million and $201 million, respectively. Excluding the after-tax impact of the 2010 and 2009 special items, net income attributable to Lazard Group in 2010 was $299 million, an increase of $315 million as compared to 2009. The changes in the Company’s operating results during these years are described below.</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Net revenue in 2010 increased $375 million, or 24%, as compared to 2009, with operating revenue increasing $360 million, or 22%. Fees from investment banking and other advisory activities increased $149 million, or 16%, including increases of $188 million, or 36%, in M&amp;A and Strategic Advisory fees, as well as higher Capital Markets and Other Advisory fees, primarily from our Private Fund Advisory Group business, with the latter due to an increase in the value and number of fund closings, which in the aggregate was partially offset by a $83 million, or 22%, decline in Restructuring fee revenues reflecting a reduction in restructuring activity as the economy improved and the number of corporate debt defaults declined. Money management fees, including incentive fees, increased $249 million, or 44%, primarily due to a $33 billion, or 32%, increase in average AUM for 2010, the result of market appreciation and net inflows during 2010, a favorable change in the mix of AUM into higher margin equity products and higher incentive fees earned in 2010. Interest income decreased $9 million, or 28%, due primarily to the lower interest rate environment. Other revenue decreased $25 million, or 28%, primarily due to a $17 million, or 59%, decline in underwriting referral fees as a result of a lower level of equity capital markets transactions, and foreign exchange losses, as compared to gains in 2009. Other revenue in 2010 included investment gains of $19 million, as compared to gains of $20 million in 2009. The investment gains in 2010 are net of realized losses of $14 million in connection with the sale in the fourth quarter of LFB’s portfolio, while the gains in 2009 are net of a $13 million write-off of the Company’s investment in warrants of Sapphire Industrials Corp. (“Sapphire”), a special purpose acquisition company sponsored by Lazard. Interest expense decreased $11 million, or 10%, due to the lower interest rate environment and reduced levels of LFB’s customer deposits.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Compensation and benefits expense in 2010 was $1.194 billion, as compared to $1.309 billion in 2009. When excluding the 2010 and 2009 special items, compensation and benefits expense in 2010 increased $7 million, or 1%, which includes an increase in base salaries, the provision for discretionary compensation and profit pools directly related to the increase in operating revenue and was partially offset by a reduction in the amortization of share-based and deferred cash incentive awards. The ratios of adjusted compensation and benefits expense to operating revenue were 58.8% and 71.5% for 2010 and 2009, respectively. Awarded compensation and benefits expense in 2010 of $1.217 billion increased $134 million, or 12%, when compared to the $1.083 billion for 2009, a slower rate than the 22% growth in operating revenue. The increase in awarded compensation and benefits expense reflected a $98 million, or 12%, increase in cash compensation and benefits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expense in 2010 and a $41 million, or 15%, increase in the grant date fair value of total deferred incentive compensation awards. The resulting ratios of awarded compensation and benefits expense to operating revenue were 61.4% and 66.8% for 2010 and 2009, respectively.</w:t>
      </w:r>
    </w:p>
    <w:p>
      <w:pPr>
        <w:spacing w:after="0" w:line="2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Non-compensation expense in 2010 was $369 million, an increase of $34 million, or 10%, as compared to $335 million in 2009. Factors contributing to this increase included higher spending on travel and other business development activities, technology and fund administration expenses related to a higher level of business activity and AUM. The ratio of non-compensation expense to operating revenue was 18.6% in 2010 versus 20.7% in 2009.</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 2010 increased $3 million, primarily due to the Edgewater acquisition in July 2009.</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first quarters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13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Operating income for 2010 was $247 million, as compared to an operating loss of $182 million in the prior year (with such amounts including the impact of the 2010 and 2009 special items) and, as a percentage of net revenue, was 13% in 2010, as compared to (12)% in 2009. Excluding the impact of the 2010 and 2009 special items, operating income in 2010 was $359 million, an increase of $331 million, as compared to operating income of $28 million in 2009, and, as a percentage of net revenue, was 19%, as compared to 2%, respectively.</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provision for income taxes was $45 million and $32 million in 2010 and 2009, respectively, representing effective tax rates of 18.4% and (17.4)% in 2010 and 2009, respectively. When excluding the tax benefits relating to the 2010 and 2009 special items, the income tax provision would have been $52 million in 2010, as compared to $41 million in 2009, representing effective tax rates of 14.6% and 147.5% in 2010 and 2009, respectively. The reduction in the effective tax rate in 2010 was primarily due to a change in the geographic mix of operating income between the respective years.</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income (loss) attributable to noncontrolling interests in 2010 was $7 million, as compared to $3 million in 2009, an increase of $4 million as compared to 2009, principally reflecting an increase in the noncontrolling interest in 2010 relating to Edgewater.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headcount, square footage and other factors.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of the Financial Advisory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700,539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714,059</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$526,225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Capital Markets and Other Advisory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93,825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111,933</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83,885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794,364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825,992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197,743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293,875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376,710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992,107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1,119,867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 (b)</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929,688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950,968(a)</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998,727(a)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168,899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(11,907)</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gridSpan w:val="3"/>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$19,571 and $48,533, representing the portion of the 2010 and 2009 special items, respectively, attributable to the Financial Advisory segment.</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196"/>
        </w:trPr>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 (a)</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(b)</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no individual clients that constituted more than 10% of our Financial Advisory segment net revenue in the years ended December 31, 2011, 2010 or 2009.</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Dealogic as of January 16,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As reflected in the table of operating results of the Financial Advisory segment above, the portion of the 2010 and 2009 special items attributable to the Financial Advisory segment had a significant impact on the segment’s reported operating results for the respective years. Lazard management believes that comparisons between years are most meaningful after excluding the impact of such items.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Total Strategic Advisory net revenue in 2011, representing fees from M&amp;A, Sovereign, Capital Markets, Private Funds and Other Advisory businesses, decreased $32 million, or 4%, and Restructuring revenue declined $96 million, or 33%, as compared to 2010.</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M&amp;A and Strategic Advisory revenue in 2011 decreased $14 million, or 2%. Capital Markets and Other Advisory revenue in 2011 decreased $18 million, or 16%. The decrease in M&amp;A and Strategic Advisory revenue in 2011 was principally due to a general slowdown in activity and resulted in lower average fees per M&amp;A and Strategic Advisory transaction. Our major clients, which in the aggregate represented 25% of our M&amp;A and Strategic Advisory revenue for the year, included Atria Senior Living Group, Clayton Dubilier &amp; Rice, IBM, Landis + Gyr, Parmalat Spa, Progress Energy, Qwest Communications International, Royalty Pharmaceuticals, Smurfit Stone Container and Weather Investments.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decrease in Capital Markets and Other Advisory revenue in 2011 was primarily attributable to a lower level of closings by Private Fund Advisory.</w:t>
      </w:r>
    </w:p>
    <w:p>
      <w:pPr>
        <w:spacing w:after="0" w:line="18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The decline in Restructuring revenue was in turn driven by a cyclical decline in global restructuring activity, resulting in a lower number of active assignments in 2011, as compared to the prior year, and a corresponding decrease in completion fees. Notable assignments completed in 2011 included Energy Alloys, Nortel Networks, Station Casinos and Westgate Resorts.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expenses decreased $21 million, or 2%, as compared to 2010. Excluding the impact of the 2010 special item attributable to the Financial Advisory segment, operating expenses were substantially unchanged when compared to 2010. Declines in compensation and benefits expense in 2011 were offset by higher costs principally related to travel and recruiting expenses.</w:t>
      </w:r>
    </w:p>
    <w:p>
      <w:pPr>
        <w:spacing w:after="0" w:line="12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Financial Advisory operating income in 2011 was $62 million, a decrease of $107 million, as compared to operating income of $169 million in 2010 (with such latter amount including the impact of the 2010 special item) and, as a percentage of net revenue, was 6% as compared to 15% in 2010. Excluding the impact of the 2010 special item, operating income in 2011 decreased $126 million, as compared to operating income of $188 million in 2010.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versus December 31, 2009</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increased $216 million, or 35%, and Restructuring revenue declined $83 million, or 22%, as compared to 2009.</w:t>
      </w:r>
    </w:p>
    <w:p>
      <w:pPr>
        <w:spacing w:after="0" w:line="118"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M&amp;A and Strategic Advisory revenue increased $188 million, or 36%. Capital Markets and Other Advisory revenue increased $28 million, or 33%. The increase in M&amp;A and Strategic Advisory revenue in 2010 was principally due to higher average fees per M&amp;A and Strategic Advisory assignment. Our major clients, which in the aggregate represented 25% of our M&amp;A and Strategic Advisory revenue for the year, included 3G Capital, Abraxis Bioscience, Coca-Cola Enterprises, Continental Airlines, Côte d’Ivoire, Kraft Foods, Marken, Newcrest Mining, Ocarina Trust, Royal Bank of Scotland Group and SSL International.</w:t>
      </w:r>
    </w:p>
    <w:p>
      <w:pPr>
        <w:spacing w:after="0" w:line="9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increase in Capital Markets and Other Advisory revenue in 2010 primarily reflected increased revenue in our Private Fund Advisory Group, resulting from an increase in the number and value of fund closings, and was partially offset by decreases in underwriting referral fees from public offerings.</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decrease in Restructuring revenue was principally driven by a significant decline in retainer fees due to a decline in the number of active assignments in 2010 as compared to the prior year. Notable assignments completed in 2010 included Alliance Bank Joint Stock Company, BTA Bank JSC, Evraz Group, Extended Stay Hotels and LNR Property.</w:t>
      </w:r>
    </w:p>
    <w:p>
      <w:pPr>
        <w:spacing w:after="0" w:line="12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Operating expenses decreased $48 million, or 5%, as compared to 2009. Excluding the impact of the 2010 and 2009 special items attributable to the Financial Advisory segment, operating expenses decreased $19 million, or 2%. The principal contributor to the decrease was a decline in the amortization of share-based and deferred cash incentive compensation awards, which was partially offset by a higher provision for discretionary compensation related to the increase in operating revenue, as well as higher costs related to travel, other business development and technology expenses.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Advisory operating income in 2010 was $169 million, an increase of $181 million, as compared to an operating loss of $12 million in 2009 (with such amounts including the impact of the 2010 and 2009 special items) and, as a percentage of net revenue, was 15% as compared to (1)% in 2009. Excluding the impact of the 2010 and 2009 special items, operating income in 2010 was $188 million, an increase of $151 million, as compared to operating income of $37 million in 2009, and as a percentage of net revenue, was 17%, as compared to 4% in 2009.</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International Equities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27,599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32,037</w:t>
            </w:r>
          </w:p>
        </w:tc>
        <w:tc>
          <w:tcPr>
            <w:tcW w:w="2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32,268</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58,332</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U.S. Equities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116,362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131,300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106,603</w:t>
            </w:r>
          </w:p>
        </w:tc>
        <w:tc>
          <w:tcPr>
            <w:tcW w:w="100" w:type="dxa"/>
            <w:vAlign w:val="bottom"/>
            <w:shd w:val="clear" w:color="auto" w:fill="CCEEFF"/>
          </w:tcPr>
          <w:p>
            <w:pPr>
              <w:spacing w:after="0"/>
              <w:rPr>
                <w:sz w:val="18"/>
                <w:szCs w:val="18"/>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12,293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12,249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13,763</w:t>
            </w: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U.S. Fixed Income</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shd w:val="clear" w:color="auto" w:fill="CCEEFF"/>
          </w:tcPr>
          <w:p>
            <w:pPr>
              <w:spacing w:after="0"/>
              <w:rPr>
                <w:sz w:val="18"/>
                <w:szCs w:val="18"/>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3,936</w:t>
            </w: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Cash Management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141,039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155,337</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129,543</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Average AUM for the years ended December 31, 2011, 2010 and 2009 is set forth below. Average AUM is based on an average of quarterly ending balances for the respective years.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3"/>
          </w:tcPr>
          <w:p>
            <w:pPr>
              <w:jc w:val="center"/>
              <w:ind w:left="6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$ 152,072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$ 137,381</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$ 103,988</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Total AUM at December 31, 2011 decreased $14 billion, or 9%, as compared to total AUM of $155 billion at December 31, 2010, primarily due to market depreciation and, to a lesser extent, the negative impact of the stronger U.S. Dollar versus foreign currencies. However, average AUM for the year ended December 31, 2011 was 11% higher than that for 2010. International, Global and U.S. equities represented 20%, 49% and 14% of total AUM at December 31, 2011, versus 21%, 50% and 14% at December 31, 2010.</w:t>
      </w:r>
    </w:p>
    <w:p>
      <w:pPr>
        <w:spacing w:after="0" w:line="13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AUM at December 31, 2010 increased $26 billion, or 20%, as compared to total AUM of $129 billion at December 31, 2009, primarily the result of market appreciation (which was generally consistent with the industry as a whole) and net inflows occurring during 2010. Average AUM for the year ended December 31, 2010 was 32% higher than the average AUM for 2009. International, Global and U.S. equities represented 21%, 50% and 14% of total AUM at December 31, 2010, respectively, versus 25%, 45% and 12% of total AUM at December 31, 2009, respectively.</w:t>
      </w:r>
    </w:p>
    <w:p>
      <w:pPr>
        <w:spacing w:after="0" w:line="99"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As of December 31, 2011 and December 31, 2010,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December 31, 2011, AUM denominated in foreign currencies represented approximately 61% of our total AUM, as compared to 63% at December 31, 2010. Foreign denominated AUM declines in value with the strengthening of the U.S. Dollar and increases in value as the U.S. Dollar weakens.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years ended December 31, 2011, 2010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180" w:type="dxa"/>
            <w:vAlign w:val="bottom"/>
            <w:tcBorders>
              <w:bottom w:val="single" w:sz="8" w:color="auto"/>
            </w:tcBorders>
            <w:gridSpan w:val="6"/>
          </w:tcPr>
          <w:p>
            <w:pPr>
              <w:jc w:val="center"/>
              <w:ind w:left="598"/>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59"/>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Year</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$155,337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$129,543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9,346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Acquisitions/(Dispositions) (b)</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(13,250)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16,448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AUM—End of Year</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141,039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155,337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inflows of $27,597, $35,028 and $30,984 and outflows of $28,645, $25,682 and $20,731 for the years ended December 31, 2011, 2010 and 2009, respectively.</w:t>
      </w:r>
    </w:p>
    <w:p>
      <w:pPr>
        <w:ind w:left="460" w:right="24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AUM and unfunded fee-earnings commitments related to the Edgewater Acquisition, offset by the disposition of private equity AUM related to the sale of Fonds Partenaires Gestion SA, our former private equity business in France.</w:t>
      </w:r>
    </w:p>
    <w:p>
      <w:pPr>
        <w:spacing w:after="0" w:line="12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the year ended December 31, 2011, inflows were principally in Global Equities and resulted from increased investments in existing accounts, as well as new accounts gained. Outflows in 2011 occurred primarily in Global and International Equities and, to a lesser extent, International and U.S. Fixed Income products.</w:t>
      </w:r>
    </w:p>
    <w:p>
      <w:pPr>
        <w:spacing w:after="0" w:line="12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year ended December 31, 2010, inflows were principally in Global Equities and resulted from increased investments in existing accounts, as well as new accounts gained. Outflows in 2010 occurred primarily in Global and International Equities and certain Fixed Income products.</w:t>
      </w:r>
    </w:p>
    <w:p>
      <w:pPr>
        <w:spacing w:after="0" w:line="7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of February 17, 2012, AUM was $155.7 billion, a $14.7 billion increase since December 31, 2011. The change in AUM was due to market/foreign exchange appreciation of $14.6 billion and net inflows of $0.1 billion. Market appreciation was approximately 10% of AUM since December 31, 2011, which was generally consistent with the increase in global market indices during that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Asset Management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421"/>
              <w:spacing w:after="0" w:line="142" w:lineRule="exact"/>
              <w:rPr>
                <w:sz w:val="20"/>
                <w:szCs w:val="20"/>
                <w:color w:val="auto"/>
              </w:rPr>
            </w:pPr>
            <w:r>
              <w:rPr>
                <w:rFonts w:ascii="Arial" w:cs="Arial" w:eastAsia="Arial" w:hAnsi="Arial"/>
                <w:sz w:val="14"/>
                <w:szCs w:val="14"/>
                <w:b w:val="1"/>
                <w:bCs w:val="1"/>
                <w:color w:val="auto"/>
                <w:w w:val="83"/>
              </w:rPr>
              <w:t>2010</w:t>
            </w: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$818,038</w:t>
            </w:r>
          </w:p>
        </w:tc>
        <w:tc>
          <w:tcPr>
            <w:tcW w:w="220" w:type="dxa"/>
            <w:vAlign w:val="bottom"/>
          </w:tcPr>
          <w:p>
            <w:pPr>
              <w:spacing w:after="0"/>
              <w:rPr>
                <w:sz w:val="18"/>
                <w:szCs w:val="18"/>
                <w:color w:val="auto"/>
              </w:rPr>
            </w:pP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$715,885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486,810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26,245</w:t>
            </w: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86,298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53,118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47,479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897,401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849,662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601,652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 (b)</w:t>
            </w:r>
          </w:p>
        </w:tc>
        <w:tc>
          <w:tcPr>
            <w:tcW w:w="2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628,945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584,348(a)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504,452(a)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268,456</w:t>
            </w: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265,314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2900" w:type="dxa"/>
            <w:vAlign w:val="bottom"/>
            <w:gridSpan w:val="3"/>
          </w:tcPr>
          <w:p>
            <w:pPr>
              <w:jc w:val="right"/>
              <w:ind w:right="80"/>
              <w:spacing w:after="0"/>
              <w:rPr>
                <w:sz w:val="20"/>
                <w:szCs w:val="20"/>
                <w:color w:val="auto"/>
              </w:rPr>
            </w:pPr>
            <w:r>
              <w:rPr>
                <w:rFonts w:ascii="Arial" w:cs="Arial" w:eastAsia="Arial" w:hAnsi="Arial"/>
                <w:sz w:val="18"/>
                <w:szCs w:val="18"/>
                <w:color w:val="auto"/>
              </w:rPr>
              <w:t>30%</w:t>
            </w: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$2,902 and $7,508 representing the portion of the 2010 and 2009 special items attributable to the Asset Management segment.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51"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Our top ten clients accounted for 22%, 22% and 23% of our total AUM at December 31, 2011, 2010 and 2009, respectively, and there were no individual clients that constituted more than 10% of our Asset Management segment net revenue during any of the years ended December 31, 2011, 2010 and 2009.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As reflected in the table of operating results of the Asset Management segment above, the portion of the 2010 and 2009 special items attributable to the Asset Management segment impacted the segment’s reported operating results for the respective years. Lazard management believes that comparisons between years are most meaningful after excluding the impact of such items.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Asset Management net revenue in 2011 increased $48 million, or 6%, as compared to 2010. Management fees increased $102 million, or 14%, as compared to 2010, driven primarily by an 11% increase in average AUM, as well as a favorable change in the mix of AUM into higher margin equity products. Incentive fees, consisting of traditional long-only and alternative investment strategies, decreased $60 million, or 70%, as compared to 2010, principally due to difficult market conditions. Other income increased $6 million, or 12%, as compared to 2010, primarily due to increased interest, commission and custody fee income.</w:t>
      </w:r>
    </w:p>
    <w:p>
      <w:pPr>
        <w:spacing w:after="0" w:line="8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Operating expenses in 2011 increased $45 million, or 8%, as compared to 2010. Excluding the impact of the 2010 special item attributable to the Asset Management segment, operating expenses increased $47 million, or 8%. The principal contributors to the increase were higher fees for fund administration and outsourced services and increased business development expenses for travel and market related data due to the increased level of business activity, transactions and average AUM and higher compensation expense.</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Asset Management operating income in 2011 was $268 million, an increase of $3 million, as compared to operating income of $265 million in 2010 (with such latter amount including the impact of the 2010 special item) and, as a percentage of net revenue, was 30%, as compared to 31% in 2010. Excluding the impact of the 2010 special item, operating income in 2011 was substantially unchanged from 2010.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versus December 31, 2009</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Asset Management net revenue increased $248 million, or 41%, as compared to 2009. Management fees increased $229 million, or 47%, as compared to 2009, driven by a 32% increase in average AUM, as well as a favorable change in the mix of AUM into higher margin equity products. Incentive fees, consisting of traditional long-only and alternative investment strategies, increased $12 million, or 15%, as compared to 2009. Other revenue increased $7 million, or 19%, as compared to 2009, primarily due to increased investment and commission income.</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Operating expenses increased $80 million, or 16%, as compared to 2009. Excluding the impact of the 2010 and 2009 special items attributable to the Asset Management segment, operating expenses increased $85 million, or 17%, primarily due to a higher provision for discretionary compensation and profit pools related to the increase in operating revenue, as well as higher fees for outsourced services related to AUM growth and an increase in the amortization of intangible assets relating to the Edgewater acquisition.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Asset Management operating income was $265 million, an increase of $168 million, as compared to $97 million in 2009 (with such amounts including the impact of the 2010 and 2009 special items) and, as a percentage of net revenue, was 31%, as compared to 16% in 2009. Excluding the impact of the 2010 and 2009 special items, operating income in 2010 was $268 million, an increase of $164 million, as compared to operating income of $104 million in 2009, and, as a percentage of net revenue, was 32%, as compared to 17% in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Corporate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00" w:type="dxa"/>
            <w:vAlign w:val="bottom"/>
            <w:gridSpan w:val="3"/>
          </w:tcPr>
          <w:p>
            <w:pPr>
              <w:jc w:val="right"/>
              <w:ind w:right="94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$ 13,926</w:t>
            </w:r>
          </w:p>
        </w:tc>
        <w:tc>
          <w:tcPr>
            <w:tcW w:w="40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  19,381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3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(92,066)</w:t>
            </w:r>
          </w:p>
        </w:tc>
        <w:tc>
          <w:tcPr>
            <w:tcW w:w="2500" w:type="dxa"/>
            <w:vAlign w:val="bottom"/>
            <w:gridSpan w:val="3"/>
          </w:tcPr>
          <w:p>
            <w:pPr>
              <w:jc w:val="right"/>
              <w:ind w:right="760"/>
              <w:spacing w:after="0"/>
              <w:rPr>
                <w:sz w:val="20"/>
                <w:szCs w:val="20"/>
                <w:color w:val="auto"/>
              </w:rPr>
            </w:pPr>
            <w:r>
              <w:rPr>
                <w:rFonts w:ascii="Arial" w:cs="Arial" w:eastAsia="Arial" w:hAnsi="Arial"/>
                <w:sz w:val="18"/>
                <w:szCs w:val="18"/>
                <w:color w:val="auto"/>
              </w:rPr>
              <w:t>(100,296)</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(108,521)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(78,140)</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(80,915)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22,193</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(55,947)</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(65,024)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33,137</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122,380(a)</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208,772(a)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(89,084)</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(187,404)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(267,281)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Includes expenses of $89,495 and $153,535 representing the portion of the 2010 and 2009 special items, respectively, attributable to the Corporate segment.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and 2009 special items had a significant impact on the segment’s reported operating results for the respective years. Lazard management believes that comparisons between years are most meaningful after excluding the impact of such items.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$3 million, or 3%, as compared to 2010.</w:t>
      </w:r>
    </w:p>
    <w:p>
      <w:pPr>
        <w:spacing w:after="0" w:line="15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Other revenue in 2011 increased $6 million, or 40%, and includes a pre-tax gain of $18 million related to Company’s repurchase of its subordinated promissory note, partially offset by investment losses of $12 million.</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Operating expenses in 2011 decreased $89 million, or 73%, principally related to the net impact of the 2010 special items recorded in the Corporate segment. When excluding the 2010 special items, operating expenses in 2011 were substantially unchanged as compared to 2010, as decreases in compensation and lower expenses related to secondary offerings in 2010 were substantially offset by expenses in the fourth quarter of 2011 related to the U.K. lease write-off and the write-off of the capitalized costs related to our option to acquire the fund management activities of LAI.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versus December 31, 2009</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Net interest expense was relatively unchanged as compared to 2009. Other revenue declined $6 million, or 27%, compared to 2009, reflecting foreign exchange losses in 2010 as compared to gains in 2009, and lower investment income. Investment income in 2010 includes realized losses of $14 million in connection with the fourth quarter sale of LFB’s portfolio, as compared to the $13 million write-off in 2009 of the Company’s investment in warrants of Sapphire (see Note 5 of Notes to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Operating expenses decreased $86 million, or 41%, the principal portion of which related to the net impact of the 2010 and 2009 special items recorded in the Corporate segment. When excluding the impact of the 2010 and 2009 special items, operating expenses declined $22 million, or 40%, principally due to a decline in the amortization of share-based and deferred cash incentive compensation awards, which was partially offset by a higher provision in 2010 in discretionary compensation related to the increase in the Company’s operating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Company’s cash flows are influenced by the timing of the receipt of Financial Advisory and Asset Management fees, the timing of distributions to shareholders, payments of incentive compensation to managing directors and employees and purchases of Class A common stock and, in 2011, repurchases of debt. M&amp;A, Strategic Advisory, and Asset Management fees are generally collected within 60 days of billing, while Restructuring fee collections may extend beyond 60 days, particularly those that involve bankruptcies with court-ordered holdbacks. Fees from our Private Fund Advisory Group activities are generally collected over a four-year period from billing and typically include an interest component.</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9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214.4</w:t>
            </w: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52"/>
              <w:spacing w:after="0"/>
              <w:rPr>
                <w:sz w:val="20"/>
                <w:szCs w:val="20"/>
                <w:color w:val="auto"/>
              </w:rPr>
            </w:pPr>
            <w:r>
              <w:rPr>
                <w:rFonts w:ascii="Arial" w:cs="Arial" w:eastAsia="Arial" w:hAnsi="Arial"/>
                <w:sz w:val="18"/>
                <w:szCs w:val="18"/>
                <w:color w:val="auto"/>
              </w:rPr>
              <w:t>308.6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(134.0)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280" w:type="dxa"/>
            <w:vAlign w:val="bottom"/>
          </w:tcPr>
          <w:p>
            <w:pPr>
              <w:ind w:left="6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(541.5)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0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8"/>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Year</w:t>
            </w: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1,024.7</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Year</w:t>
            </w:r>
          </w:p>
        </w:tc>
        <w:tc>
          <w:tcPr>
            <w:tcW w:w="19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820.9</w:t>
            </w: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1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9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24.6</w:t>
            </w: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52"/>
              <w:spacing w:after="0"/>
              <w:rPr>
                <w:sz w:val="20"/>
                <w:szCs w:val="20"/>
                <w:color w:val="auto"/>
              </w:rPr>
            </w:pPr>
            <w:r>
              <w:rPr>
                <w:rFonts w:ascii="Arial" w:cs="Arial" w:eastAsia="Arial" w:hAnsi="Arial"/>
                <w:sz w:val="18"/>
                <w:szCs w:val="18"/>
                <w:color w:val="auto"/>
              </w:rPr>
              <w:t>299.7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losses (including other-than-temporary impairment losses)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Deferred tax provision</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(Gains) losses on extinguishment of debt</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16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net changes in operating assets and liabilities, including, in 2011, outflows of approximately $90 million associated with the obligation under the 2008 LAM Merger transaction and approximately $57 million in aggregate for LAM seed and private equity investments.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2010, consists primarily of activity relating to proceeds from sales and maturities of “available-for-sale” securities and the distribution received relating to our equity method investment in Sapphire.</w:t>
      </w:r>
    </w:p>
    <w:p>
      <w:pPr>
        <w:ind w:left="460" w:right="32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and common membership interests from LAZ-MD Holdings, settlements of vested RSUs, distributions to members and noncontrolling interest holders and activity relating to borrowings, including, in 2011, the repurchase of the Company’s 3.25% subordinated promissory note.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December 31, 2011, Lazard had approximately $821 million of cash, with such amount including approximately $351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December 31, 2011, Lazard had approximately $312 million in unused lines of credit available to it, including a $150 million, three-year, senior revolving credit facility with a group of lenders that matures in April 2013 (the “Credit Facility”) (see “—Financing Activities” below) and unused lines of credit available to LFB of approximately $91 million (at December 31, 2011 exchange rates) and Edgewater of $65 million. In addition, LFB has access to the Eurosystem Covered Bond Purchase Program of the Banque de France.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December 31, 2011 and December 31, 2010. The agreements with respect to this indebtedness are discussed in more detail in our consolidated financial statements and related notes included elsewhere in this Form 10-K.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Maturity</w:t>
            </w:r>
          </w:p>
        </w:tc>
        <w:tc>
          <w:tcPr>
            <w:tcW w:w="2420" w:type="dxa"/>
            <w:vAlign w:val="bottom"/>
            <w:gridSpan w:val="3"/>
          </w:tcPr>
          <w:p>
            <w:pPr>
              <w:ind w:left="44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gridSpan w:val="3"/>
          </w:tcPr>
          <w:p>
            <w:pPr>
              <w:ind w:left="40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760" w:type="dxa"/>
            <w:vAlign w:val="bottom"/>
          </w:tcPr>
          <w:p>
            <w:pPr>
              <w:spacing w:after="0"/>
              <w:rPr>
                <w:sz w:val="12"/>
                <w:szCs w:val="12"/>
                <w:color w:val="auto"/>
              </w:rPr>
            </w:pPr>
          </w:p>
        </w:tc>
        <w:tc>
          <w:tcPr>
            <w:tcW w:w="118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92"/>
              </w:rPr>
              <w:t>Date</w:t>
            </w:r>
          </w:p>
        </w:tc>
        <w:tc>
          <w:tcPr>
            <w:tcW w:w="960" w:type="dxa"/>
            <w:vAlign w:val="bottom"/>
            <w:tcBorders>
              <w:top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06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67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 in millions)</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60" w:type="dxa"/>
            <w:vAlign w:val="bottom"/>
          </w:tcPr>
          <w:p>
            <w:pPr>
              <w:spacing w:after="0"/>
              <w:rPr>
                <w:sz w:val="18"/>
                <w:szCs w:val="18"/>
                <w:color w:val="auto"/>
              </w:rPr>
            </w:pPr>
          </w:p>
        </w:tc>
        <w:tc>
          <w:tcPr>
            <w:tcW w:w="960" w:type="dxa"/>
            <w:vAlign w:val="bottom"/>
          </w:tcPr>
          <w:p>
            <w:pPr>
              <w:jc w:val="right"/>
              <w:ind w:right="242"/>
              <w:spacing w:after="0"/>
              <w:rPr>
                <w:sz w:val="20"/>
                <w:szCs w:val="20"/>
                <w:color w:val="auto"/>
              </w:rPr>
            </w:pPr>
            <w:r>
              <w:rPr>
                <w:rFonts w:ascii="Arial" w:cs="Arial" w:eastAsia="Arial" w:hAnsi="Arial"/>
                <w:sz w:val="18"/>
                <w:szCs w:val="18"/>
                <w:color w:val="auto"/>
                <w:w w:val="95"/>
              </w:rPr>
              <w:t>$  528.5</w:t>
            </w:r>
          </w:p>
        </w:tc>
        <w:tc>
          <w:tcPr>
            <w:tcW w:w="1040" w:type="dxa"/>
            <w:vAlign w:val="bottom"/>
          </w:tcPr>
          <w:p>
            <w:pPr>
              <w:jc w:val="right"/>
              <w:spacing w:after="0"/>
              <w:rPr>
                <w:sz w:val="20"/>
                <w:szCs w:val="20"/>
                <w:color w:val="auto"/>
              </w:rPr>
            </w:pPr>
            <w:r>
              <w:rPr>
                <w:rFonts w:ascii="Arial" w:cs="Arial" w:eastAsia="Arial" w:hAnsi="Arial"/>
                <w:sz w:val="18"/>
                <w:szCs w:val="18"/>
                <w:color w:val="auto"/>
              </w:rPr>
              <w:t>$  528.5</w:t>
            </w:r>
          </w:p>
        </w:tc>
        <w:tc>
          <w:tcPr>
            <w:tcW w:w="420" w:type="dxa"/>
            <w:vAlign w:val="bottom"/>
          </w:tcPr>
          <w:p>
            <w:pPr>
              <w:spacing w:after="0"/>
              <w:rPr>
                <w:sz w:val="18"/>
                <w:szCs w:val="18"/>
                <w:color w:val="auto"/>
              </w:rPr>
            </w:pPr>
          </w:p>
        </w:tc>
        <w:tc>
          <w:tcPr>
            <w:tcW w:w="640" w:type="dxa"/>
            <w:vAlign w:val="bottom"/>
          </w:tcPr>
          <w:p>
            <w:pPr>
              <w:jc w:val="right"/>
              <w:ind w:right="126"/>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548.4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Subordinated Debt (a):</w:t>
            </w:r>
          </w:p>
        </w:tc>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3.25%</w:t>
            </w:r>
          </w:p>
        </w:tc>
        <w:tc>
          <w:tcPr>
            <w:tcW w:w="3600" w:type="dxa"/>
            <w:vAlign w:val="bottom"/>
            <w:shd w:val="clear" w:color="auto" w:fill="CCEEFF"/>
          </w:tcPr>
          <w:p>
            <w:pPr>
              <w:spacing w:after="0"/>
              <w:rPr>
                <w:sz w:val="18"/>
                <w:szCs w:val="18"/>
                <w:color w:val="auto"/>
              </w:rPr>
            </w:pPr>
          </w:p>
        </w:tc>
        <w:tc>
          <w:tcPr>
            <w:tcW w:w="318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Total Senior and Subordinated Debt</w:t>
            </w:r>
          </w:p>
        </w:tc>
        <w:tc>
          <w:tcPr>
            <w:tcW w:w="3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2"/>
            <w:vMerge w:val="continue"/>
          </w:tcPr>
          <w:p>
            <w:pPr>
              <w:spacing w:after="0"/>
              <w:rPr>
                <w:sz w:val="19"/>
                <w:szCs w:val="19"/>
                <w:color w:val="auto"/>
              </w:rPr>
            </w:pPr>
          </w:p>
        </w:tc>
        <w:tc>
          <w:tcPr>
            <w:tcW w:w="3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1,076.9</w:t>
            </w: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1,226.9</w:t>
            </w:r>
          </w:p>
        </w:tc>
        <w:tc>
          <w:tcPr>
            <w:tcW w:w="7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(150.0)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July 22, 2011, the Company repurchased its outstanding $150 million, 3.25% subordinated promissory note, at a cost, excluding accrued interest, of $131.8 million. Such repurchase resulted in a pre-tax gain of $18.2 million.</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owing to the lending bank group, the Credit Facility includes financial condition covenants that require that Lazard Group not permit (i)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Leverage Ratio (as defined in the Credit Facility) for the 12-month period ending on the last day of any fiscal quarter to be greater than 4.00 to 1.00 or (ii)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Interest Coverage Ratio (as defined in the Credit Facility) for the 12-month period ending on the last day of any fiscal quarter to be less than 3.00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For the 12-month period ended December 31, 2011 Lazard Group was in compliance with such ratios, with its Consolidated Leverage Ratio being 1.87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and its Consolidated Interest Coverage Ratio being 7.90 to 1.00. In any event, no amounts were outstanding under the Credit Facility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December 31, 2011,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13 of Notes to Consolidated Financial Statements for additional information regarding senior and subordinated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At December 31, 2011, total members’ equity was $718 million, as compared to $490 million and $283 million at December 31, 2010 and 2009, respectively, including $614 million, $370 million and $155 million attributable to Lazard Group on the respective dates. The net activity in members’ equity during the years ended December 31, 2011 and 2010 is reflected in the table below (in millions of dollars):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8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2011</w:t>
            </w:r>
          </w:p>
        </w:tc>
        <w:tc>
          <w:tcPr>
            <w:tcW w:w="9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Members’ Equity—Beginning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r>
      <w:tr>
        <w:trPr>
          <w:trHeight w:val="323"/>
        </w:trPr>
        <w:tc>
          <w:tcPr>
            <w:tcW w:w="812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Delivery of Class A common stock in connection with business acquisitions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14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to members and noncontrolling interests—net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AOCI (including noncontrolling interests’ portion thereof)(*)</w:t>
            </w:r>
          </w:p>
        </w:tc>
        <w:tc>
          <w:tcPr>
            <w:tcW w:w="14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Members’ Equity—End of Year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718</w:t>
            </w: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Net foreign currency translation adjustments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08"/>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mark-ups and adjustments for items reclassified to earnings related to securities designated</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as “available-for-sale”</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Employee benefit plans and other adjustments</w:t>
            </w:r>
          </w:p>
        </w:tc>
        <w:tc>
          <w:tcPr>
            <w:tcW w:w="14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8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which permitted the repurchase of up to $200 million in aggregate cost of its Class A common stock and Lazard Group common membership interests through December 31, 2011. In addition, in February 2011 and October 2011, the Board of Directors of Lazard Ltd authorized the repurchase of up to an additional $250 million and $125 million, respectively, in aggregate cost of Lazard Ltd Class A common stock and Lazard Group common membership interests through December 31, 2012 and December 31, 2013, respectively. During the year ended December 31, 2011 Lazard Group and subsidiaries of Lazard Ltd repurchased 6,135,189 shares of Class A common stock, at an aggregate cost of $205 million and 19,032 Lazard Group common membership interests at an aggregate cost of $1 million. As of January 1, 2012, $212 million of the current aggregate $375 million share repurchase amount authorized as of such date remained available as follows – $87 million of the $250 million share repurchase amount expiring December 31, 2012, and all of the $125 million share repurchase amount expiring December 31, 2013. Furthermore, under the terms of the 2005 Plan and the 2008 Plan, upon the vesting of RSUs, shares of Class A common stock may be withheld by the Company to cover estimated income taxes.</w:t>
      </w:r>
    </w:p>
    <w:p>
      <w:pPr>
        <w:spacing w:after="0" w:line="10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to the repurchases of Class A common stock and Lazard Group common membership interests described above, during the year ended December 31, 2011, in order, among other reasons, to help neutralize the dilutive effect of our share-based incentive compensation plans, the Company utilized $93 million to satisfy certain employees’ withholding tax obligations on vested RSUs and delivery of restricted Class A common stock in lieu of issuing 2,422,427 shares of Class A common stock directly by Lazard Ltd or by delivery of shares held by Lazard Group or by subsidiaries of Lazard Ltd.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See Note 15 of Notes to Consolidated Financial Statements for information regarding (i) the issuance of Class A common stock, (ii) secondary offerings of Class A common stock, (iii) exchanges of Lazard Group common membership interests and (iv) the share repurchase program, and Note 16 of Notes to Consolidated Financial Statements for information regarding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21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this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$ 1,415,236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75,218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$ 150,435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$ 622,452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567,131</w:t>
            </w: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Operating Leases (exclusive of $167,124 of sublease income) (b)</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1,067,055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57,201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134,016</w:t>
            </w: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129,009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746,829</w:t>
            </w: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 (b)</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w:t>
            </w: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19,992</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$ 2,558,898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$ 156,083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$ 321,268</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$ 758,694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1,322,853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13 of Notes to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14 of Notes to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6 of Notes to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14, 16, 17 and 19 of Notes to Consolidated Financial Statements regarding information in connection with commitments, incentive plans, employee benefit plans and income taxes,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it may adversely affect our financial position and results of operations by reducing AUM, net revenue or otherwise. See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December 31, 2011 and 2010, the Company had receivables past due of approximately $23 million and $17 million, respectively, and its allowance for doubtful accounts was $19 million and $15 million at such respective 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2011, the Company recorded deferred tax assets of approximately $189 million, with such amount partially offset by a valuation allowance of approximately $89 million due to the uncertainty of realizing the benefits of the book versus tax basis differences and certain net operating loss carry-forwards.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we apply the “more likely than not” criteria prior to the recognition of a financial statement benefit of a tax position taken or expected to be taken in a tax return with respect to uncertainties in income taxes.</w:t>
      </w:r>
    </w:p>
    <w:p>
      <w:pPr>
        <w:spacing w:after="0" w:line="1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Tax contingencies can involve complex issues and may require an extended period of time to resolve. Changes in the geographic mix or estimated level of annual pre-tax income can affect Lazard’s overall effective tax rate. Significant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19 of Notes to Consolidated Financial Statements for additional information regarding income tax matters.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Investments consist principally of debt securities, equities, interests in alternative asset management funds, fixed income funds and other private equity investments.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subsequent thereto, there were no securities designated as “available-for-sale” or “held-to-maturity”.</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2011 (a)</w:t>
            </w:r>
          </w:p>
        </w:tc>
        <w:tc>
          <w:tcPr>
            <w:tcW w:w="3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2010</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w w:val="93"/>
              </w:rPr>
              <w:t>Equity securities (net of $4 and $3 of securities sold, not yet purchased, at December 31, 2011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and 2010, respectively) (c)</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152</w:t>
            </w: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43</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Alternative asset management funds owned (principally GP interests in Lazard-managed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hedge funds) (d)</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Private equity owned (e)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104</w:t>
            </w: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29</w:t>
            </w: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funds (f)</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Other (g)</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9</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351</w:t>
            </w:r>
          </w:p>
        </w:tc>
        <w:tc>
          <w:tcPr>
            <w:tcW w:w="9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9"/>
              </w:rPr>
              <w:t>100%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3"/>
            <w:vMerge w:val="continue"/>
          </w:tcPr>
          <w:p>
            <w:pPr>
              <w:spacing w:after="0"/>
              <w:rPr>
                <w:sz w:val="18"/>
                <w:szCs w:val="18"/>
                <w:color w:val="auto"/>
              </w:rPr>
            </w:pPr>
          </w:p>
        </w:tc>
        <w:tc>
          <w:tcPr>
            <w:tcW w:w="1540" w:type="dxa"/>
            <w:vAlign w:val="bottom"/>
            <w:gridSpan w:val="4"/>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3,037</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 as a percentage of total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-2057400</wp:posOffset>
            </wp:positionV>
            <wp:extent cx="342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460" w:right="2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Investments above include investments held in connection with Lazard Fund Interests and other similar deferred compensation arrangements granted, with an aggregate fair value of $27 million at December 31, 2011. Market risk associated with such investments is equally offset by any changes in the fair value related to the Company’s obligation pertaining to such awards.</w:t>
      </w:r>
    </w:p>
    <w:p>
      <w:pPr>
        <w:spacing w:after="0" w:line="45"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securities primarily consist of U.S. and non-U.S. government debt securities and debt securities of U.S. Government agencies and state and municipal debt securities, and include debt securities seeding our Asset Management business.</w:t>
      </w:r>
    </w:p>
    <w:p>
      <w:pPr>
        <w:spacing w:after="0" w:line="37"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Company’s equity securities primarily represent investments in marketable equity securities of large-, mid- and small-cap domestic, international and global companies seeding new Asset Management products and includes investments in public and private asset management funds managed both by LAM and third-party asset managers. Hedging strategies are employed to attempt to reduce market risk, and, in turn, the volatility to earnings.</w:t>
      </w:r>
    </w:p>
    <w:p>
      <w:pPr>
        <w:spacing w:after="0" w:line="9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Additional information regarding equity securities is shown below:</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1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December 31,</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90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8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r>
      <w:tr>
        <w:trPr>
          <w:trHeight w:val="216"/>
        </w:trPr>
        <w:tc>
          <w:tcPr>
            <w:tcW w:w="89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22"/>
        </w:trPr>
        <w:tc>
          <w:tcPr>
            <w:tcW w:w="8900" w:type="dxa"/>
            <w:vAlign w:val="bottom"/>
          </w:tcPr>
          <w:p>
            <w:pPr>
              <w:ind w:left="1900"/>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w:t>
            </w:r>
          </w:p>
        </w:tc>
      </w:tr>
      <w:tr>
        <w:trPr>
          <w:trHeight w:val="20"/>
        </w:trPr>
        <w:tc>
          <w:tcPr>
            <w:tcW w:w="8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1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37"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 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(iii) Senior Housing, which targets controlling interests in companies and assets in senior housing, extended stay and shopping center sectors,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and (iv) Edgewater Growth Capital Partners III, a private equity fund primarily making growth equity and buyout investments in high-quality, lower middle market companies.</w:t>
      </w:r>
    </w:p>
    <w:p>
      <w:pPr>
        <w:spacing w:after="0" w:line="37" w:lineRule="exact"/>
        <w:rPr>
          <w:sz w:val="20"/>
          <w:szCs w:val="20"/>
          <w:color w:val="auto"/>
        </w:rPr>
      </w:pPr>
    </w:p>
    <w:p>
      <w:pPr>
        <w:ind w:left="460" w:right="38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Fixed income funds primarily consists of amounts seeding products of our Asset Management segment. Hedging strategies are employed to attempt to reduce market risk and, in turn, the volatility to earnings.</w:t>
      </w:r>
    </w:p>
    <w:p>
      <w:pPr>
        <w:spacing w:after="0" w:line="37" w:lineRule="exact"/>
        <w:rPr>
          <w:rFonts w:ascii="Arial" w:cs="Arial" w:eastAsia="Arial" w:hAnsi="Arial"/>
          <w:sz w:val="18"/>
          <w:szCs w:val="18"/>
          <w:color w:val="auto"/>
        </w:rPr>
      </w:pPr>
    </w:p>
    <w:p>
      <w:pPr>
        <w:ind w:left="460" w:right="46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93"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decrease in the Company’s aggregate investments at December 31, 2011 compared to December 31, 2010 of $34 million relates principally to maturities of government debt securities, the disposition of certain alternative asset management funds and a decline in private equity and general partnership interests consolidated but owned by noncontrolling interests, partially offset by additional investments in corporate equities to seed Asset Management products.</w:t>
      </w:r>
    </w:p>
    <w:p>
      <w:pPr>
        <w:spacing w:after="0" w:line="16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December 31, 2011, $133 million of our total investments at a fair value of $351 million, or 38%, were classified as Level 3 assets. Substantially all of our Level 3 investments are priced based on a NAV or its equivalent. During the year ended December 31, 2011, approximately $3 million of losses were recognized in “revenue-other” on the consolidated statement of operations pertaining to Level 3 investments. For additional information, see Note 6 of Notes to Consolidated Financial Statements.</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market fluctuations related to positions held in our investment portfolios”.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See Notes 5 and 6 of Notes to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11 of Notes to Consolidated Financial Statements for additional information regarding goodwill.</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right="380" w:hanging="455"/>
        <w:spacing w:after="0" w:line="268"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20"/>
        <w:spacing w:after="0" w:line="325" w:lineRule="auto"/>
        <w:rPr>
          <w:sz w:val="20"/>
          <w:szCs w:val="20"/>
          <w:color w:val="auto"/>
        </w:rPr>
      </w:pPr>
      <w:r>
        <w:rPr>
          <w:rFonts w:ascii="Arial" w:cs="Arial" w:eastAsia="Arial" w:hAnsi="Arial"/>
          <w:sz w:val="16"/>
          <w:szCs w:val="16"/>
          <w:color w:val="auto"/>
        </w:rPr>
        <w:t>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1" w:lineRule="exact"/>
        <w:rPr>
          <w:sz w:val="20"/>
          <w:szCs w:val="20"/>
          <w:color w:val="auto"/>
        </w:rPr>
      </w:pPr>
    </w:p>
    <w:p>
      <w:pPr>
        <w:ind w:left="1260" w:right="580" w:hanging="455"/>
        <w:spacing w:after="0" w:line="332" w:lineRule="auto"/>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we monitor these risks at both an entity level and on a consolidated basis. Management within each of Lazard’s operating locations is principally responsible for managing the risks within its respective businesses on a day-to-day basis.</w:t>
      </w:r>
    </w:p>
    <w:p>
      <w:pPr>
        <w:spacing w:after="0" w:line="10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Market and/or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December 31, 2011, total receivables amounted to $691 million, net of an allowance for doubtful accounts of $19 million. As of that date, Financial Advisory and Asset Management fees, customer and related party receivables comprised 58%, 12% and 30% of total receivables, respectively. At December 31, 2010, total receivables amounted to $747 million, net of an allowance for doubtful accounts of $15 million. As of that date, Financial Advisory and Asset Management fees, customer and related party receivables comprised 64%, 9% and 27% of total receivables, respectively. See also “Critical Accounting Policies and Estimates—Revenue Recognition” above and Note 4 of Notes to Consolidated Financial Statements for additional information regarding receivables.</w:t>
      </w:r>
    </w:p>
    <w:p>
      <w:pPr>
        <w:spacing w:after="0" w:line="9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December 31, 2011 and 2010, customer and related party receivables included $29 million and $41 million of LFB loans, respectively. Such loans are closely monitored for counterparty creditworthiness to help minimize exposure. In addition, as of December 31, 2011, LFB had commitments to lend totaling $16 million, which are fully collateralized and generally contain requirements for the counterparty to maintain a minimum collateral level.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lending and borrowing transactions with fixed income securities.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December 31, 2011, excluding inter-bank counterparties, LFB had no exposure to an individual counterparty that exceeded $22 million, with such amount being fully collateralized.</w:t>
      </w:r>
    </w:p>
    <w:p>
      <w:pPr>
        <w:spacing w:after="0" w:line="12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With respect to activities outside LFB, as of December 31, 2011 the Company’s largest individual counterparty exposure was a Financial Advisory fee receivable of $17 million, the terms of which require payment over a remaining period of 18 months, including accrued interest.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equity investments. At December 31, 2011 and 2010, such derivative contracts are recorded at fair value. Derivative assets amounted to $7 million and $2 million at December 31, 2011 and 2010, respectively, and derivative liabilities, excluding the derivative liability arising from the Company’s obligation pertaining to Lazard Fund Interests and other similar deferred compensation arrangements, amounted to $1 million and $3 million at such respective dates.</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 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The following sensitivity metrics provide the resultant effects on the Company’s operating income for the year ended December 31, 2011:</w:t>
      </w:r>
    </w:p>
    <w:p>
      <w:pPr>
        <w:spacing w:after="0" w:line="131"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$600 thousand.</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$5 thousand.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December 31, 2011, Lazard estimates that its annual operating income relating to cash and short-term investments and corporate indebtedness would increase by approximately $8 million in the event interest rates were to increase by 1% and decrease by approximately $2 million if rates were to decrease by 1%.</w:t>
      </w:r>
    </w:p>
    <w:p>
      <w:pPr>
        <w:spacing w:after="0" w:line="13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As of December 31, 2011, the Company’s cash and cash equivalents totaled approximately $821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5"/>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1"/>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6"/>
          </w:tcPr>
          <w:p>
            <w:pPr>
              <w:spacing w:after="0" w:line="136" w:lineRule="exact"/>
              <w:rPr>
                <w:rFonts w:ascii="Arial" w:cs="Arial" w:eastAsia="Arial" w:hAnsi="Arial"/>
                <w:sz w:val="15"/>
                <w:szCs w:val="15"/>
                <w:color w:val="0000EE"/>
              </w:rPr>
            </w:pPr>
            <w:hyperlink w:anchor="page69">
              <w:r>
                <w:rPr>
                  <w:rFonts w:ascii="Arial" w:cs="Arial" w:eastAsia="Arial" w:hAnsi="Arial"/>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67</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Reports of Independent Registered Public Accounting Firm</w:t>
              </w:r>
            </w:hyperlink>
          </w:p>
        </w:tc>
        <w:tc>
          <w:tcPr>
            <w:tcW w:w="5560" w:type="dxa"/>
            <w:vAlign w:val="bottom"/>
            <w:gridSpan w:val="9"/>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68-69</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sz w:val="20"/>
                <w:szCs w:val="20"/>
                <w:color w:val="auto"/>
              </w:rPr>
            </w:pPr>
            <w:r>
              <w:rPr>
                <w:rFonts w:ascii="Arial" w:cs="Arial" w:eastAsia="Arial" w:hAnsi="Arial"/>
                <w:sz w:val="18"/>
                <w:szCs w:val="18"/>
                <w:color w:val="0000EE"/>
              </w:rPr>
              <w:t>Consolidated Statements of Financial Condition as of December 31, 2011 and 2010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6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6"/>
              </w:rPr>
              <w:t>Consolidated Statements of Operations for the years ended December 31, 2011, 2010 and 2009</w:t>
            </w:r>
          </w:p>
        </w:tc>
        <w:tc>
          <w:tcPr>
            <w:tcW w:w="3700" w:type="dxa"/>
            <w:vAlign w:val="bottom"/>
            <w:gridSpan w:val="4"/>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304"/>
        </w:trPr>
        <w:tc>
          <w:tcPr>
            <w:tcW w:w="440" w:type="dxa"/>
            <w:vAlign w:val="bottom"/>
          </w:tcPr>
          <w:p>
            <w:pPr>
              <w:spacing w:after="0"/>
              <w:rPr>
                <w:sz w:val="24"/>
                <w:szCs w:val="24"/>
                <w:color w:val="auto"/>
              </w:rPr>
            </w:pPr>
          </w:p>
        </w:tc>
        <w:tc>
          <w:tcPr>
            <w:tcW w:w="67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6"/>
              </w:rPr>
              <w:t>Consolidated Statements of Cash Flows for the years ended December 31, 2011, 2010 and 2009</w:t>
            </w:r>
          </w:p>
        </w:tc>
        <w:tc>
          <w:tcPr>
            <w:tcW w:w="3640" w:type="dxa"/>
            <w:vAlign w:val="bottom"/>
            <w:gridSpan w:val="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304"/>
        </w:trPr>
        <w:tc>
          <w:tcPr>
            <w:tcW w:w="440" w:type="dxa"/>
            <w:vAlign w:val="bottom"/>
          </w:tcPr>
          <w:p>
            <w:pPr>
              <w:spacing w:after="0"/>
              <w:rPr>
                <w:sz w:val="24"/>
                <w:szCs w:val="24"/>
                <w:color w:val="auto"/>
              </w:rPr>
            </w:pPr>
          </w:p>
        </w:tc>
        <w:tc>
          <w:tcPr>
            <w:tcW w:w="80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7"/>
              </w:rPr>
              <w:t>Consolidated Statements of Changes in Members’ Equity for the years ended December 31, 2011, 2010 and 2009</w:t>
            </w:r>
          </w:p>
        </w:tc>
        <w:tc>
          <w:tcPr>
            <w:tcW w:w="23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7"/>
              </w:rPr>
              <w:t>Notes to Consolidated Financial Statements</w:t>
            </w:r>
          </w:p>
        </w:tc>
        <w:tc>
          <w:tcPr>
            <w:tcW w:w="730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64"/>
        </w:trPr>
        <w:tc>
          <w:tcPr>
            <w:tcW w:w="10820" w:type="dxa"/>
            <w:vAlign w:val="bottom"/>
            <w:gridSpan w:val="17"/>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26">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r>
        <w:trPr>
          <w:trHeight w:val="302"/>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7"/>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57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76">
              <w:r>
                <w:rPr>
                  <w:rFonts w:ascii="Arial" w:cs="Arial" w:eastAsia="Arial" w:hAnsi="Arial"/>
                  <w:sz w:val="18"/>
                  <w:szCs w:val="18"/>
                  <w:color w:val="0000EE"/>
                  <w:w w:val="87"/>
                </w:rPr>
                <w:t>Condensed Statements of Financial Condition as of December 31, 2011 and 2010</w:t>
              </w:r>
            </w:hyperlink>
          </w:p>
        </w:tc>
        <w:tc>
          <w:tcPr>
            <w:tcW w:w="4660" w:type="dxa"/>
            <w:vAlign w:val="bottom"/>
            <w:gridSpan w:val="8"/>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6"/>
              </w:rPr>
              <w:t>Condensed Statements of Operations for the years ended December 31, 2011, 2010 and 2009</w:t>
            </w:r>
          </w:p>
        </w:tc>
        <w:tc>
          <w:tcPr>
            <w:tcW w:w="3840" w:type="dxa"/>
            <w:vAlign w:val="bottom"/>
            <w:gridSpan w:val="6"/>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Condensed Statements of Cash Flows for the years ended December 31, 2011, 2010 and 2009</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3660" w:type="dxa"/>
            <w:vAlign w:val="bottom"/>
            <w:gridSpan w:val="7"/>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sz w:val="20"/>
                <w:szCs w:val="20"/>
                <w:color w:val="auto"/>
              </w:rPr>
            </w:pPr>
            <w:r>
              <w:rPr>
                <w:rFonts w:ascii="Arial" w:cs="Arial" w:eastAsia="Arial" w:hAnsi="Arial"/>
                <w:sz w:val="18"/>
                <w:szCs w:val="18"/>
                <w:color w:val="0000EE"/>
              </w:rPr>
              <w:t>Condensed Statements of Changes in Members’ Equity for the years ended December 31, 2011, 2010 and 2009</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304"/>
        </w:trPr>
        <w:tc>
          <w:tcPr>
            <w:tcW w:w="440" w:type="dxa"/>
            <w:vAlign w:val="bottom"/>
          </w:tcPr>
          <w:p>
            <w:pPr>
              <w:spacing w:after="0"/>
              <w:rPr>
                <w:sz w:val="24"/>
                <w:szCs w:val="24"/>
                <w:color w:val="auto"/>
              </w:rPr>
            </w:pPr>
          </w:p>
        </w:tc>
        <w:tc>
          <w:tcPr>
            <w:tcW w:w="7860" w:type="dxa"/>
            <w:vAlign w:val="bottom"/>
            <w:tcBorders>
              <w:top w:val="single" w:sz="8" w:color="0000EE"/>
            </w:tcBorders>
            <w:gridSpan w:val="14"/>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Notes to Condensed Financial Statements</w:t>
              </w:r>
            </w:hyperlink>
          </w:p>
        </w:tc>
        <w:tc>
          <w:tcPr>
            <w:tcW w:w="2520" w:type="dxa"/>
            <w:vAlign w:val="bottom"/>
            <w:gridSpan w:val="2"/>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F-8</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77" w:lineRule="exact"/>
        <w:rPr>
          <w:sz w:val="20"/>
          <w:szCs w:val="20"/>
          <w:color w:val="auto"/>
        </w:rPr>
      </w:pPr>
    </w:p>
    <w:p>
      <w:pPr>
        <w:ind w:left="780" w:right="56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37" w:lineRule="exact"/>
        <w:rPr>
          <w:rFonts w:ascii="Arial" w:cs="Arial" w:eastAsia="Arial" w:hAnsi="Arial"/>
          <w:sz w:val="18"/>
          <w:szCs w:val="18"/>
          <w:color w:val="auto"/>
        </w:rPr>
      </w:pPr>
    </w:p>
    <w:p>
      <w:pPr>
        <w:jc w:val="both"/>
        <w:ind w:left="780" w:right="660" w:hanging="326"/>
        <w:spacing w:after="0" w:line="259"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45"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management’s assessment and those criteria, management believes that the Company maintained effective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of December 31, 2011.</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2011, as stated in their report which appears under “Reports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ind w:right="24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Group LLC and subsidiaries (the “Company”)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7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2011 of the Company, and our report dated February 28, 2012 expressed an unqualified opinion on those consolidated financial statements and financial statement schedule.</w:t>
      </w:r>
    </w:p>
    <w:p>
      <w:pPr>
        <w:spacing w:after="0" w:line="9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Group LLC and subsidiaries (the “Company”) as of December 31, 2011 and 2010, and the related consolidated statements of operations, cash flows, and changes in members’ equity, for each of the three years in the period ended December 31, 2011.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Lazard Group LLC and subsidiaries at December 31, 2011 and 2010, and the results of their operations and their cash flows for each of the three years in the period ended December 31, 2011,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28, 2012 expressed an unqualified opinion on the Company’s internal control over financial reporting.</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126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820,984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$ 1,024,792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286,037</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356,539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75,506</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92,911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$19,450 and $15,017 at December 31, 2011 and 2010, respectively):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Fees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402,843</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480,340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83,111</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204,740</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690,694</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355,510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388,138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Property (net of accumulated amortization and depreciation of $266,673 and $250,898 at December 31, 2011 and 2010,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168,429</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150,524</w:t>
            </w:r>
          </w:p>
        </w:tc>
        <w:tc>
          <w:tcPr>
            <w:tcW w:w="0" w:type="dxa"/>
            <w:vAlign w:val="bottom"/>
          </w:tcPr>
          <w:p>
            <w:pPr>
              <w:spacing w:after="0"/>
              <w:rPr>
                <w:sz w:val="1"/>
                <w:szCs w:val="1"/>
                <w:color w:val="auto"/>
              </w:rPr>
            </w:pPr>
          </w:p>
        </w:tc>
      </w:tr>
      <w:tr>
        <w:trPr>
          <w:trHeight w:val="316"/>
        </w:trPr>
        <w:tc>
          <w:tcPr>
            <w:tcW w:w="9240" w:type="dxa"/>
            <w:vAlign w:val="bottom"/>
            <w:gridSpan w:val="2"/>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$26,922 and $15,007 at December 31, 2011 and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2010, respectively)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393,099</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361,439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247,194</w:t>
            </w: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3,037,453</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$ 3,336,284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MEMBERS’ EQUITY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288,427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383,513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1,076,850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420,152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2,319,186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2,845,837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1"/>
              </w:rPr>
              <w:t>Members’ equity (net of 2,174,573 and 6,847,508 shares of Lazard Ltd Class A common stock, at cost of $72,410 and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$227,950 at December 31, 2011 and 2010, respectively)</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693,596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404,588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860"/>
              <w:spacing w:after="0"/>
              <w:rPr>
                <w:sz w:val="20"/>
                <w:szCs w:val="20"/>
                <w:color w:val="auto"/>
              </w:rPr>
            </w:pPr>
            <w:r>
              <w:rPr>
                <w:rFonts w:ascii="Arial" w:cs="Arial" w:eastAsia="Arial" w:hAnsi="Arial"/>
                <w:sz w:val="18"/>
                <w:szCs w:val="18"/>
                <w:color w:val="auto"/>
              </w:rPr>
              <w:t>Total Lazard Group members’ equity</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614,344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718,267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3,037,453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3,336,284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970,167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1,105,168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859,996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812,709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24,643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75,394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64,234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1,927,772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2,006,754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1,643,243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94,211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102,249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1,833,561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1,904,505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1,529,963</w:t>
            </w: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1,168,909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1,194,158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1,309,231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100,681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88,320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77,057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83,212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73,744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52,793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47,574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87,108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39,134</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39,891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1,591,770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1,657,696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1,711,951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241,791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246,809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(181,988)</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27,408</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45,385</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31,727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214,383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201,424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(213,715)</w:t>
            </w:r>
          </w:p>
        </w:tc>
        <w:tc>
          <w:tcPr>
            <w:tcW w:w="0" w:type="dxa"/>
            <w:vAlign w:val="bottom"/>
          </w:tcPr>
          <w:p>
            <w:pPr>
              <w:spacing w:after="0"/>
              <w:rPr>
                <w:sz w:val="1"/>
                <w:szCs w:val="1"/>
                <w:color w:val="auto"/>
              </w:rPr>
            </w:pPr>
          </w:p>
        </w:tc>
      </w:tr>
      <w:tr>
        <w:trPr>
          <w:trHeight w:val="32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3,678</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6,880</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LAZARD GROUP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210,705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194,544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214,383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201,424</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(213,715)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Noncash items included in net income (loss):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24,580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22,712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299,654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315,617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371,363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11,915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(9,431)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6,108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 losses (including other-than-temporary impairment losses)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8,854</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(Gains) loss on extinguishment of debt</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(18,171)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424</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Deposits with banks</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63,639</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(221,072)</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16,408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(73,005)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52,956</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(199,048)</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25,282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(21,537)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(70,214)</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(6,213)</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(62,399)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43,535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(247,892)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(159,584)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(32,039)</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vMerge w:val="restart"/>
          </w:tcPr>
          <w:p>
            <w:pPr>
              <w:ind w:left="1280"/>
              <w:spacing w:after="0"/>
              <w:rPr>
                <w:sz w:val="20"/>
                <w:szCs w:val="20"/>
                <w:color w:val="auto"/>
              </w:rPr>
            </w:pPr>
            <w:r>
              <w:rPr>
                <w:rFonts w:ascii="Arial" w:cs="Arial" w:eastAsia="Arial" w:hAnsi="Arial"/>
                <w:sz w:val="14"/>
                <w:szCs w:val="14"/>
                <w:color w:val="auto"/>
              </w:rPr>
              <w:t>Net cash provided by operating activities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389,018</w:t>
            </w:r>
          </w:p>
        </w:tc>
        <w:tc>
          <w:tcPr>
            <w:tcW w:w="8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53,627</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271,354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60" w:type="dxa"/>
            <w:vAlign w:val="bottom"/>
          </w:tcPr>
          <w:p>
            <w:pPr>
              <w:ind w:left="420"/>
              <w:spacing w:after="0"/>
              <w:rPr>
                <w:sz w:val="20"/>
                <w:szCs w:val="20"/>
                <w:color w:val="auto"/>
              </w:rPr>
            </w:pPr>
            <w:r>
              <w:rPr>
                <w:rFonts w:ascii="Arial" w:cs="Arial" w:eastAsia="Arial" w:hAnsi="Arial"/>
                <w:sz w:val="14"/>
                <w:szCs w:val="14"/>
                <w:color w:val="auto"/>
              </w:rPr>
              <w:t>Acquisition of businesses in 2009 (net of cash acquired of $6,641), and equity method investments</w:t>
            </w: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Distributions relating to equity method investments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51,437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(46,438)</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(13,382)</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Purchases of held-to-maturity securities</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(136,095)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held-to-maturity securities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132,209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Purchases of available-for-sale securities</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and maturities of available-for-sale securities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241,029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vMerge w:val="restart"/>
          </w:tcPr>
          <w:p>
            <w:pPr>
              <w:ind w:left="1280"/>
              <w:spacing w:after="0"/>
              <w:rPr>
                <w:sz w:val="20"/>
                <w:szCs w:val="20"/>
                <w:color w:val="auto"/>
              </w:rPr>
            </w:pPr>
            <w:r>
              <w:rPr>
                <w:rFonts w:ascii="Arial" w:cs="Arial" w:eastAsia="Arial" w:hAnsi="Arial"/>
                <w:sz w:val="14"/>
                <w:szCs w:val="14"/>
                <w:color w:val="auto"/>
              </w:rPr>
              <w:t>Net cash provided by (used) in investing activities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(45,277)</w:t>
            </w:r>
          </w:p>
        </w:tc>
        <w:tc>
          <w:tcPr>
            <w:tcW w:w="80" w:type="dxa"/>
            <w:vAlign w:val="bottom"/>
          </w:tcPr>
          <w:p>
            <w:pPr>
              <w:spacing w:after="0"/>
              <w:rPr>
                <w:sz w:val="14"/>
                <w:szCs w:val="14"/>
                <w:color w:val="auto"/>
              </w:rPr>
            </w:pPr>
          </w:p>
        </w:tc>
        <w:tc>
          <w:tcPr>
            <w:tcW w:w="8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411,725</w:t>
            </w:r>
          </w:p>
        </w:tc>
        <w:tc>
          <w:tcPr>
            <w:tcW w:w="60" w:type="dxa"/>
            <w:vAlign w:val="bottom"/>
          </w:tcPr>
          <w:p>
            <w:pPr>
              <w:spacing w:after="0"/>
              <w:rPr>
                <w:sz w:val="14"/>
                <w:szCs w:val="14"/>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(96,558)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Proceeds from:</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Contributions from noncontrolling interests</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13,328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1,386</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33,312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and subordinated debt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(131,829)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(10,375)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(2,322)</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(2,400)</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(28,642)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(18,234)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Repurchase of common membership interests from members of LAZ-MD Holdings</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(794)</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(7,248)</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 of Lazard Ltd Class A common stock</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(172,864)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(149,981)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60" w:type="dxa"/>
            <w:vAlign w:val="bottom"/>
          </w:tcPr>
          <w:p>
            <w:pPr>
              <w:ind w:left="860"/>
              <w:spacing w:after="0"/>
              <w:rPr>
                <w:sz w:val="20"/>
                <w:szCs w:val="20"/>
                <w:color w:val="auto"/>
              </w:rPr>
            </w:pPr>
            <w:r>
              <w:rPr>
                <w:rFonts w:ascii="Arial" w:cs="Arial" w:eastAsia="Arial" w:hAnsi="Arial"/>
                <w:sz w:val="14"/>
                <w:szCs w:val="14"/>
                <w:color w:val="auto"/>
              </w:rPr>
              <w:t>Distributions to members</w:t>
            </w:r>
          </w:p>
        </w:tc>
        <w:tc>
          <w:tcPr>
            <w:tcW w:w="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(92,454)</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(122,000)</w:t>
            </w: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(118,214)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(93,750)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(57,576)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(33,538)</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(144)</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financing activities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(541,479)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(330,022)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(207,308)</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(6,070)</w:t>
            </w:r>
          </w:p>
        </w:tc>
        <w:tc>
          <w:tcPr>
            <w:tcW w:w="80" w:type="dxa"/>
            <w:vAlign w:val="bottom"/>
          </w:tcPr>
          <w:p>
            <w:pPr>
              <w:spacing w:after="0"/>
              <w:rPr>
                <w:sz w:val="13"/>
                <w:szCs w:val="13"/>
                <w:color w:val="auto"/>
              </w:rPr>
            </w:pPr>
          </w:p>
        </w:tc>
        <w:tc>
          <w:tcPr>
            <w:tcW w:w="8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(10,271)</w:t>
            </w:r>
          </w:p>
        </w:tc>
        <w:tc>
          <w:tcPr>
            <w:tcW w:w="6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(203,808)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125,059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3"/>
              </w:rPr>
              <w:t>1,024,792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899,733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907,278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EQUIVALENTS—December 31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820,984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1,024,792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899,733</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paid during the year for:</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92,702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101,751</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8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Income taxes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54,511</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66,732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28,185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Accumulated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Members’</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Lazard Group</w:t>
            </w:r>
          </w:p>
        </w:tc>
        <w:tc>
          <w:tcPr>
            <w:tcW w:w="14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Equity</w:t>
            </w: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Net of Tax</w:t>
            </w: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Members’ Equity</w:t>
            </w: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Interests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2009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$227,036</w:t>
            </w:r>
          </w:p>
        </w:tc>
        <w:tc>
          <w:tcPr>
            <w:tcW w:w="5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(121,407)</w:t>
            </w:r>
          </w:p>
        </w:tc>
        <w:tc>
          <w:tcPr>
            <w:tcW w:w="5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$105,629</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$20,881</w:t>
            </w:r>
          </w:p>
        </w:tc>
        <w:tc>
          <w:tcPr>
            <w:tcW w:w="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126,510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(216,547)</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(216,547)</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2,832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62,992</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62,992</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1,077</w:t>
            </w:r>
          </w:p>
        </w:tc>
        <w:tc>
          <w:tcPr>
            <w:tcW w:w="5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1,077</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Available-for-sale securities: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060"/>
              <w:spacing w:after="0"/>
              <w:rPr>
                <w:sz w:val="20"/>
                <w:szCs w:val="20"/>
                <w:color w:val="auto"/>
              </w:rPr>
            </w:pPr>
            <w:r>
              <w:rPr>
                <w:rFonts w:ascii="Arial" w:cs="Arial" w:eastAsia="Arial" w:hAnsi="Arial"/>
                <w:sz w:val="18"/>
                <w:szCs w:val="18"/>
                <w:color w:val="auto"/>
              </w:rPr>
              <w:t>Net unrealized gain</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27,612</w:t>
            </w:r>
          </w:p>
        </w:tc>
        <w:tc>
          <w:tcPr>
            <w:tcW w:w="5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27,612</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1,268</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40"/>
              <w:spacing w:after="0"/>
              <w:rPr>
                <w:sz w:val="20"/>
                <w:szCs w:val="20"/>
                <w:color w:val="auto"/>
              </w:rPr>
            </w:pPr>
            <w:r>
              <w:rPr>
                <w:rFonts w:ascii="Arial" w:cs="Arial" w:eastAsia="Arial" w:hAnsi="Arial"/>
                <w:sz w:val="18"/>
                <w:szCs w:val="18"/>
                <w:color w:val="auto"/>
              </w:rPr>
              <w:t>Employee benefit plans: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Prior service costs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(15,152)</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(15,152)</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(18,215)</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(18,215)</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5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5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(153,932)</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3,031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(150,901)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5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8"/>
              </w:rPr>
              <w:t>Acquisitions of and distributions to members and noncontrolling</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interests, net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(118,214)</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(118,214)</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101,505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(16,709)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(50,479)</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(50,479)</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Delivery of Lazard Ltd Class A common stock in connection</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with share-based incentive compensation</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(13,220)</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(13,220)</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(13,285)</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(13,285)</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Business acquisitions: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membership interests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32,384</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32,384</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Adjustments related to business acquisitions and related</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700" w:type="dxa"/>
            <w:vAlign w:val="bottom"/>
          </w:tcPr>
          <w:p>
            <w:pPr>
              <w:jc w:val="right"/>
              <w:spacing w:after="0"/>
              <w:rPr>
                <w:sz w:val="20"/>
                <w:szCs w:val="20"/>
                <w:color w:val="auto"/>
              </w:rPr>
            </w:pPr>
            <w:r>
              <w:rPr>
                <w:rFonts w:ascii="Arial" w:cs="Arial" w:eastAsia="Arial" w:hAnsi="Arial"/>
                <w:sz w:val="18"/>
                <w:szCs w:val="18"/>
                <w:color w:val="auto"/>
              </w:rPr>
              <w:t>10,778</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10,778</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noncontrolling interests</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(2,143)</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(2,143)</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2,143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(209)</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(209)</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2009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214,163</w:t>
            </w: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$(58,792)</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$155,371</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$127,560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282,931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74</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Accumulated</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Members’</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Lazard Group</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 of Tax</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Members’ Equity</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$214,163</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4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$127,560</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282,931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Other comprehensive income (loss)-net of tax:</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(9,508)</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40"/>
              <w:spacing w:after="0"/>
              <w:rPr>
                <w:sz w:val="20"/>
                <w:szCs w:val="20"/>
                <w:color w:val="auto"/>
              </w:rPr>
            </w:pPr>
            <w:r>
              <w:rPr>
                <w:rFonts w:ascii="Arial" w:cs="Arial" w:eastAsia="Arial" w:hAnsi="Arial"/>
                <w:sz w:val="18"/>
                <w:szCs w:val="18"/>
                <w:color w:val="auto"/>
              </w:rPr>
              <w:t>Net unrealized gain</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3,129</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3,129</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actuarial gain</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1,643</w:t>
            </w:r>
          </w:p>
        </w:tc>
        <w:tc>
          <w:tcPr>
            <w:tcW w:w="4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4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218,313</w:t>
            </w:r>
          </w:p>
        </w:tc>
        <w:tc>
          <w:tcPr>
            <w:tcW w:w="4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4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of share-based incentive 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305,303</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305,303</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305,303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(122,000)</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(122,000)</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(13,610)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(149,981)</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(149,981)</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(149,981)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5"/>
              </w:rPr>
              <w:t>Delivery of Lazard Ltd Class A common stock in connection with share-</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based incentive compensation</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(57,576)</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(57,576)</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Repurchase of common membership interests from LAZ-MD Holdings</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(7,248)</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(7,248)</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Common membership interests issued</w:t>
            </w:r>
          </w:p>
        </w:tc>
        <w:tc>
          <w:tcPr>
            <w:tcW w:w="700" w:type="dxa"/>
            <w:vAlign w:val="bottom"/>
          </w:tcPr>
          <w:p>
            <w:pPr>
              <w:jc w:val="right"/>
              <w:spacing w:after="0"/>
              <w:rPr>
                <w:sz w:val="20"/>
                <w:szCs w:val="20"/>
                <w:color w:val="auto"/>
              </w:rPr>
            </w:pPr>
            <w:r>
              <w:rPr>
                <w:rFonts w:ascii="Arial" w:cs="Arial" w:eastAsia="Arial" w:hAnsi="Arial"/>
                <w:sz w:val="18"/>
                <w:szCs w:val="18"/>
                <w:color w:val="auto"/>
              </w:rPr>
              <w:t>20,804</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20,804</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20,804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Lazard Ltd Class A common stock issued / issuable (including in</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connection with LAM Merger and related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(122)</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2010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404,588</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$(35,023)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490,447</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0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jc w:val="center"/>
        <w:ind w:left="260" w:right="2680"/>
        <w:spacing w:after="0" w:line="262" w:lineRule="auto"/>
        <w:rPr>
          <w:sz w:val="20"/>
          <w:szCs w:val="20"/>
          <w:color w:val="auto"/>
        </w:rPr>
      </w:pPr>
      <w:r>
        <w:rPr>
          <w:rFonts w:ascii="Arial" w:cs="Arial" w:eastAsia="Arial" w:hAnsi="Arial"/>
          <w:sz w:val="18"/>
          <w:szCs w:val="18"/>
          <w:b w:val="1"/>
          <w:bCs w:val="1"/>
          <w:color w:val="auto"/>
        </w:rPr>
        <w:t>CONSOLIDATED STATEMENTS OF CHANGES IN MEMBERS’ EQUITY FOR THE YEARS ENDED DECEMBER 31, 2011, 2010 and 2009—(Continued)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Accumulated</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Total</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Members’</w:t>
            </w: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 of Tax</w:t>
            </w: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Members’ Equity</w:t>
            </w: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Interests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$404,588</w:t>
            </w: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490,447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210,705</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210,705</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3,678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(9,241)</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(9,241)</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1,054</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1,054</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640"/>
              <w:spacing w:after="0"/>
              <w:rPr>
                <w:sz w:val="20"/>
                <w:szCs w:val="20"/>
                <w:color w:val="auto"/>
              </w:rPr>
            </w:pPr>
            <w:r>
              <w:rPr>
                <w:rFonts w:ascii="Arial" w:cs="Arial" w:eastAsia="Arial" w:hAnsi="Arial"/>
                <w:sz w:val="18"/>
                <w:szCs w:val="18"/>
                <w:color w:val="auto"/>
              </w:rPr>
              <w:t>Net actuarial loss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(38,248)</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(38,248)</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2,206</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2,206</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gridSpan w:val="2"/>
            <w:vMerge w:val="restart"/>
          </w:tcPr>
          <w:p>
            <w:pPr>
              <w:ind w:left="20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166,476</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3,443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169,919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275,142</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275,142</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(92,454)</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(92,454)</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(20,402)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(172,864)</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(172,864)</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(172,864)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5"/>
              </w:rPr>
              <w:t>Delivery of Lazard Ltd Class A common stock in connection with share-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based incentive compensation and related tax benefit of $972</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(92,778)</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(92,778)</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(92,778)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Repurchase of common membership interests from LAZ-MD Holdings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(794)</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(794)</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Business acquisitions: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Delivery of Lazard Ltd Class A common stock</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103,567</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103,567</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Common membership interests issued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53,486</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53,486</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53,486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Lazard Ltd Class A common stock issuable (including in connection</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with LAM Merger and related amortization)</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5,201</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5,201</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(203)</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2011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693,596</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$(79,252)</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$614,344</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$103,923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718,267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123,686,338, 127,350,561 and 129,766,090 common membership interests at December 31, 2009, 2010 and 2011,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right="7040" w:firstLine="8"/>
        <w:spacing w:after="0" w:line="332" w:lineRule="auto"/>
        <w:tabs>
          <w:tab w:leader="none" w:pos="17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Lazard Ltd, a Bermuda holding company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Ltd indirectly held approximately 94.8% and 94.0% of all outstanding Lazard Group common membership interests as of December 31, 2011 and 2010, respectively. Lazard Ltd, through its control of the managing members of Lazard Group, controls Lazard Group. LAZ-MD Holdings LLC (“LAZ-MD Holdings”), an entity owned by Lazard Group’s current and former managing directors, held approximately 5.2% and 6.0% of the outstanding Lazard Group common membership interests as of December 31, 2011 and 2010, respectively. Additionally, LAZ-MD Holdings was the sole owner of the one issued and outstanding share of Lazard Ltd’s Class B common stock (the “Class B common stock”) which provided LAZ-MD Holdings with approximately 5.2% and 6.0% of the voting power but no economic rights in Lazard Ltd as of December 31, 2011 and 2010, respectively. Subject to certain limitations, LAZ-MD Holdings’ interests in Lazard Group are exchangeable for Lazard Ltd Class A common stock, par value $0.01 per share (“Class A common stock”).</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77" w:lineRule="exact"/>
        <w:rPr>
          <w:sz w:val="20"/>
          <w:szCs w:val="20"/>
          <w:color w:val="auto"/>
        </w:rPr>
      </w:pPr>
    </w:p>
    <w:p>
      <w:pPr>
        <w:jc w:val="both"/>
        <w:ind w:left="780" w:right="160" w:hanging="326"/>
        <w:spacing w:after="0" w:line="25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45"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7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The Company’s policy is to consolidate (i) entities in which it has a controlling financial interest, (ii) variable interest entities (“VIEs”) where the Company has a</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3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LFG, and Maison Lazard SAS and its subsidiaries; and Lazard &amp; Co., Limited (“LCL”), through Lazard &amp; Co., Holdings Limited, an English private limited company (“LCH”), together with their jointly owned affiliates and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(losses) amounted to $1,387, $(1,606) and $5,713, respectively, for the years ended December 31, 2011, 2010 and 2009, and are included in “revenue-other” on the respective consolidated statements of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In preparing the consolidated financial statements, management makes estimates and assumptions regarding:</w:t>
      </w:r>
    </w:p>
    <w:p>
      <w:pPr>
        <w:spacing w:after="0" w:line="77" w:lineRule="exact"/>
        <w:rPr>
          <w:sz w:val="20"/>
          <w:szCs w:val="20"/>
          <w:color w:val="auto"/>
        </w:rPr>
      </w:pPr>
    </w:p>
    <w:p>
      <w:pPr>
        <w:ind w:left="780" w:right="72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share-based and other deferred compensation plan forfeitures,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Deposits with Banks</w:t>
      </w:r>
      <w:r>
        <w:rPr>
          <w:rFonts w:ascii="Arial" w:cs="Arial" w:eastAsia="Arial" w:hAnsi="Arial"/>
          <w:sz w:val="18"/>
          <w:szCs w:val="18"/>
          <w:color w:val="auto"/>
        </w:rPr>
        <w:t>—Represents LFB’s short-term deposits, principally with the Banque de France. The level of these deposits may be driven by the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LFB customer and bank-related interest-bearing time and demand deposits (which can fluctuate significantly on a daily basis) and by changes in asset allocation.</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52"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b w:val="1"/>
          <w:bCs w:val="1"/>
          <w:color w:val="auto"/>
        </w:rPr>
        <w:t>—</w:t>
      </w:r>
      <w:r>
        <w:rPr>
          <w:rFonts w:ascii="Arial" w:cs="Arial" w:eastAsia="Arial" w:hAnsi="Arial"/>
          <w:sz w:val="18"/>
          <w:szCs w:val="18"/>
          <w:color w:val="auto"/>
        </w:rPr>
        <w:t>Investments in debt and marketable equity securities held either directly or indirectly through asset management funds at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2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may include “trading”, “available-for-sale” and “held-to-maturity” securities. Investments in debt and marketable equity securities considered “trading” securities are accounted for at fair value, with any increase or decrease in fair value reflected in “revenue-other” in the consolidated statements of operations. Investments in debt securities considered “available-for-sale” securities are accounted for at fair value, with any increase or decrease in fair value reported in AOCI, until such time they are realized and reclassified to earnings. Investments in debt securities considered “held-to-maturity” securities are accounted for at amortized cost. Declines in the fair value of “available-for-sale” and “held-to-maturity” securities that are determined to be other-than-temporary are charged to earnings, which, for periods beginning after April 1, 2009, may only include the credit loss component of such declines. At December 31, 2010 and subsequent thereto, the Company had no “available-for-sale” or “held-to-maturity” debt or marketable equity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Other investments include general partnership and limited partnership interests in alternative asset management funds, fixed income funds and private equity investments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of Notes to Consolidated Financial Statements for additional information regarding the Company’s investments.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Property-net—</w:t>
      </w:r>
      <w:r>
        <w:rPr>
          <w:rFonts w:ascii="Arial" w:cs="Arial" w:eastAsia="Arial" w:hAnsi="Arial"/>
          <w:sz w:val="16"/>
          <w:szCs w:val="16"/>
          <w:color w:val="auto"/>
        </w:rPr>
        <w:t>Property is stated at cost or, in the case of buildings under capital leases, the present value of the future minimum lease payments,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and amortization. Buildings represent owned property and amounts recorded pursuant to capital leases (see Notes 10 and 14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$24,580, $22,712 and $22,541 for the years ended December 31, 2011, 2010 and 2009,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0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b w:val="1"/>
          <w:bCs w:val="1"/>
          <w:i w:val="1"/>
          <w:iCs w:val="1"/>
          <w:color w:val="auto"/>
        </w:rPr>
        <w:t>Goodwill and Other Intangible Assets—</w:t>
      </w:r>
      <w:r>
        <w:rPr>
          <w:rFonts w:ascii="Arial" w:cs="Arial" w:eastAsia="Arial" w:hAnsi="Arial"/>
          <w:sz w:val="18"/>
          <w:szCs w:val="18"/>
          <w:color w:val="auto"/>
        </w:rPr>
        <w:t>As goodwill has an indefinite life, it is required to be tested for impairment annually or more frequently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impairment may have occurred. For years prior to 2011, the Company assessed whether any goodwill recorded by its applicable reporting units was impaired by comparing the fair value of each reporting unit with its respective carrying amount. In this process, Lazard used its best judgment and information available to it at the time to perform this review and utilized various valuation techniques in order to determine the applicable fair values. Commencing in 2011, as permitted under an amendment issued by the Financial Accounting Standards Board (the “FASB”), the Company elected to perform a qualitative evaluation about whether it is more likely than not that the fair value of a reporting unit is less than its carrying amount in lieu of actually calculating the fair value of the reporting unit.</w:t>
      </w:r>
    </w:p>
    <w:p>
      <w:pPr>
        <w:spacing w:after="0" w:line="13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with respect to goodwill and other intangible assets.</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A derivative is typically defined as an instrument whose value is “derived” from underlying assets, indices or reference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a future, forward, swap, or option contract, or other financial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instrument with similar characteristics. Derivative contracts often involve future commitments to exchange interest payment streams or currencies based on a notional or contractual amount (</w:t>
      </w:r>
      <w:r>
        <w:rPr>
          <w:rFonts w:ascii="Arial" w:cs="Arial" w:eastAsia="Arial" w:hAnsi="Arial"/>
          <w:sz w:val="18"/>
          <w:szCs w:val="18"/>
          <w:i w:val="1"/>
          <w:iCs w:val="1"/>
          <w:color w:val="auto"/>
        </w:rPr>
        <w:t>e.g.</w:t>
      </w:r>
      <w:r>
        <w:rPr>
          <w:rFonts w:ascii="Arial" w:cs="Arial" w:eastAsia="Arial" w:hAnsi="Arial"/>
          <w:sz w:val="18"/>
          <w:szCs w:val="18"/>
          <w:color w:val="auto"/>
        </w:rPr>
        <w:t>, interest rate swaps or currency forwards) or to purchase or sell other financial instruments at specified terms on a specified date (</w:t>
      </w:r>
      <w:r>
        <w:rPr>
          <w:rFonts w:ascii="Arial" w:cs="Arial" w:eastAsia="Arial" w:hAnsi="Arial"/>
          <w:sz w:val="18"/>
          <w:szCs w:val="18"/>
          <w:i w:val="1"/>
          <w:iCs w:val="1"/>
          <w:color w:val="auto"/>
        </w:rPr>
        <w:t>e.g.</w:t>
      </w:r>
      <w:r>
        <w:rPr>
          <w:rFonts w:ascii="Arial" w:cs="Arial" w:eastAsia="Arial" w:hAnsi="Arial"/>
          <w:sz w:val="18"/>
          <w:szCs w:val="18"/>
          <w:color w:val="auto"/>
        </w:rPr>
        <w:t>, options to buy or sell securities or currencies).</w:t>
      </w:r>
    </w:p>
    <w:p>
      <w:pPr>
        <w:spacing w:after="0" w:line="12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 instruments hedging its then “available-for-sale” securities held prior to 2011 (see Note 5 of Notes to Consolidated Financial Statements), the Company elected not to apply hedge accounting to its other derivative instruments. Gains and losses on the Company’s derivative contracts not designated as hedging instruments, as well as gains and losses on derivative instruments accounted for as fair value hedges, are included in “interest income” and “interest expense”, respectively, or “revenue-other”, depending on the nature of the underlying item, on the consolidated statements of operations. Furthermore, with respect to derivative instruments designated as fair value hedges, the hedged item is required to be adjusted for changes in fair value of the risk being hedged, with such adjustment accounted for in the consolidated statements of operations.</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derivative instruments above, the Company recognized a derivative liability relating to its obligation pertaining to Lazard Fund Interests awards (“Lazard Fund Interests”) and other similar deferred compensation arrangements, the fair value of which is based on the value of the underlying investments and is included in “accrued compensation and benefits” on the consolidated statement of financial condition as of December 31, 2011. Changes in the fair value of the derivative liability are included in “compensation and benefits” on the consolidated statement of operations for the year ended December 31, 2011, the impact of which equally offsets the changes in the fair value of the underlying investments owned and is reported in “revenue-other” in the consolidated statement of operations. For information regarding Lazard Fund Interests and other similar deferred compensation arrangements, see Notes 7 and 16 of Notes to Consolidated Financial Statements.</w:t>
      </w:r>
    </w:p>
    <w:p>
      <w:pPr>
        <w:spacing w:after="0" w:line="99" w:lineRule="exact"/>
        <w:rPr>
          <w:sz w:val="20"/>
          <w:szCs w:val="20"/>
          <w:color w:val="auto"/>
        </w:rPr>
      </w:pPr>
    </w:p>
    <w:p>
      <w:pPr>
        <w:jc w:val="both"/>
        <w:ind w:right="300" w:firstLine="456"/>
        <w:spacing w:after="0" w:line="339" w:lineRule="auto"/>
        <w:rPr>
          <w:sz w:val="20"/>
          <w:szCs w:val="20"/>
          <w:color w:val="auto"/>
        </w:rPr>
      </w:pPr>
      <w:r>
        <w:rPr>
          <w:rFonts w:ascii="Arial" w:cs="Arial" w:eastAsia="Arial" w:hAnsi="Arial"/>
          <w:sz w:val="15"/>
          <w:szCs w:val="15"/>
          <w:b w:val="1"/>
          <w:bCs w:val="1"/>
          <w:i w:val="1"/>
          <w:iCs w:val="1"/>
          <w:color w:val="auto"/>
        </w:rPr>
        <w:t>Deposits and Other Customer Payables</w:t>
      </w:r>
      <w:r>
        <w:rPr>
          <w:rFonts w:ascii="Arial" w:cs="Arial" w:eastAsia="Arial" w:hAnsi="Arial"/>
          <w:sz w:val="15"/>
          <w:szCs w:val="15"/>
          <w:b w:val="1"/>
          <w:bCs w:val="1"/>
          <w:color w:val="auto"/>
        </w:rPr>
        <w:t>—</w:t>
      </w:r>
      <w:r>
        <w:rPr>
          <w:rFonts w:ascii="Arial" w:cs="Arial" w:eastAsia="Arial" w:hAnsi="Arial"/>
          <w:sz w:val="15"/>
          <w:szCs w:val="15"/>
          <w:color w:val="auto"/>
        </w:rPr>
        <w:t>Principally relates to LFB customer-related demand and time deposits, both interest-bearing and non-interest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bearing, short-term inter-bank borrowings and amounts due on short-term collateralized borrowing activities. Collateralized borrowing activities amounted to $8,928 and $7,483 at December 31, 2011 and 2010, respectively, and were fully collateralized with pledged assets of equal or greater value at each such date.</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Securities Sold, Not Yet Purchased—</w:t>
      </w:r>
      <w:r>
        <w:rPr>
          <w:rFonts w:ascii="Arial" w:cs="Arial" w:eastAsia="Arial" w:hAnsi="Arial"/>
          <w:sz w:val="16"/>
          <w:szCs w:val="16"/>
          <w:color w:val="auto"/>
        </w:rPr>
        <w:t>Securities sold, not yet purchased represents liabilities for securities sold for which payment has been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Fair Value of Financial Assets and Liabilities—</w:t>
      </w:r>
      <w:r>
        <w:rPr>
          <w:rFonts w:ascii="Arial" w:cs="Arial" w:eastAsia="Arial" w:hAnsi="Arial"/>
          <w:sz w:val="16"/>
          <w:szCs w:val="16"/>
          <w:color w:val="auto"/>
        </w:rPr>
        <w:t>The majority of the Company’s financial assets and liabilities are recorded at fair value or at amounts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 fair value. Such assets and liabilities include cash and cash equivalents, deposits with banks, cash deposited with clearing organizations and other segregated cash, receivables, investments (excluding investments accounted for at amortized cost, interest-bearing deposits or using the equity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method of accounting), derivative instruments and deposits and other customer payables. For information regarding the fair value of the Company’s senior and subordinated debt, see Note 13 of Notes to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Strategic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2011, 2010 and 2009 are $18,942, $20,216 and $21,673, respectively.</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Money Management and Incentive Fees—</w:t>
      </w:r>
      <w:r>
        <w:rPr>
          <w:rFonts w:ascii="Arial" w:cs="Arial" w:eastAsia="Arial" w:hAnsi="Arial"/>
          <w:sz w:val="18"/>
          <w:szCs w:val="18"/>
          <w:color w:val="auto"/>
        </w:rPr>
        <w:t>Money management fees are derived from fees for investment management and advisory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institutional and private clients. Revenue is recorded on an accrual basis primarily based on a percentage of client assets managed. Fees vary with the type of assets managed, with higher fees earned on equity assets, alternative investment (such as hedge funds) and private equity products, and lower fees earned on fixed income and money market products.</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may earn performance-based incentive fees on various investment products, including alternative investment funds such as hedge funds, private equity funds and traditional investment strategies.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recorded when realized and are paid at the end of the measurement period. Incentive fees on hedge funds generally are subject to loss carry-forward provisions in which losses incurred by the funds in any year are applied against certain future period net appreciation before any incentive fees can be earned.</w:t>
      </w:r>
    </w:p>
    <w:p>
      <w:pPr>
        <w:spacing w:after="0" w:line="13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7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0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Share-Based Incentive Compensation Awards—</w:t>
      </w:r>
      <w:r>
        <w:rPr>
          <w:rFonts w:ascii="Arial" w:cs="Arial" w:eastAsia="Arial" w:hAnsi="Arial"/>
          <w:sz w:val="18"/>
          <w:szCs w:val="18"/>
          <w:color w:val="auto"/>
        </w:rPr>
        <w:t>Share-based incentive compensation awards that do not require future service are expensed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awards that require future service are amortized over the applicable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vesting period or requisite service period. Expense relating to share-based incentive compensation awards is generally based on the fair value of the Company’s Class A common stock on the date of grant, and is recognized in “compensation and benefits” (and, as applicable, in “restructuring” expense, with respect to the expense associated with the acceleration of unrecognized expense pertaining to awards granted previously to individuals who were terminated by the Company in the restructuring programs described in Note 18 of Notes to Consolidated Financial Statements).</w:t>
      </w:r>
    </w:p>
    <w:p>
      <w:pPr>
        <w:spacing w:after="0" w:line="99"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Substantially all of Lazard’s operations outside the U.S. are conducted in “pass-through” entities for U.S. income tax purposes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provides for U.S. income taxes on a current basis for substantially all of those earnings. The repatriation of prior year earnings attributable to “non-pass-through” entities would not result in the recognition of a material amount of additional U.S. income taxes.</w:t>
      </w:r>
    </w:p>
    <w:p>
      <w:pPr>
        <w:spacing w:after="0" w:line="93"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w:t>
      </w:r>
    </w:p>
    <w:p>
      <w:pPr>
        <w:spacing w:after="0" w:line="7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30"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including, but not limited to, the following:</w:t>
      </w:r>
    </w:p>
    <w:p>
      <w:pPr>
        <w:spacing w:after="0" w:line="37"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nature, frequency, and severity of any recent losses;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near- and medium-term financial outlook.</w:t>
      </w:r>
    </w:p>
    <w:p>
      <w:pPr>
        <w:spacing w:after="0" w:line="1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Furthermore, management applies the “more likely than not” criteria prior to the recognition of a financial statement benefit of a tax position taken or expected to be taken in a tax return with respect to uncertainty in income taxes.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interest and/or penalties related to income tax matters in “income tax expense”. See Note 19 of Notes to Consolidated Financial Statements for additional information relating to income taxes.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DEVELOPMENTS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—During May 2011, the FASB amended its fair value measurement guidance, which it states was designed to achieve common</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would be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will become effective for interim and annual periods beginning after December 15, 2011 and is to be applied prospectively. Early application is not permitted. The Company does not anticipate that the adoption of the amended fair value measurement guidance will have a material impact on the Company’s consolidated financial statements.</w:t>
      </w:r>
    </w:p>
    <w:p>
      <w:pPr>
        <w:spacing w:after="0" w:line="10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Other Comprehensive Income</w:t>
      </w:r>
      <w:r>
        <w:rPr>
          <w:rFonts w:ascii="Arial" w:cs="Arial" w:eastAsia="Arial" w:hAnsi="Arial"/>
          <w:sz w:val="16"/>
          <w:szCs w:val="16"/>
          <w:color w:val="auto"/>
        </w:rPr>
        <w:t>—During June 2011, the FASB amended its guidance regarding the presentation of comprehensive income, which it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was designed to improve comparability, consistency and transparency. The amendment requires that all changes in comprehensive income be presented either in a single continuous statement of comprehensive income or in two separate but consecutive statements. In the one-statement approach, the Company would present total net income, including its components, followed by other comprehensive income, including its components, and a total of comprehensive income. In the two-statement approach, the first statement would present total net income and its components as currently presented by the Company in its consolidated statement of operations, followed consecutively by a second statement that would present the components of other comprehensive income, total other comprehensive income and the total of comprehensive income. The amendment is to be applied retrospectively and is effective with interim and annual periods beginning after December 15, 2011, with early adoption permitted. The Company will adopt the amendment in the first quarter of 2012.</w:t>
      </w:r>
    </w:p>
    <w:p>
      <w:pPr>
        <w:spacing w:after="0" w:line="10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—During September 2011, the FASB amended its guidance regarding goodwill impairment testing by allowing an entity the option to make a</w:t>
      </w:r>
      <w:r>
        <w:rPr>
          <w:rFonts w:ascii="Arial" w:cs="Arial" w:eastAsia="Arial" w:hAnsi="Arial"/>
          <w:sz w:val="16"/>
          <w:szCs w:val="16"/>
          <w:i w:val="1"/>
          <w:iCs w:val="1"/>
          <w:color w:val="auto"/>
        </w:rPr>
        <w:t xml:space="preserve"> </w:t>
      </w:r>
      <w:r>
        <w:rPr>
          <w:rFonts w:ascii="Arial" w:cs="Arial" w:eastAsia="Arial" w:hAnsi="Arial"/>
          <w:sz w:val="16"/>
          <w:szCs w:val="16"/>
          <w:color w:val="auto"/>
        </w:rPr>
        <w:t>qualitative evaluation about whether it is more likely than not that the fair value of a reporting unit is less than its carrying amount in lieu of actually calculating the fair value of a reporting unit. The amendment became effective for annual and interim goodwill impairment tests performed for fiscal years beginning after December 15, 2011. Early adoption was permitted. The Company adopted the amendment during the year ended December 31, 2011. The adoption of the amended guidance did not have a material impact on the Company’s consolidated financial statements.</w:t>
      </w:r>
    </w:p>
    <w:p>
      <w:pPr>
        <w:spacing w:after="0" w:line="10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Offsetting of Assets and Liabilities</w:t>
      </w:r>
      <w:r>
        <w:rPr>
          <w:rFonts w:ascii="Arial" w:cs="Arial" w:eastAsia="Arial" w:hAnsi="Arial"/>
          <w:sz w:val="16"/>
          <w:szCs w:val="16"/>
          <w:color w:val="auto"/>
        </w:rPr>
        <w:t>—During December 2011, the FASB issued new disclosure requirements regarding the nature of an entity’s rights of</w:t>
      </w:r>
      <w:r>
        <w:rPr>
          <w:rFonts w:ascii="Arial" w:cs="Arial" w:eastAsia="Arial" w:hAnsi="Arial"/>
          <w:sz w:val="16"/>
          <w:szCs w:val="16"/>
          <w:i w:val="1"/>
          <w:iCs w:val="1"/>
          <w:color w:val="auto"/>
        </w:rPr>
        <w:t xml:space="preserve"> </w:t>
      </w:r>
      <w:r>
        <w:rPr>
          <w:rFonts w:ascii="Arial" w:cs="Arial" w:eastAsia="Arial" w:hAnsi="Arial"/>
          <w:sz w:val="16"/>
          <w:szCs w:val="16"/>
          <w:color w:val="auto"/>
        </w:rPr>
        <w:t>setoff and related arrangements associated with its derivative and other financial instruments. The disclosure requirements are effective for annual reporting periods beginning on or after January 1, 2013, and interim periods therein, with retrospective application required. The new disclosures are designed to make financial statements that are prepared under U.S. GAAP more comparable to those prepared under IFRS. The Company does not anticipate that the adoption of the new disclosure requirements will have a material impact on the Company’s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RECEIVABLES -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short-term collateralized lending activities of LFB, the Company typically receives a pledge of specifically identified securities of equal or greater value than the amount of the cash loaned and that are permitted to be sold or repledged. Collateralized customer loan receivables, which amounted to $5,952 and $4,009 at December 31, 2011 and 2010, respectively, were collateralized by securities of equal or greater value at each such date, none of which were sold or repledged at each such date.</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Receivables are stated net of an estimated allowance for doubtful accounts of $19,450 and $15,017 at December 31, 2011 and 2010, respectively, for past due amounts and for specific accounts deemed uncollectible, which may include situations where a fee is in dispute. The Company recorded bad debt expense of $7,952, $8,392 and $4,509 for the years ended December 31, 2011, 2010 and 2009, respectively. In addition, the Company recorded charge-offs, foreign currency translation and other adjustments, which resulted in a net decrease to the allowance for doubtful accounts of $3,519, $4,950 and $8,817 for the years ended December 31, 2011, 2010 and 2009, respectively. At December 31, 2011 and 2010, the Company had receivables deemed past due or uncollectible of $22,785 and $17,101,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investments and securities sold, not yet purchased, consist of the following at December 31, 2011 and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31,900</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Non-U.S. Government and other debt and interest-bearing deposits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24,068</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156,053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88,437</w:t>
            </w: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58,656</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Fixed income funds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4,679</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122,718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163,482</w:t>
            </w: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175,389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238,108</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355,510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388,138</w:t>
            </w: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7,754</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341,623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369,093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98"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At December 31, 2011, equities, interests in alternative asset management funds and fixed income funds include investments with fair values of $19,857, $2,256 and $5,212, respectively, held in order to satisfy the Company’s liability upon vesting of previously granted Lazard Fund Interests and other similar deferred compensation arrangements. Lazard Fund Interests represent grants by the Company to eligible employees of actual or notional interests in several Lazard managed funds (see Notes 7 and 16 of Notes to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year ended December 31, 2010, the Company sold “available-for-sale” debt securities for $214,540, which equaled its then carrying value, and sold “held-to-maturity” U.S. government and agency debt securities for $132,209, which had a carrying value of $126,573. Accordingly, there are no “available-for-sale” or “held-to-maturity” securities at December 31, 2010 and subsequent thereto.</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During the year ended December 31, 2009, an other-than-temporary impairment charge of $1,825 pertaining to “available-for-sale” debt securities was recognized in “other-revenue” on the consolidated statement of operations, representing the credit loss component of debt securities whose fair value was below amortized cost. There were no other-than-temporary impairment charges recognized during the year ended December 31, 2010.</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debt securities included in the table above are categorized as “trading” securities. Non-U.S. Government and other debt includes U.S. state and municipal debt securities, as well as amounts seeding products of our Asset Management business.</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Equities primarily represent the Company’s investments in marketable equity securities of large-, mid- and small-cap domestic, international and global companies seeding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Interests in alternative asset management funds represent (i) general partner (“GP”) interests owned by Lazard in various Lazard-managed alternative asset management funds and (ii) GP interests consolidated by the Company pertaining to noncontrolling interests in such alternative asset management funds, the latter of which aggregated $777 and $8,219 at December 31, 2011 and 2010, respectively. Such noncontrolling interests, which represent GP interests held directly by certain of our Asset Management managing directors or employees of the Company, are deemed to be controlled by, and therefore consolidated by, the Company in accordance with U.S. GAAP. Noncontrolling interests are presented within “members’ equity” on the consolidated statements of financial condition (see Note 15 of Notes to Consolidated Financial Statements).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income funds primarily consist of amounts seeding products of our Asset Management businesses.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(iii) Lazard Senior Housing Partners LP (“Senior Housing”), which targets controlling interests in companies and assets in the senior housing, extended-stay hotel and shopping center sectors and (iv) Edgewater Growth Capital Partners III L.P. (“EGCP III”), a private equity fund primarily making equity and buyout investments in lower middle market companies.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leadership team and other investors in the Edgewater Funds (“Edgewater”) which aggregated $18,502 and $67,206 at December 31, 2011 and 2010, respectively (see Note 9 of Notes to Consolidated Financial Statements).</w:t>
      </w:r>
    </w:p>
    <w:p>
      <w:pPr>
        <w:spacing w:after="0" w:line="127"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On January 24, 2008, Sapphire Industrials Corp. (“Sapphire”), a then newly-organized special purpose acquisition company formed by the Company, completed an initial public offering (the “Sapphire IPO”). Sapphire had been included in equity method investments prior to its dissolution discussed below. Sapphire was formed for the purpose of effecting a business combination within a 24-month period (the “Business Combination”) and net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 The Company’s investment in Sapphire had been accounted for using the equity method of accounting. On January 6, 2010, Sapphire announced it had not completed the Business Combination and it would dissolve and distribute the funds in the Trust Account to all of its public shareholders, to the extent they were holders of shares issued in the Sapphire IPO. Pursuant to such dissolution, on January 26, 2010, Sapphire made an initial distribution to the Company aggregating $50,319. All Sapphire warrants expired without value. During the fourth quarter of 2009, the Company recognized a loss of approximately $13,000 principally related to its investment in warrants of Sapphire, with such loss being recorded in “revenue-other” in the accompanying consolidated statement of operations.</w:t>
      </w:r>
    </w:p>
    <w:p>
      <w:pPr>
        <w:spacing w:after="0" w:line="10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recognized gross investment gains and losses for the years ended December 31, 2011, 2010 and 2009, including a gain of $5,636 from the sale of “held-to-maturity” securities during the fourth quarter of 2010, in “revenue-other” on its consolidated statements of operations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ind w:left="162"/>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8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$13,642</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$45,503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$21,607</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$19,703</w:t>
            </w:r>
          </w:p>
        </w:tc>
        <w:tc>
          <w:tcPr>
            <w:tcW w:w="800" w:type="dxa"/>
            <w:vAlign w:val="bottom"/>
            <w:gridSpan w:val="2"/>
          </w:tcPr>
          <w:p>
            <w:pPr>
              <w:jc w:val="center"/>
              <w:ind w:left="142"/>
              <w:spacing w:after="0"/>
              <w:rPr>
                <w:sz w:val="20"/>
                <w:szCs w:val="20"/>
                <w:color w:val="auto"/>
              </w:rPr>
            </w:pPr>
            <w:r>
              <w:rPr>
                <w:rFonts w:ascii="Arial" w:cs="Arial" w:eastAsia="Arial" w:hAnsi="Arial"/>
                <w:sz w:val="18"/>
                <w:szCs w:val="18"/>
                <w:color w:val="auto"/>
                <w:w w:val="89"/>
              </w:rPr>
              <w:t>$19,740</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38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Year Ended December</w:t>
      </w:r>
    </w:p>
    <w:p>
      <w:pPr>
        <w:spacing w:after="0" w:line="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-7620</wp:posOffset>
            </wp:positionV>
            <wp:extent cx="1303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8860"/>
        <w:spacing w:after="0"/>
        <w:tabs>
          <w:tab w:leader="none" w:pos="9600" w:val="left"/>
          <w:tab w:leader="none" w:pos="1044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r>
        <w:rPr>
          <w:sz w:val="20"/>
          <w:szCs w:val="20"/>
          <w:color w:val="auto"/>
        </w:rPr>
        <w:tab/>
      </w:r>
      <w:r>
        <w:rPr>
          <w:rFonts w:ascii="Arial" w:cs="Arial" w:eastAsia="Arial" w:hAnsi="Arial"/>
          <w:sz w:val="12"/>
          <w:szCs w:val="12"/>
          <w:b w:val="1"/>
          <w:bCs w:val="1"/>
          <w:color w:val="auto"/>
        </w:rPr>
        <w:t>2009</w:t>
      </w:r>
    </w:p>
    <w:tbl>
      <w:tblPr>
        <w:tblLayout w:type="fixed"/>
        <w:tblInd w:w="0" w:type="dxa"/>
        <w:tblCellMar>
          <w:top w:w="0" w:type="dxa"/>
          <w:left w:w="0" w:type="dxa"/>
          <w:bottom w:w="0" w:type="dxa"/>
          <w:right w:w="0" w:type="dxa"/>
        </w:tblCellMar>
      </w:tblP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$137</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3,723</w:t>
            </w:r>
          </w:p>
        </w:tc>
        <w:tc>
          <w:tcPr>
            <w:tcW w:w="560" w:type="dxa"/>
            <w:vAlign w:val="bottom"/>
            <w:tcBorders>
              <w:top w:val="single" w:sz="8" w:color="CCEEFF"/>
            </w:tcBorders>
            <w:shd w:val="clear" w:color="auto" w:fill="CCEEFF"/>
          </w:tcPr>
          <w:p>
            <w:pPr>
              <w:spacing w:after="0"/>
              <w:rPr>
                <w:sz w:val="18"/>
                <w:szCs w:val="18"/>
                <w:color w:val="auto"/>
              </w:rPr>
            </w:pP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$623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Within AOCI, the Company recorded a reduction in net unrealized losses of $17,923 and $46,273 during the years ended December 31, 2010 and 2009, respectively, pertaining to “available-for-sale” debt securities. The reduction in net unrealized losses during the year ended December 31, 2010 includes the reclassification to earnings of realized gains of $1,755 and realized losses of $16,245 from the sale of the “available-for-sale” portfolio. With respect to adjustments for items reclassified to earnings, the average cost basis is utilized for purposes of calculating realized investment gains and losses.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jc w:val="both"/>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assets valued based on net assets value (“NAV”, or its equivalent) redeemable at the measurement date or within the near term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without redemption restrictions, or inputs other than quoted prices that are directly observable or derived principally from, or corroborated by, market data.</w:t>
      </w:r>
    </w:p>
    <w:p>
      <w:pPr>
        <w:spacing w:after="0" w:line="37" w:lineRule="exact"/>
        <w:rPr>
          <w:sz w:val="20"/>
          <w:szCs w:val="20"/>
          <w:color w:val="auto"/>
        </w:rPr>
      </w:pPr>
    </w:p>
    <w:p>
      <w:pPr>
        <w:ind w:left="920" w:hanging="904"/>
        <w:spacing w:after="0" w:line="294"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not redeemable within the near term.</w:t>
      </w:r>
    </w:p>
    <w:p>
      <w:pPr>
        <w:spacing w:after="0" w:line="1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Company’s investments in U.S. Government and agency debt securities as well as in non-U.S. Government and other debt securities are considered Level 1 assets when their respective fair values are based on unadjusted quoted prices in active markets and are considered Level 2 assets when their fair values are primarily based on broker quotes as provided by external pricing services.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fair value of equities is principally classified as Level 1, Level 2 or Level 3 as follows: marketable equity securities are classified as Level 1 and are valued based on the last trade price on the primary exchange for that security; public asset management funds are classified as Level 1 and are valued based on the reported closing price for the fund; investments in private asset management funds are classified as Level 2 and are primarily valued based on information provided by fund managers and, secondarily, from external pricing services to the extent managed by LAM; and Level 3 represents equities valued based on NAV and are not redeemable within the near term.</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 and is based on information provided by external pricing services.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investments in fixed income funds are considered Level 1 assets when the fair values are based on the reported closing price for the fund or Level 2 assets when their fair values are primarily based on broker quotes as provided by external pricing services.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private equity investments is classified as Level 3, and is primarily based on NAV and are not redeemable within the near term.</w:t>
      </w:r>
    </w:p>
    <w:p>
      <w:pPr>
        <w:spacing w:after="0" w:line="181"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and the fair values of interest rate swaps are based on the interest rate yield curve.</w:t>
      </w:r>
    </w:p>
    <w:p>
      <w:pPr>
        <w:spacing w:after="0" w:line="8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and 2010 into the three-level fair value hierarchy in accordance with fair value measurement disclosure requirements: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87"/>
              </w:rPr>
              <w:t>As of December 31, 2011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Non-U.S. Government and other debt (excluding interest-bearing deposits)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19,974</w:t>
            </w: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115,380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37,332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156,053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122,718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150,179</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65,475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133,100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348,754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4,282</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30,572</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4,282</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30,572</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7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December 31, 2010</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31,900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31,900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Non-U.S. Government and other debt (excluding interest-bearing deposits)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21,939</w:t>
            </w: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66,269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21,852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88,437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58,656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58,656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163,482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120,108</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87,061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370,967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3,230</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2011 and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2011, 2010 and 2009: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88"/>
              </w:rPr>
              <w:t>Year Ended December 31, 2011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Realized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Included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Sales/</w:t>
            </w:r>
          </w:p>
        </w:tc>
        <w:tc>
          <w:tcPr>
            <w:tcW w:w="12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3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2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3,155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 alternative asset management funds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33,117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(69,218)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100" w:type="dxa"/>
            <w:vAlign w:val="bottom"/>
          </w:tcPr>
          <w:p>
            <w:pPr>
              <w:spacing w:after="0"/>
              <w:rPr>
                <w:sz w:val="18"/>
                <w:szCs w:val="18"/>
                <w:color w:val="auto"/>
              </w:rPr>
            </w:pPr>
          </w:p>
        </w:tc>
      </w:tr>
      <w:tr>
        <w:trPr>
          <w:trHeight w:val="27"/>
        </w:trPr>
        <w:tc>
          <w:tcPr>
            <w:tcW w:w="4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163,798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43,482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(69,413)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133,100</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10"/>
          </w:tcPr>
          <w:p>
            <w:pPr>
              <w:jc w:val="right"/>
              <w:ind w:right="340"/>
              <w:spacing w:after="0"/>
              <w:rPr>
                <w:sz w:val="20"/>
                <w:szCs w:val="20"/>
                <w:color w:val="auto"/>
              </w:rPr>
            </w:pPr>
            <w:r>
              <w:rPr>
                <w:rFonts w:ascii="Arial" w:cs="Arial" w:eastAsia="Arial" w:hAnsi="Arial"/>
                <w:sz w:val="14"/>
                <w:szCs w:val="14"/>
                <w:b w:val="1"/>
                <w:bCs w:val="1"/>
                <w:color w:val="auto"/>
                <w:w w:val="91"/>
              </w:rPr>
              <w:t>Year Ended December 31, 2010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5"/>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0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Beginning</w:t>
            </w:r>
          </w:p>
        </w:tc>
        <w:tc>
          <w:tcPr>
            <w:tcW w:w="6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22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200" w:type="dxa"/>
            <w:vAlign w:val="bottom"/>
          </w:tcPr>
          <w:p>
            <w:pPr>
              <w:spacing w:after="0"/>
              <w:rPr>
                <w:sz w:val="12"/>
                <w:szCs w:val="12"/>
                <w:color w:val="auto"/>
              </w:rPr>
            </w:pPr>
          </w:p>
        </w:tc>
        <w:tc>
          <w:tcPr>
            <w:tcW w:w="11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1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1"/>
              </w:rPr>
              <w:t>Balance</w:t>
            </w:r>
          </w:p>
        </w:tc>
        <w:tc>
          <w:tcPr>
            <w:tcW w:w="1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Revenue-Other</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Disposition</w:t>
            </w:r>
          </w:p>
        </w:tc>
        <w:tc>
          <w:tcPr>
            <w:tcW w:w="2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135,914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(11,985)</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34,302</w:t>
            </w:r>
          </w:p>
        </w:tc>
        <w:tc>
          <w:tcPr>
            <w:tcW w:w="200" w:type="dxa"/>
            <w:vAlign w:val="bottom"/>
          </w:tcPr>
          <w:p>
            <w:pPr>
              <w:spacing w:after="0"/>
              <w:rPr>
                <w:sz w:val="19"/>
                <w:szCs w:val="19"/>
                <w:color w:val="auto"/>
              </w:rPr>
            </w:pPr>
          </w:p>
        </w:tc>
        <w:tc>
          <w:tcPr>
            <w:tcW w:w="1120" w:type="dxa"/>
            <w:vAlign w:val="bottom"/>
            <w:gridSpan w:val="6"/>
          </w:tcPr>
          <w:p>
            <w:pPr>
              <w:jc w:val="right"/>
              <w:ind w:right="200"/>
              <w:spacing w:after="0"/>
              <w:rPr>
                <w:sz w:val="20"/>
                <w:szCs w:val="20"/>
                <w:color w:val="auto"/>
              </w:rPr>
            </w:pPr>
            <w:r>
              <w:rPr>
                <w:rFonts w:ascii="Arial" w:cs="Arial" w:eastAsia="Arial" w:hAnsi="Arial"/>
                <w:sz w:val="18"/>
                <w:szCs w:val="18"/>
                <w:color w:val="auto"/>
              </w:rPr>
              <w:t>$ (11,985)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(3,390)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8"/>
              </w:rPr>
              <w:t>Year Ended December 31, 2009</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22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Sales/</w:t>
            </w:r>
          </w:p>
        </w:tc>
        <w:tc>
          <w:tcPr>
            <w:tcW w:w="200" w:type="dxa"/>
            <w:vAlign w:val="bottom"/>
          </w:tcPr>
          <w:p>
            <w:pPr>
              <w:spacing w:after="0"/>
              <w:rPr>
                <w:sz w:val="12"/>
                <w:szCs w:val="12"/>
                <w:color w:val="auto"/>
              </w:rPr>
            </w:pPr>
          </w:p>
        </w:tc>
        <w:tc>
          <w:tcPr>
            <w:tcW w:w="11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Revenue-Other</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2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2,453</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(2,093)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83,931</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46,938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(3,087)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vMerge w:val="continue"/>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$ 86,384</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6,496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46,980</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(5,180)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Sales/dispositions of private equity investments for the year ended December 31, 2011 include $49,500 in connection with a reduction of interests in a fund of Edgewater as such fund is no longer consolidated by Lazard.</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With respect to net unrealized/realized gains (losses) relating to Level 3 assets, the amount included in earnings for the years ended December 31, 2011, 2010 and 2009 pertaining to investments outstanding at the end of each respective year was $(3,268), $8,299 and $7,178,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December 31, 2011 include certain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are valued using an NAV as a practical expedient in determining fair value. Information with respect thereto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8"/>
              </w:rPr>
              <w:t>Estimated Liquidation Period of</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28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460" w:type="dxa"/>
            <w:vAlign w:val="bottom"/>
          </w:tcPr>
          <w:p>
            <w:pPr>
              <w:spacing w:after="0"/>
              <w:rPr>
                <w:sz w:val="12"/>
                <w:szCs w:val="12"/>
                <w:color w:val="auto"/>
              </w:rPr>
            </w:pPr>
          </w:p>
        </w:tc>
        <w:tc>
          <w:tcPr>
            <w:tcW w:w="32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Next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5-10</w:t>
            </w:r>
          </w:p>
        </w:tc>
        <w:tc>
          <w:tcPr>
            <w:tcW w:w="480" w:type="dxa"/>
            <w:vAlign w:val="bottom"/>
          </w:tcPr>
          <w:p>
            <w:pPr>
              <w:spacing w:after="0"/>
              <w:rPr>
                <w:sz w:val="12"/>
                <w:szCs w:val="12"/>
                <w:color w:val="auto"/>
              </w:rPr>
            </w:pPr>
          </w:p>
        </w:tc>
        <w:tc>
          <w:tcPr>
            <w:tcW w:w="6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Commitments</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Interests in alternative asset management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funds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Private equity funds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121,276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185,707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December 31, 2011, the maximum unfunded commitments by the Company for capital contributions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investment funds related to (i) CP II, amounting to $2,492 for potential “follow-on investments” and/or for CP II expenses through the earlier of February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or the liquidation of the fund, (ii) EGCP III, amounting to $41,753,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and/or expenses (with a portion of the undrawn amount of such commitment as of that date remaining committed until October 12, 2023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“follow-on investments” and/or EGCP III expenses) or the liquidation of the fund and (iii) a Lazard-managed Australian private equity fund, amounting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$7,952,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such commitment as of that date remaining committed until November 11, 2019 in respect of “follow-on investments” and/or fund expenses) or the liquidation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fund.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table below represents the fair values of the Company’s derivative instruments reported within “other assets” and “other liabilities” and the fair value of the Company’s derivative liability relating to its obligation pertaining to Lazard Fund Interests and other similar deferred compensation arrangements reported within “accrued compensation and benefits” (see Note 16 of Notes to Consolidated Financial Statements) on the accompanying consolidated statements of financial condition as of December 31, 2011 and 2010: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4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$4,245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47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780" w:type="dxa"/>
            <w:vAlign w:val="bottom"/>
            <w:vMerge w:val="restart"/>
          </w:tcPr>
          <w:p>
            <w:pPr>
              <w:jc w:val="right"/>
              <w:ind w:right="3672"/>
              <w:spacing w:after="0"/>
              <w:rPr>
                <w:sz w:val="20"/>
                <w:szCs w:val="20"/>
                <w:color w:val="auto"/>
              </w:rPr>
            </w:pPr>
            <w:r>
              <w:rPr>
                <w:rFonts w:ascii="Arial" w:cs="Arial" w:eastAsia="Arial" w:hAnsi="Arial"/>
                <w:sz w:val="18"/>
                <w:szCs w:val="18"/>
                <w:color w:val="auto"/>
              </w:rPr>
              <w:t>91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8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29,900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30,572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Net gains (losses) with respect to derivative instruments not designated as hedging instruments (predominantly reflected in “revenue-other”) and the Company’s derivative liability relating to its obligation pertaining to Lazard Fund Interests and other similar deferred compensation arrangements (reported in “compensation and benefits” expense, which equally offsets corresponding amounts reported in “revenue-other” as described above) as reflected on the accompanying consolidated statements of operations for the years ended December 31, 2011, 2010 and 2009, by type of derivative,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$ 2,422</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Interest rate swaps</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(13)</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(13,810)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(3,024)</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$ 4,443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(9,874)</w:t>
            </w:r>
          </w:p>
        </w:tc>
      </w:tr>
      <w:tr>
        <w:trPr>
          <w:trHeight w:val="20"/>
        </w:trPr>
        <w:tc>
          <w:tcPr>
            <w:tcW w:w="8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Derivatives designated as hedging instruments related to interest rate swaps that hedged “available-for-sale” securities and had been accounted for as fair value hedges. For the years ended December 31, 2010 and 2009, the Company recognized pre-tax losses pertaining to interest rate swaps of $2,844 and $1,263, respectively. These losses were substantially offset by gains recognized on the hedged risk portion of such “available-for-sale” securities.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LAM MERGER TRANSACTION</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(the “Transaction Consideration”) consisted of (i) cash payments made from the closing of the LAM Merger through January 2, 2009 of approximately $60,000, (ii) a cash payment made on October 31, 2011 of approximately $90,000, (iii) the delivery on October 31, 2011 of 2,210,520 shares of Class A common stock and (iv) the satisfaction of certain employees’ tax obligations in lieu of delivering 68,384 shares of Class A common stock on October 31, 2011. In addition, with respect to certain former employees of LAM and its subsidiaries, as of December 31, 2011, additional cash payments of $961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additional issuances of 24,537 shares of Class A common stock are subject to delayed payment/issuance until the eighth anniversary of the closing of the LAM Merger because the applicable employees were no longer employed by Lazard or its affiliates on October 31, 2011, subject to certain exceptions. The related liabilities for the present value of the unpaid cash consideration as of December 31, 2010 were recorded in the accompanying consolidated statement of financial condition in “accrued compensation and benefits” and “other liabilities”, and amounted to $15,152 and $71,394, respectively.</w:t>
      </w:r>
    </w:p>
    <w:p>
      <w:pPr>
        <w:spacing w:after="0" w:line="99"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connection with the LAM Merger, Lazard Group recorded a related party payable to subsidiaries of Lazard Ltd of $64,305 at December 31, 2010 (see Note 20 of Notes to Consolidated Financial Statements). Such amount became members’ equity as the related shares of Class A common stock were issued.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ACQUISITIONS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On December 30, 2011, 285,715 Initial Shares and 57,287 Earnout Shares became unrestricted or were otherwise delivered.</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$53,635 (consisting primarily of Edgewater’s investments in the underlying funds and cash), $56,200 and $61,630, respectively, which include amounts for Edgewater’s noncontrolling interests held (whose economic interests approximate 50%) aggregating $109,841. Goodwill pertaining to this acquisition is deductible for income tax purposes. See Note 11 of Notes to Consolidated Financial Statements for additional information relating to goodwill and other intangible assets. The operating results relating to Edgewater are included in the Company’s Asset Management segment.</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prior years, the Company made certain other business acquisitions.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December 31, 2011 and 2010, 47,474 and 1,295,029 shares of Class A common stock, respectively, were issuable on a non-contingent basis. Additionally, at December 31, 2010, 4,862 shares of Series A preferred stock were convertible into shares of Class A common stock on a non-contingent basis. During the year ended December 31, 2011, an additional 9,238 shares of Series A preferred stock became convertible, with the total of 14,100 shares of Series A preferred stock converting into 2,434,561 shares of Class A common stock during the year. Depending upon the future performance of such businesses acquired, at December 31, 2011 and 2010, 7,921 and 17,159 shares of Series A preferred stock were contingently convertible into shares of Class A common stock.</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connection with Lazard Group’s acquisitions of Goldsmith, Agio, Helms &amp; Lynncr, LLC (“GAHL”) and Edgewater’s management vehicles, as well as Lazard Ltd’s acquisition of Carnegie, Wylie &amp; Company (Holdings) PTY LTD (“CWC”) and subsequent contribution of CWC to Lazard Group, Lazard Group recorded related party payables of $3,695 and $60,190 at December 31, 2011 and 2010, respectively, to subsidiaries of Lazard Ltd (see Note 20 of Notes to the Consolidated Financial statements). Such amounts become members’ equity as the related shares of Class A common stock are issued.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and 2010 property-net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2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in Years</w:t>
            </w:r>
          </w:p>
        </w:tc>
        <w:tc>
          <w:tcPr>
            <w:tcW w:w="90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7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$164,168</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$ 168,711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5-20</w:t>
            </w:r>
          </w:p>
        </w:tc>
        <w:tc>
          <w:tcPr>
            <w:tcW w:w="1320" w:type="dxa"/>
            <w:vAlign w:val="bottom"/>
            <w:gridSpan w:val="4"/>
          </w:tcPr>
          <w:p>
            <w:pPr>
              <w:jc w:val="right"/>
              <w:ind w:right="352"/>
              <w:spacing w:after="0"/>
              <w:rPr>
                <w:sz w:val="20"/>
                <w:szCs w:val="20"/>
                <w:color w:val="auto"/>
              </w:rPr>
            </w:pPr>
            <w:r>
              <w:rPr>
                <w:rFonts w:ascii="Arial" w:cs="Arial" w:eastAsia="Arial" w:hAnsi="Arial"/>
                <w:sz w:val="18"/>
                <w:szCs w:val="18"/>
                <w:color w:val="auto"/>
              </w:rPr>
              <w:t>159,191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156,250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320" w:type="dxa"/>
            <w:vAlign w:val="bottom"/>
            <w:gridSpan w:val="4"/>
            <w:shd w:val="clear" w:color="auto" w:fill="CCEEFF"/>
          </w:tcPr>
          <w:p>
            <w:pPr>
              <w:jc w:val="right"/>
              <w:ind w:right="352"/>
              <w:spacing w:after="0"/>
              <w:rPr>
                <w:sz w:val="20"/>
                <w:szCs w:val="20"/>
                <w:color w:val="auto"/>
              </w:rPr>
            </w:pPr>
            <w:r>
              <w:rPr>
                <w:rFonts w:ascii="Arial" w:cs="Arial" w:eastAsia="Arial" w:hAnsi="Arial"/>
                <w:sz w:val="18"/>
                <w:szCs w:val="18"/>
                <w:color w:val="auto"/>
              </w:rPr>
              <w:t>85,396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74,881</w:t>
            </w:r>
          </w:p>
        </w:tc>
        <w:tc>
          <w:tcPr>
            <w:tcW w:w="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352"/>
              <w:spacing w:after="0"/>
              <w:rPr>
                <w:sz w:val="20"/>
                <w:szCs w:val="20"/>
                <w:color w:val="auto"/>
              </w:rPr>
            </w:pPr>
            <w:r>
              <w:rPr>
                <w:rFonts w:ascii="Arial" w:cs="Arial" w:eastAsia="Arial" w:hAnsi="Arial"/>
                <w:sz w:val="18"/>
                <w:szCs w:val="18"/>
                <w:color w:val="auto"/>
              </w:rPr>
              <w:t>26,347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w w:val="98"/>
              </w:rPr>
              <w:t>435,102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401,422</w:t>
            </w:r>
          </w:p>
        </w:tc>
        <w:tc>
          <w:tcPr>
            <w:tcW w:w="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352"/>
              <w:spacing w:after="0"/>
              <w:rPr>
                <w:sz w:val="20"/>
                <w:szCs w:val="20"/>
                <w:color w:val="auto"/>
              </w:rPr>
            </w:pPr>
            <w:r>
              <w:rPr>
                <w:rFonts w:ascii="Arial" w:cs="Arial" w:eastAsia="Arial" w:hAnsi="Arial"/>
                <w:sz w:val="18"/>
                <w:szCs w:val="18"/>
                <w:color w:val="auto"/>
                <w:w w:val="98"/>
              </w:rPr>
              <w:t>266,673</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250,898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Property-net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3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168,429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150,524</w:t>
            </w:r>
          </w:p>
        </w:tc>
        <w:tc>
          <w:tcPr>
            <w:tcW w:w="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GOODWILL AND OTHER INTANGIBLE ASSETS</w:t>
            </w: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6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160" w:type="dxa"/>
            <w:vAlign w:val="bottom"/>
            <w:gridSpan w:val="9"/>
          </w:tcPr>
          <w:p>
            <w:pPr>
              <w:jc w:val="right"/>
              <w:ind w:right="932"/>
              <w:spacing w:after="0"/>
              <w:rPr>
                <w:sz w:val="20"/>
                <w:szCs w:val="20"/>
                <w:color w:val="auto"/>
              </w:rPr>
            </w:pPr>
            <w:r>
              <w:rPr>
                <w:rFonts w:ascii="Arial" w:cs="Arial" w:eastAsia="Arial" w:hAnsi="Arial"/>
                <w:sz w:val="18"/>
                <w:szCs w:val="18"/>
                <w:color w:val="auto"/>
                <w:w w:val="92"/>
              </w:rPr>
              <w:t>The components of goodwill and other intangible assets at December 31, 2011 and 2010 are presented below:</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6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$313,229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36,442</w:t>
            </w:r>
          </w:p>
        </w:tc>
        <w:tc>
          <w:tcPr>
            <w:tcW w:w="360" w:type="dxa"/>
            <w:vAlign w:val="bottom"/>
            <w:gridSpan w:val="2"/>
          </w:tcPr>
          <w:p>
            <w:pPr>
              <w:spacing w:after="0"/>
              <w:rPr>
                <w:sz w:val="19"/>
                <w:szCs w:val="19"/>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48,210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393,099</w:t>
            </w:r>
          </w:p>
        </w:tc>
        <w:tc>
          <w:tcPr>
            <w:tcW w:w="10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December 31, 2011 and 2010, goodwill of $292,116 and $251,599, respectively, was attributable to the Company’s Financial Advisory segment and, at such respective dates, $64,541 and $61,630 of goodwill was attributable to the Company’s Asset Management segment.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2011, 2010 and 2009 are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20" w:type="dxa"/>
            <w:vAlign w:val="bottom"/>
            <w:gridSpan w:val="6"/>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$261,703</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$170,277</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4"/>
              </w:rPr>
              <w:t>Business acquisitions, including additional contingent consideration earned</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relating thereto</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41,174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70,965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356,657</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313,229</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261,703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jc w:val="right"/>
              <w:ind w:right="952"/>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performs a goodwill impairment test annually or more frequently if circumstances indicate that impairment may have occurred. The Company has selected December 31 as the date to perform its annual impairment test. Pursuant to the Company’s goodwill impairment review for the years ended December 31, 2011, 2010 and 2009, the Company determined that no impairment existed.</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2011 and 2010, by major intangible asset category,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14,117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63,364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48,210</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2011, 2010 and 2009 was $11,915, $7,867 and $4,990, respectively. Estimated future amortization expense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40" w:type="dxa"/>
            <w:vAlign w:val="bottom"/>
          </w:tcPr>
          <w:p>
            <w:pPr>
              <w:spacing w:after="0"/>
              <w:rPr>
                <w:sz w:val="14"/>
                <w:szCs w:val="14"/>
                <w:color w:val="auto"/>
              </w:rPr>
            </w:pPr>
          </w:p>
        </w:tc>
        <w:tc>
          <w:tcPr>
            <w:tcW w:w="1160" w:type="dxa"/>
            <w:vAlign w:val="bottom"/>
            <w:gridSpan w:val="4"/>
          </w:tcPr>
          <w:p>
            <w:pPr>
              <w:ind w:left="380"/>
              <w:spacing w:after="0"/>
              <w:rPr>
                <w:sz w:val="20"/>
                <w:szCs w:val="20"/>
                <w:color w:val="auto"/>
              </w:rPr>
            </w:pPr>
            <w:r>
              <w:rPr>
                <w:rFonts w:ascii="Arial" w:cs="Arial" w:eastAsia="Arial" w:hAnsi="Arial"/>
                <w:sz w:val="14"/>
                <w:szCs w:val="14"/>
                <w:b w:val="1"/>
                <w:bCs w:val="1"/>
                <w:color w:val="auto"/>
                <w:w w:val="88"/>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6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w w:val="89"/>
              </w:rPr>
              <w:t>Expense (a)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740" w:type="dxa"/>
            <w:vAlign w:val="bottom"/>
            <w:tcBorders>
              <w:top w:val="single" w:sz="8" w:color="auto"/>
            </w:tcBorders>
            <w:shd w:val="clear" w:color="auto" w:fill="CCEEFF"/>
          </w:tcPr>
          <w:p>
            <w:pPr>
              <w:spacing w:after="0"/>
              <w:rPr>
                <w:sz w:val="17"/>
                <w:szCs w:val="17"/>
                <w:color w:val="auto"/>
              </w:rPr>
            </w:pPr>
          </w:p>
        </w:tc>
        <w:tc>
          <w:tcPr>
            <w:tcW w:w="57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5,397</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3"/>
              </w:rPr>
              <w:t>10,337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6,735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60" w:type="dxa"/>
            <w:vAlign w:val="bottom"/>
            <w:gridSpan w:val="4"/>
          </w:tcPr>
          <w:p>
            <w:pPr>
              <w:ind w:left="20"/>
              <w:spacing w:after="0"/>
              <w:rPr>
                <w:sz w:val="20"/>
                <w:szCs w:val="20"/>
                <w:color w:val="auto"/>
              </w:rPr>
            </w:pPr>
            <w:r>
              <w:rPr>
                <w:rFonts w:ascii="Arial" w:cs="Arial" w:eastAsia="Arial" w:hAnsi="Arial"/>
                <w:sz w:val="18"/>
                <w:szCs w:val="18"/>
                <w:color w:val="auto"/>
              </w:rPr>
              <w:t>Total amortization expense</w:t>
            </w:r>
          </w:p>
        </w:tc>
        <w:tc>
          <w:tcPr>
            <w:tcW w:w="11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3"/>
              </w:rPr>
              <w:t>36,442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2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w w:val="81"/>
              </w:rPr>
              <w:t>(a)</w:t>
            </w:r>
          </w:p>
        </w:tc>
        <w:tc>
          <w:tcPr>
            <w:tcW w:w="4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5"/>
              </w:rPr>
              <w:t>Approximately 46% of intangible asset amortization is attributable to a noncontrolling interest.</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580" w:type="dxa"/>
            <w:vAlign w:val="bottom"/>
            <w:gridSpan w:val="7"/>
          </w:tcPr>
          <w:p>
            <w:pPr>
              <w:jc w:val="right"/>
              <w:ind w:right="4740"/>
              <w:spacing w:after="0"/>
              <w:rPr>
                <w:sz w:val="20"/>
                <w:szCs w:val="20"/>
                <w:color w:val="auto"/>
              </w:rPr>
            </w:pPr>
            <w:r>
              <w:rPr>
                <w:rFonts w:ascii="Arial" w:cs="Arial" w:eastAsia="Arial" w:hAnsi="Arial"/>
                <w:sz w:val="18"/>
                <w:szCs w:val="18"/>
                <w:b w:val="1"/>
                <w:bCs w:val="1"/>
                <w:color w:val="auto"/>
                <w:w w:val="97"/>
              </w:rPr>
              <w:t>12. OTHER ASSETS AND OTHER LIABILITIES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80" w:type="dxa"/>
            <w:vAlign w:val="bottom"/>
            <w:gridSpan w:val="7"/>
          </w:tcPr>
          <w:p>
            <w:pPr>
              <w:jc w:val="right"/>
              <w:ind w:right="880"/>
              <w:spacing w:after="0"/>
              <w:rPr>
                <w:sz w:val="20"/>
                <w:szCs w:val="20"/>
                <w:color w:val="auto"/>
              </w:rPr>
            </w:pPr>
            <w:r>
              <w:rPr>
                <w:rFonts w:ascii="Arial" w:cs="Arial" w:eastAsia="Arial" w:hAnsi="Arial"/>
                <w:sz w:val="18"/>
                <w:szCs w:val="18"/>
                <w:color w:val="auto"/>
                <w:w w:val="93"/>
              </w:rPr>
              <w:t>The following table sets forth the Company’s other assets, by type, as of December 31, 2011 and 2010:</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0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receivables and deferred tax assets (net of valuation allowance) and other taxes</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$104,740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tcPr>
          <w:p>
            <w:pPr>
              <w:spacing w:after="0"/>
              <w:rPr>
                <w:sz w:val="20"/>
                <w:szCs w:val="20"/>
                <w:color w:val="auto"/>
              </w:rPr>
            </w:pPr>
            <w:r>
              <w:rPr>
                <w:rFonts w:ascii="Arial" w:cs="Arial" w:eastAsia="Arial" w:hAnsi="Arial"/>
                <w:sz w:val="18"/>
                <w:szCs w:val="18"/>
                <w:color w:val="auto"/>
              </w:rPr>
              <w:t>Advances and prepayments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85,927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94,967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Deferred debt issuance costs</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50,648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247,194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215,195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60" w:type="dxa"/>
            <w:vAlign w:val="bottom"/>
            <w:gridSpan w:val="4"/>
            <w:vMerge w:val="restart"/>
          </w:tcPr>
          <w:p>
            <w:pPr>
              <w:jc w:val="right"/>
              <w:ind w:right="2780"/>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6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2011 and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right"/>
              <w:ind w:right="25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$149,789</w:t>
            </w:r>
          </w:p>
        </w:tc>
        <w:tc>
          <w:tcPr>
            <w:tcW w:w="3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$136,209</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Current and deferred income taxes and other taxes</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93,344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91,665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70,036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67,779</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Unclaimed funds at LFB</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27,281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28,026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Abandoned leased space (principally in the U.K.)</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Securities sold, not yet purchased</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4,282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(present value of unpaid cash consideration)</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71,394</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62,955</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85,285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420,152</w:t>
            </w: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491,458</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13. SENIOR AND SUBORDINATED DEBT</w:t>
            </w: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98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80" w:type="dxa"/>
            <w:vAlign w:val="bottom"/>
            <w:gridSpan w:val="5"/>
          </w:tcPr>
          <w:p>
            <w:pPr>
              <w:ind w:left="460"/>
              <w:spacing w:after="0"/>
              <w:rPr>
                <w:sz w:val="20"/>
                <w:szCs w:val="20"/>
                <w:color w:val="auto"/>
              </w:rPr>
            </w:pPr>
            <w:r>
              <w:rPr>
                <w:rFonts w:ascii="Arial" w:cs="Arial" w:eastAsia="Arial" w:hAnsi="Arial"/>
                <w:sz w:val="18"/>
                <w:szCs w:val="18"/>
                <w:b w:val="1"/>
                <w:bCs w:val="1"/>
                <w:i w:val="1"/>
                <w:iCs w:val="1"/>
                <w:color w:val="auto"/>
                <w:w w:val="89"/>
              </w:rPr>
              <w:t>Senior Debt</w:t>
            </w:r>
            <w:r>
              <w:rPr>
                <w:rFonts w:ascii="Arial" w:cs="Arial" w:eastAsia="Arial" w:hAnsi="Arial"/>
                <w:sz w:val="18"/>
                <w:szCs w:val="18"/>
                <w:color w:val="auto"/>
                <w:w w:val="89"/>
              </w:rPr>
              <w:t>—Senior debt is comprised of the following as of December 31, 2011 and 2010:</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Initial</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Annual</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w w:val="92"/>
              </w:rPr>
              <w:t>Outstanding As Of</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Principal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Maturity</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Interest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Amount</w:t>
            </w:r>
          </w:p>
        </w:tc>
        <w:tc>
          <w:tcPr>
            <w:tcW w:w="4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Date</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Rate</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gridSpan w:val="2"/>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 (a)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5/15/15</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7.125%</w:t>
            </w:r>
          </w:p>
        </w:tc>
        <w:tc>
          <w:tcPr>
            <w:tcW w:w="480" w:type="dxa"/>
            <w:vAlign w:val="bottom"/>
            <w:gridSpan w:val="2"/>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528,500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Lazard Group 6.85% Senior Notes (b)</w:t>
            </w:r>
          </w:p>
        </w:tc>
        <w:tc>
          <w:tcPr>
            <w:tcW w:w="680" w:type="dxa"/>
            <w:vAlign w:val="bottom"/>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6/15/17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548,350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Lazard Group Credit Facility (c)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4/29/13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1,076,850</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4"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the year ended December 31, 2010, the Company repurchased $10,000 principal amount of the 7.125% Senior Notes, at a cost, excluding accrued interest, of $10,375, and, after the write-off of applicable unamortized debt issuance costs of $49, the Company recognized a pre-tax loss of $424. In connection with the issuance of the 7.125% Senior Notes, on April 1, 2005, Lazard Group entered into an interest rate forward agreement. On May 9, 2005, Lazard Group settled the interest rate forward agreement, of which $11,003 was deemed to be the effective portion of the hedge and recorded within AOCI and is being amortized as a charge to interest expense over the ten-year term of the 7.125% Senior Notes.</w:t>
      </w:r>
    </w:p>
    <w:p>
      <w:pPr>
        <w:spacing w:after="0" w:line="21" w:lineRule="exact"/>
        <w:rPr>
          <w:rFonts w:ascii="Arial" w:cs="Arial" w:eastAsia="Arial" w:hAnsi="Arial"/>
          <w:sz w:val="16"/>
          <w:szCs w:val="16"/>
          <w:color w:val="auto"/>
        </w:rPr>
      </w:pPr>
    </w:p>
    <w:p>
      <w:pPr>
        <w:ind w:left="460" w:right="480" w:hanging="452"/>
        <w:spacing w:after="0" w:line="347"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During the year ended December 31, 2009, the Company repurchased $900 principal amount of the 6.85% Senior Notes, at a cost, excluding accrued interest, of $635, and, after the write-off of applicable unamortized debt issuance costs of $7, the Company recognized a pre-tax gain of $258.</w:t>
      </w:r>
    </w:p>
    <w:p>
      <w:pPr>
        <w:ind w:left="460" w:right="140" w:hanging="452"/>
        <w:spacing w:after="0" w:line="294"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December 31, 2011, the annual interest rate for a loan accruing interest (based on the Federal Funds overnight rate), including the applicable margin, was 1.90%. At December 31, 2011 and 2010, no amounts were outstanding under the Credit Facility.</w:t>
      </w:r>
    </w:p>
    <w:p>
      <w:pPr>
        <w:spacing w:after="0" w:line="10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notes, contain certain covenants, events of default and other customary provisions, including a customary make-whole provision in the event of early redemption where applicable. As of December 31, 2011, the Company was in compliance with all of these provisions. All of the Company’s senior debt obligations are unsecured.</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2011, the Company had approximately $312,000 in unused lines of credit available to it, including the Credit Facility, and unused lines of credit available to LFB of approximately $91,000 (at December 31, 2011 exchange rates) and Edgewater of $65,000. In addition, LFB has access to the Eurosystem Covered Bond Purchase Program of the Banque de France.</w:t>
      </w:r>
    </w:p>
    <w:p>
      <w:pPr>
        <w:spacing w:after="0" w:line="127"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b w:val="1"/>
          <w:bCs w:val="1"/>
          <w:i w:val="1"/>
          <w:iCs w:val="1"/>
          <w:color w:val="auto"/>
        </w:rPr>
        <w:t>Subordinated Debt—</w:t>
      </w:r>
      <w:r>
        <w:rPr>
          <w:rFonts w:ascii="Arial" w:cs="Arial" w:eastAsia="Arial" w:hAnsi="Arial"/>
          <w:sz w:val="15"/>
          <w:szCs w:val="15"/>
          <w:color w:val="auto"/>
        </w:rPr>
        <w:t>Subordinated debt at December 31, 2010 represented a promissory note amounting to $150,000. The note had a maturity date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2016 and had a fixed interest rate of 3.25% per annum. Until June 30, 2011, the note had a conversion feature which permitted the holder to convert the note into a maximum of 2,631,570 shares of Class A common stock at an effective conversion price of $57 per share. No conversions had occurred. On July 22, 2011, the Company repurchased the note, at a cost, excluding accrued interest, of $131,829. Such repurchase resulted in a pre-tax gain of $18,171, which was recognized by the Company in the third quarter of 2011 and included in “revenue-other” on the accompanying consolidated statement of operations.</w:t>
      </w:r>
    </w:p>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Debt maturities relating to senior borrowings outstanding at December 31, 2011 for each of the five years in the period ending December 31, 2016, and thereafter, are set forth in the table below.</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2012-2014</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2015</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528,500</w:t>
            </w:r>
          </w:p>
        </w:tc>
        <w:tc>
          <w:tcPr>
            <w:tcW w:w="1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5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548,350</w:t>
            </w:r>
          </w:p>
        </w:tc>
        <w:tc>
          <w:tcPr>
            <w:tcW w:w="120" w:type="dxa"/>
            <w:vAlign w:val="bottom"/>
          </w:tcPr>
          <w:p>
            <w:pPr>
              <w:spacing w:after="0"/>
              <w:rPr>
                <w:sz w:val="19"/>
                <w:szCs w:val="19"/>
                <w:color w:val="auto"/>
              </w:rPr>
            </w:pPr>
          </w:p>
        </w:tc>
      </w:tr>
      <w:tr>
        <w:trPr>
          <w:trHeight w:val="216"/>
        </w:trPr>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1,076,850</w:t>
            </w:r>
          </w:p>
        </w:tc>
        <w:tc>
          <w:tcPr>
            <w:tcW w:w="12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Company’s debt at December 31, 2011 and 2010 is recorded at historical amounts. At December 31, 2011 and 2010, the fair value of the Company’s senior and subordinated debt outstanding was approximately $1,138,000 and $1,271,000, respectively, and exceeded the aggregate carrying value by approximately $61,000 and $44,000,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18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2011, 2010 and 2009, aggregate rental expense relating to operating leases amounted to $76,701, $66,342 and $69,404,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2033. Sublease income from such agreements was $10,967, $10,478, and $11,327 for the years ended December 31, 2011, 2010 and 2009,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Capital lease obligations recorded under sale/leaseback transactions are payable through 2017 at a weighted average interest rate of approximately 6.4%. Such obligations are collateralized by certain buildings with a net book value of approximately $22,491 and $25,004 at December 31, 2011 and 2010, respectively. The net book value of all assets recorded under capital leases aggregated $24,589 and $27,767 at December 31, 2011 and 2010,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2011, minimum rental commitments under non-cancelable leases, net of sublease income, are approximately as follows: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46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Capital</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3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3,672</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57,201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24,410</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Sublease proceeds</w:t>
            </w: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167,124</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abandoned leased facilities in the U.K., at December 31, 2011 and 2010, the Company has recognized liabilities of $10,632 and $7,194,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which are included in “other liabilities” on the consolidated statements of financial condition. Payments toward the liabilities continue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term of the leases. Such liabilities are based on the discounted future commitment, net of expected sublease income.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the Company recorded a charge of $5,539 related to such abandoned lease facilities, which is included within “occupancy and equipment”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 of operations.</w:t>
      </w:r>
    </w:p>
    <w:p>
      <w:pPr>
        <w:spacing w:after="0" w:line="15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2011, LFB had $3,907 of such indemnifications and held $2,655 of collateral/counter-guarantees to secure these commitments. The Company believes the likelihood of loss with respect to these indemnities is remote. Accordingly, no liability is recorded in the consolidated statement of financial condition.</w:t>
      </w:r>
    </w:p>
    <w:p>
      <w:pPr>
        <w:spacing w:after="0" w:line="13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December 31, 2011 aggregated $15,647.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See Notes 6, 8, 9 and 17 of Notes to Consolidated Financial Statements for information regarding commitments relating to investment capital funding commitments, the LAM Merger, business acquisitions and obligations to fund our pension plans,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December 31, 2011, LFB had no such underwriting commitments.</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MEMBERS’ EQUITY</w:t>
      </w:r>
    </w:p>
    <w:p>
      <w:pPr>
        <w:spacing w:after="0" w:line="83"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Issuance of Class A Common Shares</w:t>
      </w:r>
      <w:r>
        <w:rPr>
          <w:rFonts w:ascii="Arial" w:cs="Arial" w:eastAsia="Arial" w:hAnsi="Arial"/>
          <w:sz w:val="15"/>
          <w:szCs w:val="15"/>
          <w:color w:val="auto"/>
        </w:rPr>
        <w:t>—During the year ended December 31, 2010, 3,000,000 shares of Class A common stock were newly issued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 In addition, during the years ended December 31, 2011 and 2010, the Company issued an aggregate of 2,434,561 and 888,605 shares of Class A common stock, respectively, and during the year ended December 31, 2011, delivered 3,515,362 shares from Class A common stock held by its subsidiaries in connection with the LAM Merger and certain prior year business acquisitions (see Notes 8 and 9 of Notes to Consolidated Financial Statements).</w:t>
      </w:r>
    </w:p>
    <w:p>
      <w:pPr>
        <w:spacing w:after="0" w:line="9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—Pursuant to the applicable Prospectus Supplements during 2009 and 2010, certain selling shareholders of Lazard Ltd (which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and former managing directors of Lazard (and, from time to time, certain of our directors, executive officers or former executive officers) and their permitted transferees (collectively, the “Selling Shareholders”), who hold LAZ-MD Holdings exchangeable interests and/or Class A common stock) may offer to sell shares of Class A common stock pursuant to applicable underwriting and pricing agreements. Secondary offerings during the years ended December 31, 2009 and 2010 are described below (no such secondary offerings occurred during the year ended December 31,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2009</w:t>
      </w:r>
      <w:r>
        <w:rPr>
          <w:rFonts w:ascii="Arial" w:cs="Arial" w:eastAsia="Arial" w:hAnsi="Arial"/>
          <w:sz w:val="16"/>
          <w:szCs w:val="16"/>
          <w:b w:val="1"/>
          <w:bCs w:val="1"/>
          <w:color w:val="auto"/>
        </w:rPr>
        <w:t xml:space="preserve"> </w:t>
      </w:r>
      <w:r>
        <w:rPr>
          <w:rFonts w:ascii="Arial" w:cs="Arial" w:eastAsia="Arial" w:hAnsi="Arial"/>
          <w:sz w:val="16"/>
          <w:szCs w:val="16"/>
          <w:color w:val="auto"/>
        </w:rPr>
        <w:t>– In June 2009, certain Selling Shareholders (the “June 2009 Selling Shareholders”) sold 4,000,000 shares of Class A common stock at a price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$26.00 per share (the “June 2009 Secondary Offering”). Separately, in connection with the June 2009 Secondary Offering, Lazard Group agreed to purchase from</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June 2009 Selling Shareholders 1,700,000 shares of Class A common stock for an aggregate cost of $44,200 ($26.00 per share), with such purchase being part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the share repurchase program in effect during 2009. In the aggregate, the June 2009 Selling Shareholders sold a total of 5,700,000 shares of Class A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(including 2,110,754 shares of Class A common stock previously received upon the exchange of a like number of LAZ-MD Holdings exchangeable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interests and 3,589,246 shares of Class A common stock received upon a simultaneous exchange of a like number of LAZ-MD Holdings exchangeable interests).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September 2009, certain Selling Shareholders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and together with the June 2009 Secondary Offering, the “2009 Secondary Offerings”).</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u w:val="single" w:color="auto"/>
          <w:color w:val="auto"/>
        </w:rPr>
        <w:t>2010</w:t>
      </w:r>
      <w:r>
        <w:rPr>
          <w:rFonts w:ascii="Arial" w:cs="Arial" w:eastAsia="Arial" w:hAnsi="Arial"/>
          <w:sz w:val="18"/>
          <w:szCs w:val="18"/>
          <w:b w:val="1"/>
          <w:bCs w:val="1"/>
          <w:color w:val="auto"/>
        </w:rPr>
        <w:t xml:space="preserve"> – </w:t>
      </w:r>
      <w:r>
        <w:rPr>
          <w:rFonts w:ascii="Arial" w:cs="Arial" w:eastAsia="Arial" w:hAnsi="Arial"/>
          <w:sz w:val="18"/>
          <w:szCs w:val="18"/>
          <w:color w:val="auto"/>
        </w:rPr>
        <w:t>In March 2010, certain Selling Shareholders sold 7,869,311 shares of Class A common stock (including (i) 7,262 shares of Class A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August 2010, certain Selling Shareholders (the “August 2010 Selling Shareholders”) sold 7,397,837 shares of Class A common stock at a price of</w:t>
      </w:r>
    </w:p>
    <w:p>
      <w:pPr>
        <w:spacing w:after="0" w:line="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$30.32 per share (the “August 2010 Secondary Offering”). Separately, in connection with the August 2010 Secondary Offering, Lazard Group agreed to purchase from the August 2010 Selling Shareholders 2,500,000 shares of Class A common stock for an aggregate cost of $75,800 ($30.32 per share), with such purchase being part of the share repurchase program in effect during 2010. In the aggregate, the August 2010 Selling Shareholders sold a total of 9,897,837 shares of Class A common stock (including 7,194,144 shares of Class A common stock previously received upon the exchange of a like number of LAZ-MD Holdings exchangeable interests and 2,703,693 shares of Class A common stock received upon a simultaneous exchange of a like number of LAZ-MD Holdings exchangeable interests).</w:t>
      </w:r>
    </w:p>
    <w:p>
      <w:pPr>
        <w:spacing w:after="0" w:line="13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November 2010, certain Selling Shareholders (the “November 2010 Selling Shareholders”) sold 3,000,000 shares of Class A common stock at a price of $35.77 per share (the “November 2010 Secondary Offering”, and together with the March 2010 Secondary Offering and the August 2010 Secondary Offering, the “2010 Secondary Offerings”). Separately, in connection with the November 2010 Secondary Offering, Lazard Group agreed to purchase from the November 2010 Selling Shareholders 1,220,714 shares of Class A common stock for an aggregate cost of $43,665 ($35.77 per share), with such purchase being part of the share repurchase program in effect during 2010. In the aggregate, the November 2010 Selling Shareholders sold a total of 4,220,714 shares of Class A common stock (including 1,543,245 shares of Class A common stock previously received upon the exchange of a like number of LAZ-MD Holdings exchangeable interests and 2,677,469 shares of Class A common stock received upon a simultaneous exchange of a like number of LAZ-MD Holdings exchangeable interests).</w:t>
      </w:r>
    </w:p>
    <w:p>
      <w:pPr>
        <w:spacing w:after="0" w:line="9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Lazard Ltd did not receive any net proceeds from the sales of Class A common stock from the 2009 Secondary Offerings and the 2010 Secondary Offerings (collectively, the “2009 and 2010 Secondary Offerings”).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2011, 2010 and 2009,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8"/>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Tax distributions: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9,480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$25,316</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16,800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52,135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42,044</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17,499</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61,615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67,360</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distributions: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4,383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9,804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$17,403</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70,572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50,581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33,451</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74,955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60,385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50,854</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—In addition to the simultaneous exchanges that occurred in connection with the 2009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Secondary Offerings discussed above, during the years ended 2009, 2010 and 2011, Lazard Ltd issued 7,523,236, 12,081,618 and 876,814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9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January 2010, the Board of Directors of Lazard Ltd authorized, on a cumulative basis, the repurchase of up to $200,000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aggregate cost of its Class A common stock and Lazard Group common membership interests through December 31, 2011. The Company’s prior share repurchase program expired on December 31, 2009. In addition, in February 2011 and October 2011, the Board of Directors of Lazard Ltd authorized the repurchase of up to an additional $250,000 and $125,000, respectively, in aggregate cost of Class A common stock and Lazard Group common membership interests through December 31, 2012 and December 31, 2013, respectively. The Company expects that the share repurchase program, with respect to the Class A common stock, will continue to be used primarily to offset a portion of the shares that have been or will be issued under the 2005 Plan and the Lazard Ltd 2008 Incentive Compensation Plan (the “2008 Plan”). Pursuant to such authorizations, purchases have been made in the open market or through privately negotiated transactions, and since inception of the program in February 2006 through December 31, 2011, aggregate purchases with respect to such program by Lazard Group and subsidiaries of Lazard Ltd are set forth in the table below (including, during the year ended December 31, 2011, aggregate purchases of 6,135,189 Class A common shares, at an aggregate cost of $204,835, and the purchase of 19,032 Lazard Group common membership interests, at an aggregate cost of $794):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4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4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4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Membership</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4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Interests Purchased</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Interest</w:t>
            </w:r>
          </w:p>
        </w:tc>
      </w:tr>
      <w:tr>
        <w:trPr>
          <w:trHeight w:val="210"/>
        </w:trPr>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w:t>
            </w:r>
          </w:p>
        </w:tc>
        <w:tc>
          <w:tcPr>
            <w:tcW w:w="40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22,908,848</w:t>
            </w:r>
          </w:p>
        </w:tc>
        <w:tc>
          <w:tcPr>
            <w:tcW w:w="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1,400,089</w:t>
            </w: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r>
        <w:trPr>
          <w:trHeight w:val="356"/>
        </w:trPr>
        <w:tc>
          <w:tcPr>
            <w:tcW w:w="4380" w:type="dxa"/>
            <w:vAlign w:val="bottom"/>
          </w:tcPr>
          <w:p>
            <w:pPr>
              <w:spacing w:after="0"/>
              <w:rPr>
                <w:sz w:val="24"/>
                <w:szCs w:val="24"/>
                <w:color w:val="auto"/>
              </w:rPr>
            </w:pPr>
          </w:p>
        </w:tc>
        <w:tc>
          <w:tcPr>
            <w:tcW w:w="4020" w:type="dxa"/>
            <w:vAlign w:val="bottom"/>
          </w:tcPr>
          <w:p>
            <w:pPr>
              <w:jc w:val="right"/>
              <w:ind w:right="2472"/>
              <w:spacing w:after="0"/>
              <w:rPr>
                <w:sz w:val="20"/>
                <w:szCs w:val="20"/>
                <w:color w:val="auto"/>
              </w:rPr>
            </w:pPr>
            <w:r>
              <w:rPr>
                <w:rFonts w:ascii="Arial" w:cs="Arial" w:eastAsia="Arial" w:hAnsi="Arial"/>
                <w:sz w:val="18"/>
                <w:szCs w:val="18"/>
                <w:color w:val="auto"/>
              </w:rPr>
              <w:t>101</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result of the delivery of shares of Class A common stock during the five year period ended December 31, 2011 relating to (i) the settlement of vested RSUs and deferred stock unit grants (“DSUs”), (ii) the incentive plan share awards of shares of restricted Class A common stock, (iii) the issuance of shares of restricted Class A common stock in exchange for RSUs and (iv) the delivery of shares of Class A common stock in connection with business acquisitions and the LAM Merger, there were 2,174,573 and 6,847,508 shares of Class A common stock held by Lazard Group at December 31, 2011 and 2010, respectively. Such Class A common shares are reported, at cost, as a reduction of members’ equity within the accompanying consolidated statements of financial condition.</w:t>
      </w:r>
    </w:p>
    <w:p>
      <w:pPr>
        <w:spacing w:after="0" w:line="102"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As of January 1, 2012, $212,143 of the current aggregate $375,000 share repurchase amount authorized as of such date remained available under the share repurchase program as follows – $87,143 of the $250,000 share repurchase amount expiring December 31, 2012, and all of the $125,000 share repurchase amount expiring December 31, 2013. In addition, under the terms of the 2005 Plan and the 2008 Plan, upon the vesting of RSUs, shares of Class A common stock may be withheld by the Company to cover the recipient’s estimated income tax liability (see Note 16 of Notes to Consolidated Financial Statements).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Accumulated Other Comprehensive Income (Loss), Net of Tax—</w:t>
      </w:r>
      <w:r>
        <w:rPr>
          <w:rFonts w:ascii="Arial" w:cs="Arial" w:eastAsia="Arial" w:hAnsi="Arial"/>
          <w:sz w:val="16"/>
          <w:szCs w:val="16"/>
          <w:color w:val="auto"/>
        </w:rPr>
        <w:t>The components of AOCI at December 31, 2011 and 2010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(92,637)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(56,595)</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(79,236)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(34,772)</w:t>
            </w: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Total Lazard Ltd AOCI</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(79,252)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(35,023)</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Noncontrolling Interests—</w:t>
      </w:r>
      <w:r>
        <w:rPr>
          <w:rFonts w:ascii="Arial" w:cs="Arial" w:eastAsia="Arial" w:hAnsi="Arial"/>
          <w:sz w:val="16"/>
          <w:szCs w:val="16"/>
          <w:color w:val="auto"/>
        </w:rPr>
        <w:t>Noncontrolling interests principally represent interests held in (i) Edgewater’s management vehicles that the Company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deemed to control, but does not own, and (ii) various GP interests and investment companies which are deemed to be controlled by the Company.</w:t>
      </w:r>
    </w:p>
    <w:p>
      <w:pPr>
        <w:spacing w:after="0" w:line="7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2011, 2010 and 2009 and noncontrolling interests as of December 31, 2011 and 2010 in the Company’s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Net Income (Loss)</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Interests</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180" w:type="dxa"/>
            <w:vAlign w:val="bottom"/>
            <w:gridSpan w:val="2"/>
          </w:tcPr>
          <w:p>
            <w:pPr>
              <w:jc w:val="center"/>
              <w:ind w:left="605"/>
              <w:spacing w:after="0" w:line="142" w:lineRule="exact"/>
              <w:rPr>
                <w:sz w:val="20"/>
                <w:szCs w:val="20"/>
                <w:color w:val="auto"/>
              </w:rPr>
            </w:pPr>
            <w:r>
              <w:rPr>
                <w:rFonts w:ascii="Arial" w:cs="Arial" w:eastAsia="Arial" w:hAnsi="Arial"/>
                <w:sz w:val="14"/>
                <w:szCs w:val="14"/>
                <w:b w:val="1"/>
                <w:bCs w:val="1"/>
                <w:color w:val="auto"/>
                <w:w w:val="83"/>
              </w:rPr>
              <w:t>2010</w:t>
            </w:r>
          </w:p>
        </w:tc>
        <w:tc>
          <w:tcPr>
            <w:tcW w:w="80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$4,130</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$6,690</w:t>
            </w:r>
          </w:p>
        </w:tc>
        <w:tc>
          <w:tcPr>
            <w:tcW w:w="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$2,927</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GP interests and consolidated investment companies</w:t>
            </w:r>
          </w:p>
        </w:tc>
        <w:tc>
          <w:tcPr>
            <w:tcW w:w="3900" w:type="dxa"/>
            <w:vAlign w:val="bottom"/>
            <w:gridSpan w:val="3"/>
          </w:tcPr>
          <w:p>
            <w:pPr>
              <w:jc w:val="right"/>
              <w:ind w:right="60"/>
              <w:spacing w:after="0"/>
              <w:rPr>
                <w:sz w:val="20"/>
                <w:szCs w:val="20"/>
                <w:color w:val="auto"/>
              </w:rPr>
            </w:pPr>
            <w:r>
              <w:rPr>
                <w:rFonts w:ascii="Arial" w:cs="Arial" w:eastAsia="Arial" w:hAnsi="Arial"/>
                <w:sz w:val="18"/>
                <w:szCs w:val="18"/>
                <w:color w:val="auto"/>
              </w:rPr>
              <w:t>(139)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19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(666)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32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3,678</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6,880</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280" w:type="dxa"/>
            <w:vAlign w:val="bottom"/>
            <w:vMerge w:val="restart"/>
          </w:tcPr>
          <w:p>
            <w:pPr>
              <w:jc w:val="right"/>
              <w:ind w:right="1992"/>
              <w:spacing w:after="0"/>
              <w:rPr>
                <w:sz w:val="20"/>
                <w:szCs w:val="20"/>
                <w:color w:val="auto"/>
              </w:rPr>
            </w:pPr>
            <w:r>
              <w:rPr>
                <w:rFonts w:ascii="Arial" w:cs="Arial" w:eastAsia="Arial" w:hAnsi="Arial"/>
                <w:sz w:val="18"/>
                <w:szCs w:val="18"/>
                <w:color w:val="auto"/>
              </w:rPr>
              <w:t>102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Noncontrolling Interests</w:t>
            </w:r>
          </w:p>
        </w:tc>
        <w:tc>
          <w:tcPr>
            <w:tcW w:w="0" w:type="dxa"/>
            <w:vAlign w:val="bottom"/>
          </w:tcPr>
          <w:p>
            <w:pPr>
              <w:spacing w:after="0"/>
              <w:rPr>
                <w:sz w:val="1"/>
                <w:szCs w:val="1"/>
                <w:color w:val="auto"/>
              </w:rPr>
            </w:pPr>
          </w:p>
        </w:tc>
      </w:tr>
      <w:tr>
        <w:trPr>
          <w:trHeight w:val="161"/>
        </w:trPr>
        <w:tc>
          <w:tcPr>
            <w:tcW w:w="8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2011</w:t>
            </w:r>
          </w:p>
        </w:tc>
        <w:tc>
          <w:tcPr>
            <w:tcW w:w="142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91,713</w:t>
            </w:r>
          </w:p>
        </w:tc>
        <w:tc>
          <w:tcPr>
            <w:tcW w:w="7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$ 111,289</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GP interests and consolidated investment companies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11,384</w:t>
            </w:r>
          </w:p>
        </w:tc>
        <w:tc>
          <w:tcPr>
            <w:tcW w:w="1860" w:type="dxa"/>
            <w:vAlign w:val="bottom"/>
            <w:gridSpan w:val="3"/>
          </w:tcPr>
          <w:p>
            <w:pPr>
              <w:jc w:val="right"/>
              <w:ind w:right="440"/>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103,923</w:t>
            </w:r>
          </w:p>
        </w:tc>
        <w:tc>
          <w:tcPr>
            <w:tcW w:w="186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120,882</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INCENTIVE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2011, 2010 and 2009,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Class A common stock at the date of grant.</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Expense relating to RSUs was as follows within the Company’s consolidated statements of operations: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9"/>
                <w:szCs w:val="19"/>
                <w:color w:val="auto"/>
              </w:rPr>
            </w:pPr>
          </w:p>
        </w:tc>
      </w:tr>
      <w:tr>
        <w:trPr>
          <w:trHeight w:val="210"/>
        </w:trPr>
        <w:tc>
          <w:tcPr>
            <w:tcW w:w="8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Compensation and benefits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$ 264,110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$ 256,214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333,823</w:t>
            </w:r>
          </w:p>
        </w:tc>
        <w:tc>
          <w:tcPr>
            <w:tcW w:w="100" w:type="dxa"/>
            <w:vAlign w:val="bottom"/>
            <w:shd w:val="clear" w:color="auto" w:fill="CCEEFF"/>
          </w:tcPr>
          <w:p>
            <w:pPr>
              <w:spacing w:after="0"/>
              <w:rPr>
                <w:sz w:val="18"/>
                <w:szCs w:val="18"/>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24,239</w:t>
            </w:r>
          </w:p>
        </w:tc>
        <w:tc>
          <w:tcPr>
            <w:tcW w:w="100" w:type="dxa"/>
            <w:vAlign w:val="bottom"/>
          </w:tcPr>
          <w:p>
            <w:pPr>
              <w:spacing w:after="0"/>
              <w:rPr>
                <w:sz w:val="19"/>
                <w:szCs w:val="19"/>
                <w:color w:val="auto"/>
              </w:rPr>
            </w:pP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$ 264,110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$ 303,094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358,062</w:t>
            </w:r>
          </w:p>
        </w:tc>
      </w:tr>
      <w:tr>
        <w:trPr>
          <w:trHeight w:val="20"/>
        </w:trPr>
        <w:tc>
          <w:tcPr>
            <w:tcW w:w="1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right="4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during the year ended December 31, 2010, $24,860 relating to the amendment of the Company’s retirement policy (described below) and, during the year ended December 31, 2009, $86,514 of accelerated amortization expense relating to awards held by Lazard’s former Chairman and Chief Executive Officer as a result of his death.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years ended December 31, 2011, 2010 and 2009, dividend participation rights required the issuance of 389,846, 318,025 and 331,642 RSUs, respectively.</w:t>
      </w:r>
    </w:p>
    <w:p>
      <w:pPr>
        <w:spacing w:after="0" w:line="18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also the same Non-Executive Directors of Lazard Ltd) receive approximately 55% of their annual compensation for service on the Board of Directors and its committees in the form of DSUs, which resulted in 26,859, 31,588 and 36,627 DSUs granted during the years ended December 31, 2011, 2010 and 2009,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years ended December 31, 2011, 2010 and 2009.</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2011, 2010 and 2009, 8,184, 7,438 and 8,899 DSUs, respectively, had been granted pursuant to such Plan.</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DSU awards are expensed at their fair value on their date of grant, which, inclusive of amounts related to the Directors’ Fee Deferral Unit Plan, totaled $632, $615 and $658 during the years ended December 31, 2011, 2010 and 2009,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2011:</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2009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22,141,468</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331,642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8,006,287</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31.50</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45,526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Vested/Converted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(5,948,920)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37.64</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rPr>
              <w:t>(7,636)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23,367,813</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103,146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318,025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7,890,127</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35.69</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39,026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(859,756)</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Vested/Converted/Exchanged</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(8,289,549)</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39.42</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(20,435)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22,108,635</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389,846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7,002,736</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43.21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35,043</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(305,155)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Vested/Converted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(8,054,387)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39.13</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20,751,829</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years ended December 31, 2011, 2010 and 2009, 8,054,387 RSUs, 8,248,654 RSUs and 5,948,920 RSUs (including the acceleration of 4,406,440 RSUs held by Lazard’s former Chairman and Chief Executive Officer as a result of his death) vested, respectively, and, during the year ended December 31, 2010, 40,895 RSUs were exchanged for 40,895 shares of restricted Class A common stock. In connection with the vested RSUs, the Company satisfied certain employees’ tax obligations in lieu of issuing 2,353,561, 1,674,261 and 446,172 shares of Class A common stock in the years ended December 31, 2011, 2010 and 2009, respectively. Accordingly, 5,700,826, 6,574,393 and 5,502,748 shares of Class A common stock held by Lazard Group were delivered during the years ended December 31, 2011, 2010 and 2009, respectively.</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2011, unrecognized RSU compensation expense, adjusted for estimated forfeitures, was approximately $259,000, with such unrecognized compensation expense expected to be recognized over a weighted average period of approximately 1.3 years subsequent to December 31, 2011.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two-year period ended December 31, 2011: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1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1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11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16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Granted/Exchanged (a)</w:t>
            </w:r>
          </w:p>
        </w:tc>
        <w:tc>
          <w:tcPr>
            <w:tcW w:w="680" w:type="dxa"/>
            <w:vAlign w:val="bottom"/>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822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40,895 shares of restricted Class A common stock issued in exchange for 40,895 RSUs previously granted during the year at a grant date fair value of $36.10 per share. The vesting terms of such restricted Class A common stock issued are the same as those of the original award exchanged. There was no incremental compensation cost incurred as a result of the exchange.</w:t>
      </w:r>
    </w:p>
    <w:p>
      <w:pPr>
        <w:spacing w:after="0" w:line="127"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Company satisfied certain employees’ tax obligations in lieu of delivering 68,866 shares of Class A common stock in connection with shares of restricted Class A common stock that vested during the year ended December 31, 2011. Accordingly, 258,372 shares of Class A common stock held by the Company were delivered during the year ended December 31, 2011.</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Expense relating to restricted stock awards is charged to “compensation and benefits” expense within the Company’s consolidated statements of operations, and amounted to $9,767 and $979 for the years ended December 31, 2011 and 2010, respectively. The awards include a cash dividend participation right equivalent to any ordinary quarterly dividends paid on Class A common stock during the period, which will vest concurrently with the underlying restricted stock award. At December 31, 2011, unrecognized restricted stock expense was approximately $957, with such expense to be recognized over a weighted average period of approximately 0.7 years subsequent to December 31, 2011.</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previously described, in February 2011, the Company granted to eligible employees Lazard Fund Interests. In connection with the Lazard Fund Interests and other similar deferred compensation arrangements,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and amounted to $14,551 for the year ended December 31, 2011. Lazard Fund Interests and similar deferred compensation arrangements that do not require future service are expensed immediately. The related compensation liability is accounted for at fair value as a derivative liability, and is adjusted for changes in fair value primarily related to the changes in the fair value of the underlying investments. Such changes in the fair value of the derivative liability are recorded to “compensation and benefits” expense within the Company’s consolidated statements of operations, the impact of which equally offsets the changes in fair value of the underlying investments owned and is reported in “revenue-other” in the consolidated statement of operations (see Note 7 of Notes to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Lazard Fund Interests granted as of December 31, 2011 generally provide for one-third vesting on March 1, 2013 and two-thirds vesting on March 3, 2014. As of December 31, 2011, unrecognized compensation expense for Lazard Fund Interests and other similar deferred compensation arrangements, adjusted for estimated forfeitures, was approximately $18,000. Such compensation expense will generally be recognized over a weighted average period of approximately 1.8 years subsequent to December 31, 2011.</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2009</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portion of the incentive awards granted in February 2009 included a deferred cash component, which was originally scheduled to vest over a maximum period of four years. During the fourth quarter of 2009, in connection with a review of the Company’s compensation policy, the Company accelerated the vesting of the then unamortized portion of such previously awarded deferred cash incentive awards which resulted in a pre-tax charge to “compensation and benefits” expense of $60,512.</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2012</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2012, the Company granted approximately $281,000 of deferred incentive awards to eligible employees. These grants included approximately 6.1 million RSUs or shares of restricted Class A common stock, that in accordance with U.S. GAAP, were measured at the grant date fair value of $27.57 per RSU or share of restricted Class A common stock, or an aggregate of approximately $168,000. In addition, eligible employees will have the choice of receiving a portion of their deferred incentive awards in a combination of (i) Lazard Fund Interests, and (ii) additional RSUs or shares of restricted Class A common stock. The aggregate fair value on the date of grant of these awards is approximately $102,000. The remaining deferred incentive awards include deferred cash awards and a portion of fund managers’ year-end incentive compensation that is reinvested in certain asset management funds. The aggregate fair value on the date of grant of these awards is approximately $11,000.</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RSUs, restricted stock and Lazard Fund Interests granted each provide for one-third vesting on March 3, 2014 and the remaining two-thirds vesting on March 2, 2015. Compensation expense with respect to such incentive awards will generally be recognized over the vesting period, with such compensation expense to be recognized over a weighted average period of approximately 2.7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EMPLOYEE BENEFIT PLANS</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9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also offers a partially funded contributory post-retirement medical plan covering qualifying U.S. employees (the “Medical Plan”). The Medical Plan pays a stated percentage of most necessary medical expenses incurred by retirees, after subtracting payments by Medicare or other providers and after stated deductibles have been met. Participants become eligible for benefits if they retire from the Company after meeting certain age and service requirements. Effective January 1, 2005, post-retirement health care benefits are no longer offered to those managing directors and employees hired on or after January 1, 2005 and for those managing directors and employees hired before January 1, 2005 who did not attain the age of 40 before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December 31, 2005. In addition, effective January 1, 2006, the cost sharing policy changed for those who qualify for the benefit. The plan was amended effective January 1, 2008, such that previously ineligible managing directors and employees who meet the Medical Plan’s age and service requirements have the ability, upon retirement, to elect to purchase medical coverage through the Medical Plan at no cost to the Company. The Company will continue to contribute towards the cost of retiree medical premiums for those employees hired before January 1, 2005 who were age 55 or older on or before December 31, 2005.</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Management also evaluates from time to time whether to make voluntary contributions to the plans. The Company did not make any contributions to the U.S. pension plans during the year ended December 31, 2011, however it expects to make a contribution of approximately $700 to the U.S. pension plans in the year ending December 31, 2012.</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accordance with agreements reached with the Trustees of certain U.K. pension plans in 2005, the Company was obligated to make further contributions to such pension plans based upon the cumulative performance of the plans’ assets against specific benchmarks as measured on June 1, 2009 and subsequently remeasured on June 1, 2010.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Further on June 30, 2009 the Company and the Trustees concluded the December 31, 2007 triennial valuation of the U.K. pension plans discussed above, pursuant to which the Company agreed to annual future contributions to the plan through 2018. The agreement also required the Company to secure its obligations’ to the pension plans by placing in escrow 12.5 million British pounds (with the Company depositing such amount in escrow in July 2009), with a final redemption date of December 31, 2018. The aggregate escrow balance at December 31, 2010 had been recorded in “cash deposited with clearing organizations and other segregated cash” and “investments” on the accompanying consolidated statement of financial condition. The terms of this agreement were subject to adjustment based on the results of the December 31, 2010 triennial valuation and subsequent triennial valuations.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2011, the Company and the Trustees of the U.K. pension plans referred to above commenced negotiations regarding the terms of the December 31, 2010 triennial valuations of the plans and potential future contributions to the plans. We currently anticipate that the valuations will be concluded by March 31, 2012, with a tentative agreement having been reached in principle that would supersede the June 2009 agreement described above and that provides pension funding terms whereby the Company: (i) made a contribution in December 2011 to the plans of 2.3 million British pounds ($3,687 at December 31, 2011 exchange rates) from the escrow account, (ii) will make contributions of 1 million British pounds during each year from 2012 through 2020 inclusive and (iii) will amend and extend the existing escrow arrangement into an account security arrangement covering 10 million British pounds from the existing escrow and additional contributions of 1 million British pounds into such account security arrangement during each year from 2014 through 2020, inclusive, with an agreement that assets from the account security arrangements will be released into the plans if and to the extent that the value of the plans’ assets falls short of the funding target for June 1, 2020 that has been agreed upon with the Trustees.” The terms of the tentative agreement are subject to adjustment based on the results of subsequent triennial valuations. Additionally, the Company is discussing with the Trustees the extent to which the Company would contribute to the plans to cover their administrative expenses. The aggregate escrow balance at December 31, 2011 has been recorded in “cash deposited with clearing organizations and other segregated cash” on the accompanying consolidated statement of financial condition. Income on the escrow balance accretes to the Company and is recorded in interest income.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Additionally, during the year ended December 31, 2011, contributions made to other non-U.S. pension plans amounted to $4,867. The Company expects to contribute a similar amount to these other non-U.S. pension plans in the year ending December 31, 2012.</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U.S. and non-U.S. defined benefit pension plans and the U.S. post-retirement Medical Plan. The Company uses December 31 as the measurement date for its employee benefit plans.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Pension</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Post-Retirement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519,779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525,458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5,799</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(21,718)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(21,826)</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(23,438)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575,031</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519,779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554,988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524,656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(21,718)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(21,826)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tcPr>
          <w:p>
            <w:pPr>
              <w:spacing w:after="0"/>
              <w:rPr>
                <w:sz w:val="19"/>
                <w:szCs w:val="19"/>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(22,578)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568,911</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554,988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Funded surplus (deficit)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(6,120)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35,209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(5,362)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Amounts recognized in the consolidated statements of financial condition at December 31, 2011 and 2010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31,457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61,572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(37,577)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(26,363)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(5,362)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(5,799)</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(6,120)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35,209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(5,362)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4"/>
              </w:rPr>
              <w:t>Amounts recognized in AOCI (excluding tax benefits of $14,183 and $2,689 at December 31, 2011 and</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 respectively) 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Actuarial net loss (gain)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93,186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41,898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107,082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59,107</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2011 and 2010: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gridSpan w:val="3"/>
          </w:tcPr>
          <w:p>
            <w:pPr>
              <w:ind w:left="200"/>
              <w:spacing w:after="0"/>
              <w:rPr>
                <w:sz w:val="20"/>
                <w:szCs w:val="20"/>
                <w:color w:val="auto"/>
              </w:rPr>
            </w:pPr>
            <w:r>
              <w:rPr>
                <w:rFonts w:ascii="Arial" w:cs="Arial" w:eastAsia="Arial" w:hAnsi="Arial"/>
                <w:sz w:val="14"/>
                <w:szCs w:val="14"/>
                <w:b w:val="1"/>
                <w:bCs w:val="1"/>
                <w:color w:val="auto"/>
                <w:w w:val="99"/>
              </w:rPr>
              <w:t>U.S. Pension Plans</w:t>
            </w:r>
          </w:p>
        </w:tc>
        <w:tc>
          <w:tcPr>
            <w:tcW w:w="32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Non-U.S. Pension Plans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3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gridSpan w:val="3"/>
          </w:tcPr>
          <w:p>
            <w:pPr>
              <w:ind w:left="160"/>
              <w:spacing w:after="0"/>
              <w:rPr>
                <w:sz w:val="20"/>
                <w:szCs w:val="20"/>
                <w:color w:val="auto"/>
              </w:rPr>
            </w:pPr>
            <w:r>
              <w:rPr>
                <w:rFonts w:ascii="Arial" w:cs="Arial" w:eastAsia="Arial" w:hAnsi="Arial"/>
                <w:sz w:val="14"/>
                <w:szCs w:val="14"/>
                <w:b w:val="1"/>
                <w:bCs w:val="1"/>
                <w:color w:val="auto"/>
                <w:w w:val="98"/>
              </w:rPr>
              <w:t>As Of December 31,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center"/>
              <w:ind w:right="117"/>
              <w:spacing w:after="0"/>
              <w:rPr>
                <w:sz w:val="20"/>
                <w:szCs w:val="20"/>
                <w:color w:val="auto"/>
              </w:rPr>
            </w:pPr>
            <w:r>
              <w:rPr>
                <w:rFonts w:ascii="Arial" w:cs="Arial" w:eastAsia="Arial" w:hAnsi="Arial"/>
                <w:sz w:val="14"/>
                <w:szCs w:val="14"/>
                <w:b w:val="1"/>
                <w:bCs w:val="1"/>
                <w:color w:val="auto"/>
                <w:w w:val="87"/>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3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r>
      <w:tr>
        <w:trPr>
          <w:trHeight w:val="210"/>
        </w:trPr>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$24,295</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$23,471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544,616</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$531,517</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$ 568,911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$554,988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820" w:type="dxa"/>
            <w:vAlign w:val="bottom"/>
            <w:gridSpan w:val="3"/>
          </w:tcPr>
          <w:p>
            <w:pPr>
              <w:ind w:left="1920"/>
              <w:spacing w:after="0"/>
              <w:rPr>
                <w:sz w:val="20"/>
                <w:szCs w:val="20"/>
                <w:color w:val="auto"/>
              </w:rPr>
            </w:pPr>
            <w:r>
              <w:rPr>
                <w:rFonts w:ascii="Arial" w:cs="Arial" w:eastAsia="Arial" w:hAnsi="Arial"/>
                <w:sz w:val="18"/>
                <w:szCs w:val="18"/>
                <w:color w:val="auto"/>
              </w:rPr>
              <w:t>$33,493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$26,644</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20"/>
                <w:szCs w:val="20"/>
                <w:color w:val="auto"/>
              </w:rPr>
            </w:pPr>
            <w:r>
              <w:rPr>
                <w:rFonts w:ascii="Arial" w:cs="Arial" w:eastAsia="Arial" w:hAnsi="Arial"/>
                <w:sz w:val="18"/>
                <w:szCs w:val="18"/>
                <w:color w:val="auto"/>
              </w:rPr>
              <w:t>541,538</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$493,135</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$575,031</w:t>
            </w:r>
          </w:p>
        </w:tc>
        <w:tc>
          <w:tcPr>
            <w:tcW w:w="9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$519,779</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82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rPr>
              <w:t>$33,493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$26,644</w:t>
            </w:r>
          </w:p>
        </w:tc>
        <w:tc>
          <w:tcPr>
            <w:tcW w:w="5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541,538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$493,135</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$575,031</w:t>
            </w:r>
          </w:p>
        </w:tc>
        <w:tc>
          <w:tcPr>
            <w:tcW w:w="9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7"/>
              </w:rPr>
              <w:t>$519,779</w:t>
            </w:r>
          </w:p>
        </w:tc>
        <w:tc>
          <w:tcPr>
            <w:tcW w:w="100" w:type="dxa"/>
            <w:vAlign w:val="bottom"/>
            <w:shd w:val="clear" w:color="auto" w:fill="CCEEFF"/>
          </w:tcPr>
          <w:p>
            <w:pPr>
              <w:spacing w:after="0"/>
              <w:rPr>
                <w:sz w:val="18"/>
                <w:szCs w:val="18"/>
                <w:color w:val="auto"/>
              </w:rPr>
            </w:pPr>
          </w:p>
        </w:tc>
      </w:tr>
      <w:tr>
        <w:trPr>
          <w:trHeight w:val="363"/>
        </w:trPr>
        <w:tc>
          <w:tcPr>
            <w:tcW w:w="3900" w:type="dxa"/>
            <w:vAlign w:val="bottom"/>
          </w:tcPr>
          <w:p>
            <w:pPr>
              <w:spacing w:after="0"/>
              <w:rPr>
                <w:sz w:val="24"/>
                <w:szCs w:val="24"/>
                <w:color w:val="auto"/>
              </w:rPr>
            </w:pPr>
          </w:p>
        </w:tc>
        <w:tc>
          <w:tcPr>
            <w:tcW w:w="2500" w:type="dxa"/>
            <w:vAlign w:val="bottom"/>
            <w:gridSpan w:val="2"/>
          </w:tcPr>
          <w:p>
            <w:pPr>
              <w:jc w:val="right"/>
              <w:ind w:right="487"/>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following table summarizes the components of benefit cost (credit), the return on plan assets, benefits paid, contributions and other amounts recognized in AOCI for the years ended December 31, 2011, 2010 and 2009: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3"/>
              </w:rPr>
              <w:t>Pension Plans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8"/>
              </w:rPr>
              <w:t>Post-Retirement Medical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8"/>
          </w:tcPr>
          <w:p>
            <w:pPr>
              <w:jc w:val="center"/>
              <w:ind w:left="257"/>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651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598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1,432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28,266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27,734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27,419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w w:val="86"/>
              </w:rPr>
              <w:t>(30,490)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(29,347)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(28,310)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Prior service cost (credit)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2,979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1,664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2,626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4,963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Settlements (curtailments)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Total benefit cost (credit)</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1,664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2,626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4,956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29,870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61,452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53,499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8,689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13,284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7,581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21,718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21,826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22,201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changes in plan assets and benefit obligations recognized in AOCI</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w w:val="92"/>
              </w:rPr>
              <w:t>(excluding tax charge (benefit) of $(11,495), $7,530 and $(13,415) during the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years ended December 31, 2011, 2010 and 2009, respectively):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(gain) loss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51,703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(21,026)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22,122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Prior service (credit)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(2,979)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Reclassification of actuarial loss to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28,516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Total recognized in AOCI</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w w:val="94"/>
              </w:rPr>
              <w:t>47,975</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(28,647)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43,774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1,633</w:t>
            </w:r>
          </w:p>
        </w:tc>
        <w:tc>
          <w:tcPr>
            <w:tcW w:w="2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4"/>
              </w:rPr>
              <w:t>49,639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(26,021)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48,730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2011 that are expected to be recognized as components of net periodic benefit cost (credit) for the year ending December 31, 2012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4"/>
              </w:rPr>
              <w:t>Pension</w:t>
            </w:r>
          </w:p>
        </w:tc>
        <w:tc>
          <w:tcPr>
            <w:tcW w:w="7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Post-Retirement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Plans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Medical Plan</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3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4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$2,772</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Net actuarial loss</w:t>
            </w:r>
          </w:p>
        </w:tc>
        <w:tc>
          <w:tcPr>
            <w:tcW w:w="5080" w:type="dxa"/>
            <w:vAlign w:val="bottom"/>
            <w:gridSpan w:val="2"/>
          </w:tcPr>
          <w:p>
            <w:pPr>
              <w:jc w:val="center"/>
              <w:ind w:left="4492"/>
              <w:spacing w:after="0"/>
              <w:rPr>
                <w:sz w:val="20"/>
                <w:szCs w:val="20"/>
                <w:color w:val="auto"/>
              </w:rPr>
            </w:pPr>
            <w:r>
              <w:rPr>
                <w:rFonts w:ascii="Arial" w:cs="Arial" w:eastAsia="Arial" w:hAnsi="Arial"/>
                <w:sz w:val="18"/>
                <w:szCs w:val="18"/>
                <w:color w:val="auto"/>
                <w:w w:val="90"/>
              </w:rPr>
              <w:t>$1,504</w:t>
            </w: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$1,504</w:t>
            </w:r>
          </w:p>
        </w:tc>
        <w:tc>
          <w:tcPr>
            <w:tcW w:w="100" w:type="dxa"/>
            <w:vAlign w:val="bottom"/>
          </w:tcPr>
          <w:p>
            <w:pPr>
              <w:spacing w:after="0"/>
              <w:rPr>
                <w:sz w:val="19"/>
                <w:szCs w:val="19"/>
                <w:color w:val="auto"/>
              </w:rPr>
            </w:pPr>
          </w:p>
        </w:tc>
      </w:tr>
      <w:tr>
        <w:trPr>
          <w:trHeight w:val="356"/>
        </w:trPr>
        <w:tc>
          <w:tcPr>
            <w:tcW w:w="3400" w:type="dxa"/>
            <w:vAlign w:val="bottom"/>
          </w:tcPr>
          <w:p>
            <w:pPr>
              <w:spacing w:after="0"/>
              <w:rPr>
                <w:sz w:val="24"/>
                <w:szCs w:val="24"/>
                <w:color w:val="auto"/>
              </w:rPr>
            </w:pPr>
          </w:p>
        </w:tc>
        <w:tc>
          <w:tcPr>
            <w:tcW w:w="4580" w:type="dxa"/>
            <w:vAlign w:val="bottom"/>
          </w:tcPr>
          <w:p>
            <w:pPr>
              <w:jc w:val="right"/>
              <w:ind w:right="2052"/>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2010 and 2009 are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Post-Retirement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Pension Plans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Medical Plan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640" w:type="dxa"/>
            <w:vAlign w:val="bottom"/>
            <w:gridSpan w:val="2"/>
          </w:tcPr>
          <w:p>
            <w:pPr>
              <w:jc w:val="center"/>
              <w:ind w:left="162"/>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gridSpan w:val="2"/>
          </w:tcPr>
          <w:p>
            <w:pPr>
              <w:jc w:val="center"/>
              <w:ind w:left="221"/>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 to determine benefit obligations:</w:t>
            </w: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5.4%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4.1%</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5.6%</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5.6%</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5.8%</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6.0%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2015</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post-retirement plans. A 1% change in the assumed healthcare cost trend rate would increase (decrease) our cost and obligation as follows: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1% Increase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37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58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3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Obligation</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929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(649)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(891)</w:t>
            </w: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plans for each of the next five fiscal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aggregate for the five fiscal years thereafter:</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w w:val="95"/>
              </w:rPr>
              <w:t>Pension</w:t>
            </w:r>
          </w:p>
        </w:tc>
        <w:tc>
          <w:tcPr>
            <w:tcW w:w="1740" w:type="dxa"/>
            <w:vAlign w:val="bottom"/>
            <w:gridSpan w:val="4"/>
          </w:tcPr>
          <w:p>
            <w:pPr>
              <w:ind w:left="700"/>
              <w:spacing w:after="0"/>
              <w:rPr>
                <w:sz w:val="20"/>
                <w:szCs w:val="20"/>
                <w:color w:val="auto"/>
              </w:rPr>
            </w:pPr>
            <w:r>
              <w:rPr>
                <w:rFonts w:ascii="Arial" w:cs="Arial" w:eastAsia="Arial" w:hAnsi="Arial"/>
                <w:sz w:val="14"/>
                <w:szCs w:val="14"/>
                <w:b w:val="1"/>
                <w:bCs w:val="1"/>
                <w:color w:val="auto"/>
                <w:w w:val="94"/>
              </w:rPr>
              <w:t>Post-Retirement</w:t>
            </w: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4"/>
                <w:szCs w:val="14"/>
                <w:b w:val="1"/>
                <w:bCs w:val="1"/>
                <w:color w:val="auto"/>
              </w:rPr>
              <w:t>Plans</w:t>
            </w:r>
          </w:p>
        </w:tc>
        <w:tc>
          <w:tcPr>
            <w:tcW w:w="70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Medical Plan</w:t>
            </w: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4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$ 21,055</w:t>
            </w: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2013</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21,466</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22,327</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2015</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23,392</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24,597</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2017-2021</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136,727</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1,737</w:t>
            </w:r>
          </w:p>
        </w:tc>
        <w:tc>
          <w:tcPr>
            <w:tcW w:w="8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60" w:type="dxa"/>
            <w:vAlign w:val="bottom"/>
          </w:tcPr>
          <w:p>
            <w:pPr>
              <w:jc w:val="right"/>
              <w:ind w:right="2232"/>
              <w:spacing w:after="0"/>
              <w:rPr>
                <w:sz w:val="20"/>
                <w:szCs w:val="20"/>
                <w:color w:val="auto"/>
              </w:rPr>
            </w:pPr>
            <w:r>
              <w:rPr>
                <w:rFonts w:ascii="Arial" w:cs="Arial" w:eastAsia="Arial" w:hAnsi="Arial"/>
                <w:sz w:val="18"/>
                <w:szCs w:val="18"/>
                <w:color w:val="auto"/>
              </w:rPr>
              <w:t>111</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plans’ assets as of December 31, 2011 and 2010, measured at fair value, into a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hierarchy in accordance with fair value measurement disclosure requirements: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w w:val="88"/>
              </w:rPr>
              <w:t>As of December 31, 2011</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8"/>
              </w:rPr>
              <w:t>Level 3</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76"/>
        </w:trPr>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92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6,836</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148,431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148,431</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Debt securities: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100" w:type="dxa"/>
            <w:vAlign w:val="bottom"/>
            <w:shd w:val="clear" w:color="auto" w:fill="CCEEFF"/>
          </w:tcPr>
          <w:p>
            <w:pPr>
              <w:spacing w:after="0"/>
              <w:rPr>
                <w:sz w:val="19"/>
                <w:szCs w:val="19"/>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Non-U.S. Governments and agency securities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22,232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22,232</w:t>
            </w: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11,148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34,395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45,543</w:t>
            </w: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302,384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317,302</w:t>
            </w:r>
          </w:p>
        </w:tc>
        <w:tc>
          <w:tcPr>
            <w:tcW w:w="100" w:type="dxa"/>
            <w:vAlign w:val="bottom"/>
            <w:shd w:val="clear" w:color="auto" w:fill="CCEEFF"/>
          </w:tcPr>
          <w:p>
            <w:pPr>
              <w:spacing w:after="0"/>
              <w:rPr>
                <w:sz w:val="18"/>
                <w:szCs w:val="18"/>
                <w:color w:val="auto"/>
              </w:rPr>
            </w:pPr>
          </w:p>
        </w:tc>
      </w:tr>
      <w:tr>
        <w:trPr>
          <w:trHeight w:val="223"/>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227,925</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339,209</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1,777</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568,911</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2"/>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rPr>
              <w:t>As of December 31, 2010</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68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12"/>
                <w:szCs w:val="12"/>
                <w:color w:val="auto"/>
              </w:rPr>
            </w:pPr>
          </w:p>
        </w:tc>
      </w:tr>
      <w:tr>
        <w:trPr>
          <w:trHeight w:val="176"/>
        </w:trPr>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92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9,571</w:t>
            </w: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170,989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170,989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Debt securities: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44,580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Non-U.S. Governments and agency securities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40,515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12,133</w:t>
            </w:r>
          </w:p>
        </w:tc>
        <w:tc>
          <w:tcPr>
            <w:tcW w:w="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33,488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11,334</w:t>
            </w:r>
          </w:p>
        </w:tc>
        <w:tc>
          <w:tcPr>
            <w:tcW w:w="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229,551</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240,885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2,827</w:t>
            </w:r>
          </w:p>
        </w:tc>
        <w:tc>
          <w:tcPr>
            <w:tcW w:w="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$ 289,122</w:t>
            </w:r>
          </w:p>
        </w:tc>
        <w:tc>
          <w:tcPr>
            <w:tcW w:w="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$ 265,866</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554,988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Activity in the fair value of the plans’ Level 3 debt mutual funds for the year ended December 31, 2011 consisted of purchases and net unrealized/realized gains of $1,837 and $3, respectively, partially offset by unfavorable foreign currency translation adjustments of $63.</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At December 31, 2011 and 2010, the Company’s U.S. pension plans had 46% and 52%, respectively, of the plans’ assets invested in exchange-traded mutual funds that invest in equity securities and 54% and 48%, respectively, invested in an exchange-traded mutual fund that invests in debt securities, both of which are categorized as Level 1. The Company’s non-U.S. pension plans at December 31, 2011 and 2010 had 36% and 43%, respectively, of the plans’ assets invested in certain debt mutual funds which are categorized as Level 2. The Company’s other non-U.S. pension plans’ investment holdings did not individually constitute more than 10% of non-U.S. pension plan assets at December 31, 2011 and 2010.</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Investment Policies and Strategies</w:t>
      </w:r>
      <w:r>
        <w:rPr>
          <w:rFonts w:ascii="Arial" w:cs="Arial" w:eastAsia="Arial" w:hAnsi="Arial"/>
          <w:sz w:val="18"/>
          <w:szCs w:val="18"/>
          <w:color w:val="auto"/>
        </w:rPr>
        <w:t>—The primary investment goal is to ensure that the plans remain well funded, taking account of the likely future risks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returns and contributions. As a result, a portfolio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values of plan investments classified as Level 1 assets are based on market quotes. The fair values of plan assets classified as Level 2 assets are primarily based on information provided by fund managers.</w:t>
      </w:r>
    </w:p>
    <w:p>
      <w:pPr>
        <w:spacing w:after="0" w:line="12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$10,944, $9,684 and $8,409 for the years ended December 31, 2011, 2010 and 2009, respectively, which are included in “compensation and benefits” expense on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RESTRUCTURING PLANS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each of the first quarters of 2010 and 2009, the Company announced a restructuring plan which included certain staff reductions and realignments of personnel (the “2010 Restructuring Plan” and the “2009 Restructuring Plan”, respectively, and collectively the “2010 and 2009 Restructuring Plans”). In connection with the 2010 Restructuring Plan, the Company recorded a charge in the first quarter of 2010 of $87,108, inclusive of $46,880 relating to the acceleration of RSUs (in aggregate, the “2010 Restructuring Charge”), and, in connection with the 2009 Restructuring Plan, the Company recorded a charge in the first quarter of 2009 of $62,550, inclusive of $24,239 relating to the acceleration of RSUs (in aggregate, the “2009 Restructuring Charge”, and, together with the 2010 Restructuring Charge, the “2010 and 2009 Restructuring Charges”).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December 31, 2011 and 2010, the remaining liability associated with the 2010 Restructuring Plan was $9,456 and $21,381, respectively, and, as of December 31, 2011 and 2010, the remaining liability associated with the 2009 Restructuring Plan was $2,791 and $5,427, respectively. During the years ended December 31, 2011 and 2010, the Company made cash payments of $10,625 and $18,847, respectively, for the 2010 Restructuring Plan and $1,436 and $6,073, respectively, for the 2009 Restructuring Plan. Further during the year ended December 31, 2011, we reduced our provisions by $1,300 and $1,200 for the 2010 and 2009 Restructuring Plans, respectively. Liabilities relating to the 2010 and 2009 Restructuring Plans are reported within “accrued compensation and benefits” and “other liabilities” on the accompanying consolidated statements of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INCOME TAXES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components of the Company’s provision for income taxes for the years ended December 31, 2011, 2010 and 2009, and a reconciliation of the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income tax rate to the Company’s effective tax rates for such periods are shown below.</w:t>
      </w:r>
    </w:p>
    <w:p>
      <w:pPr>
        <w:spacing w:after="0" w:line="2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3,631</w:t>
            </w:r>
          </w:p>
        </w:tc>
        <w:tc>
          <w:tcPr>
            <w:tcW w:w="5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4,627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35,452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26,006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34,587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36,839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39,277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39,744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(3,871)</w:t>
            </w: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(2,832)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5,331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(4,146)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(primarily UBT)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(6,121)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(9,431)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6,108</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(8,017)</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27,408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45,385</w:t>
            </w: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Rate benefit for U.S. partnership operations</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State and local taxes (primarily UBT)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22 of Notes to Consolidated Financial Statements regarding operating income (loss) by geographic region.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240" w:top="459" w:right="5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420" w:type="dxa"/>
            <w:vAlign w:val="bottom"/>
          </w:tcPr>
          <w:p>
            <w:pPr>
              <w:ind w:left="440"/>
              <w:spacing w:after="0"/>
              <w:rPr>
                <w:sz w:val="20"/>
                <w:szCs w:val="20"/>
                <w:color w:val="auto"/>
              </w:rPr>
            </w:pPr>
            <w:r>
              <w:rPr>
                <w:rFonts w:ascii="Arial" w:cs="Arial" w:eastAsia="Arial" w:hAnsi="Arial"/>
                <w:sz w:val="18"/>
                <w:szCs w:val="18"/>
                <w:color w:val="auto"/>
                <w:w w:val="93"/>
              </w:rPr>
              <w:t>Basis adjustments (primarily as a result of the separation and recapitalization transactions that occurred during 2005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tcPr>
          <w:p>
            <w:pPr>
              <w:ind w:left="660"/>
              <w:spacing w:after="0"/>
              <w:rPr>
                <w:sz w:val="20"/>
                <w:szCs w:val="20"/>
                <w:color w:val="auto"/>
              </w:rPr>
            </w:pPr>
            <w:r>
              <w:rPr>
                <w:rFonts w:ascii="Arial" w:cs="Arial" w:eastAsia="Arial" w:hAnsi="Arial"/>
                <w:sz w:val="18"/>
                <w:szCs w:val="18"/>
                <w:color w:val="auto"/>
              </w:rPr>
              <w:t>from secondary offerings)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45,950</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47,440</w:t>
            </w:r>
          </w:p>
        </w:tc>
        <w:tc>
          <w:tcPr>
            <w:tcW w:w="0" w:type="dxa"/>
            <w:vAlign w:val="bottom"/>
          </w:tcPr>
          <w:p>
            <w:pPr>
              <w:spacing w:after="0"/>
              <w:rPr>
                <w:sz w:val="1"/>
                <w:szCs w:val="1"/>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72,286</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48,956</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188,814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176,561</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(89,208)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(91,881)</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84,680</w:t>
            </w: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16,469</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17,638</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61,372</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Although we have been profitable on a consolidated basis in the last two years, certain of our tax-paying entities have individually experienced pre-tax losses on a cumulative three-year basis. Considering all available positive and negative evidence, we have recorded valuation allowances on our deferred tax assets of $89,208 and $91,881 as of December 31, 2011 and December 31, 2010, respectively. If these entities achieve sustainable levels of profitability in the future, we believe there is a reasonable possibility that the valuation allowance recorded against our deferred tax assets at such entities could be reduced significantly. The valuation allowance at December 31, 2011 reflects a net decrease of $2,673 from the balance of $91,881 at December 31, 2010.</w:t>
      </w:r>
    </w:p>
    <w:p>
      <w:pPr>
        <w:spacing w:after="0" w:line="10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Company had net operating loss and tax credit carryforwards for which related deferred tax assets were recorded at December 31, 2011 primarily relating to indefinite-lived carryforwards (subject to various limitations) of approximately $50,800, principally in the U.K. and Italy.</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December 31, 2011 of $1,161 are not included in the table above. The impact of such excess tax deductions will be recorded in members’ equity if and when such deferred tax assets are ultimately realized. There was no such amount at December 31, 2010.</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With few exceptions, the Company is no longer subject to income tax examination by foreign tax authorities and by U.S. federal, state and local tax authorities for years prior to 2007. While we are under examination in various tax jurisdictions with respect to certain open years, the Company believes that the result of any final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determination related to these examinations is not expected to have a material impact on its financial statements. Developments with respect to such examinations are monitored on an ongoing basis and adjustments to tax liabilities are made as appropriate.</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2011, 2010 and 2009 is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ind w:left="359"/>
              <w:spacing w:after="0" w:line="142" w:lineRule="exact"/>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1"/>
              </w:rPr>
              <w:t>Balance, January 1 (excluding interest and penalties of $5,742, $7,059 and $5,408, respectively)</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2"/>
              </w:rPr>
              <w:t>$37,376</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$ 42,069</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$31,256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11,327</w:t>
            </w:r>
          </w:p>
        </w:tc>
        <w:tc>
          <w:tcPr>
            <w:tcW w:w="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10,273</w:t>
            </w:r>
          </w:p>
        </w:tc>
        <w:tc>
          <w:tcPr>
            <w:tcW w:w="46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13,157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Tax positions taken during prior years</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(3,584)</w:t>
            </w:r>
          </w:p>
        </w:tc>
        <w:tc>
          <w:tcPr>
            <w:tcW w:w="1560" w:type="dxa"/>
            <w:vAlign w:val="bottom"/>
            <w:gridSpan w:val="4"/>
          </w:tcPr>
          <w:p>
            <w:pPr>
              <w:jc w:val="right"/>
              <w:ind w:right="400"/>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with tax authorities</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(3,805)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Lapse of the applicable statute of limitations</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(5,638)</w:t>
            </w:r>
          </w:p>
        </w:tc>
        <w:tc>
          <w:tcPr>
            <w:tcW w:w="1560" w:type="dxa"/>
            <w:vAlign w:val="bottom"/>
            <w:gridSpan w:val="4"/>
          </w:tcPr>
          <w:p>
            <w:pPr>
              <w:jc w:val="right"/>
              <w:ind w:right="400"/>
              <w:spacing w:after="0"/>
              <w:rPr>
                <w:sz w:val="20"/>
                <w:szCs w:val="20"/>
                <w:color w:val="auto"/>
              </w:rPr>
            </w:pPr>
            <w:r>
              <w:rPr>
                <w:rFonts w:ascii="Arial" w:cs="Arial" w:eastAsia="Arial" w:hAnsi="Arial"/>
                <w:sz w:val="18"/>
                <w:szCs w:val="18"/>
                <w:color w:val="auto"/>
              </w:rPr>
              <w:t>(10,517)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(7,203)</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(excluding interest and penalties of $6,999, $5,742 and $7,059,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40,562</w:t>
            </w:r>
          </w:p>
        </w:tc>
        <w:tc>
          <w:tcPr>
            <w:tcW w:w="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$ 37,376</w:t>
            </w:r>
          </w:p>
        </w:tc>
        <w:tc>
          <w:tcPr>
            <w:tcW w:w="46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42,069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Additional information with respect to unrecognized tax benefits is as follows:</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70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Unrecognized tax benefits at the end of the year that, if recognized, would favorably affect the</w:t>
            </w: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effective tax rate (includes interest and penalties of $6,999, $5,742 and $7,059, respectively)</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$41,355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$36,124</w:t>
            </w:r>
          </w:p>
        </w:tc>
        <w:tc>
          <w:tcPr>
            <w:tcW w:w="46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41,405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Offset to deferred tax assets for unrecognized tax benefits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6,206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$ 6,994</w:t>
            </w:r>
          </w:p>
        </w:tc>
        <w:tc>
          <w:tcPr>
            <w:tcW w:w="46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and penalties recognized in current income tax expense (after giving effect to the</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$1,583, $2,430 and $1,223, respectively)</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(1,317)</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anticipates that it is reasonably possible that the total amount of unrecognized tax benefits recorded at December 31, 2011 will decrease within 12 months by an amount up to approximately $6,600 as a result of the lapse of the statute of limitations in various tax jurisdictions.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are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5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LFCM Holdings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14,790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186,239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178,042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204,740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202,916</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Payables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126,875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130,160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244,193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certain of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an insurance matters agreement and a license agreement that addressed various business matters associated with the separation, as well as several other agreements discussed below.</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current and former employees of the separated businesses. The Company retained all accrued liabilities under, and assets of, the pension plans in the U.S. and the U.K. as well as the 401(k) plan accounts of the inactive employees of LFCM Holdings and its subsidiaries.</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Pursuant to the administrative services agreement, dated as of May 10, 2005, by and among LAZ-MD Holdings, LFCM Holdings and Lazard Group (the “administrative services agreement”),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0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services provided pursuant to the administrative services agreement by Lazard Group to LFCM Holdings, and by LFCM Holdings to Lazard Group, are subject to automatic annual renewal, unless either party gives 180 days’ notice of termination. LFCM Holdings and Lazard Group have a right to terminate the services earlier if there is a change of control of either party or the business alliance provided in the business alliance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agreement entered into on May 10, 2005, by and among LAZ-MD Holdings, LFCM Holdings and Lazard Group (the “business alliance agreement”) (described below) expires or is terminated. The party receiving a service may also terminate a service earlier upon 180 days’ notice as long as the receiving party pays the service provider an additional three months of service fee for the terminated service. In addition, in connection with the various agreements entered into regarding the CP II MgmtCo Spin-Off described below, Lazard Group agreed to provide certain specified services to LFCM Holdings (which, in turn, LFCM Holdings may provide to its subsidiary, CP II MgmtCo (“CP II MgmtCo”)).</w:t>
      </w:r>
    </w:p>
    <w:p>
      <w:pPr>
        <w:spacing w:after="0" w:line="129"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business alliance agreement is subject to periodic automatic renewal, unless Lazard Group or LFCM Holdings elects to terminate the agreement in connection with any such renewal or elects to terminate on account of a change of control of either party.</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years ended December 31, 2011, 2010 and 2009, amounts recorded by Lazard Group relating to the administrative services agreement amounted to $10,277, $12,110 and $9,717, respectively, and net referral fees for underwriting, private placement, M&amp;A and restructuring transactions under the business alliance agreement amounted to $18,862, $11,506 and $12,301,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Receivables from LFCM Holdings and its subsidiaries as of December 31, 2011 and 2010 primarily include $10,722 and $12,775, respectively, related to administrative and support services and reimbursement of expenses incurred on behalf of LFCM Holdings, and $2,928 and $11,413, respectively, related to referral fees for underwriting and private placement transactions. Payables to LFCM Holdings and its subsidiaries at December 31, 2011 and 2010 of $2,060 and $458, respectively, relate principally to certain advances and referral fees for Financial Advisory transactions.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8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Lazard Group’s receivables from subsidiaries of Lazard Ltd at December 31, 2011 and 2010 include interest-bearing loans of $186,078 and $148,488, respectively, including accrued interest thereon. Interest income relating to interest-bearing loans with subsidiaries of Lazard Ltd amounted to $7,680, $3,680 and $4,887 for the years ended December 31, 2011, 2010 and 2009, respectively. In addition, at December 31, 2010, Lazard Group had a receivable of $29,271 from Lazard Ltd subsidiaries relating to Lazard Group’s sale of certain investments to a Lazard Ltd subsidiary, which was settled in cash in the first quarter of 2011.</w:t>
      </w:r>
    </w:p>
    <w:p>
      <w:pPr>
        <w:spacing w:after="0" w:line="8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2010, Lazard Group’s payables to subsidiaries of Lazard Ltd included $64,305 related to the LAM Merger (see Note 8 of Notes to Consolidated Financial Statements), as well as payables 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40"/>
        <w:spacing w:after="0" w:line="294" w:lineRule="auto"/>
        <w:rPr>
          <w:sz w:val="20"/>
          <w:szCs w:val="20"/>
          <w:color w:val="auto"/>
        </w:rPr>
      </w:pPr>
      <w:r>
        <w:rPr>
          <w:rFonts w:ascii="Arial" w:cs="Arial" w:eastAsia="Arial" w:hAnsi="Arial"/>
          <w:sz w:val="16"/>
          <w:szCs w:val="16"/>
          <w:color w:val="auto"/>
        </w:rPr>
        <w:t>December 31, 2011 and 2010 aggregating $3,695 and $60,190, respectively, in connection with Lazard Group’s acquisition of GAHL and Edgewater’s management vehicles, and with respect to Lazard Ltd’s acquisition of CWC and subsequent contribution of CWC to Lazard Group (see Note 9 of Notes to Consolidated Financial Statements). In addition, as of December 31, 2011 and 2010, Lazard Group’s payables to subsidiaries of Lazard Ltd include interest-bearing loans, plus accrued interest thereon, of approximately $123,000 and $119,000, respectively. Interest expense relating to interest-bearing loans with subsidiaries of Lazard Ltd amounted to $4,086, $4,591 and 6,181 for the years ended December 31, 2011, 2010 and 2009, respectively.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years ended December 31, 2011 and 2010, amounts recorded by Lazard Group relating to referral fees for restructuring transactions and fee sharing with MBA Lazard Holdings S.A. Group (“MBA”), an Argentina-based group in which the Company has a 50% ownership interest, amounted to $1,866 and $128, respectively, and are reported in advisory fee revenue. There were no such amounts for the year ended December 31, 2009.</w:t>
      </w:r>
    </w:p>
    <w:p>
      <w:pPr>
        <w:spacing w:after="0" w:line="9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Other receivables at December 31, 2011 and 2010 and payables at December 31, 2011 primarily relate to referral fees for restructuring and M&amp;A transactions with MBA and, in 2011, a related party loan.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2011, 2010 and 2009, such charges amounted to $750 in each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Alternative Investments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business alliance agreement,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LAI’s fund management activities consist of the fund management and general partner entities, together with Lazard Group’s direct investments in related funds that were transferred to LFCM Holdings pursuant to or in anticipation of the May 10, 2005 separation (the “separation”) from the Company of its former Capital Markets and Other business segment.</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business alliance agreement provides Lazard Group with certain governance rights with respect to LAI and provides for support by LFCM Holdings of the business of LAI. With respect to historical investments and funds transferred to LFCM Holdings as part of the separation, profits realized prior to the exercise of the option are for the account of LFCM Holdings, whereas profits realized after the exercise of the option are for the account of Lazard Group. The master separation agreement and business alliance agreement provide for Lazard Group (i) to invest capital in future funds to be managed by LFCM Holdings’ subsidiaries and (ii) to receive incentive distributions from such funds, as well as profits related to such investments, if any, irrespective of whether it exercises its purchase option.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February 2005, Lazard Group formed CP II, with institutional and Lazard Group capital commitments which required funding at any time through 2010, except for potential follow-on investments and/or CP II expenses. As of December 31, 2011, Lazard Group’s investment in CP II amounted to $31,533 which is recorded within “investments - other - private equity” on the consolidated statement of financial condition. Pursuant to the master separation agreement and business alliance agreement, CP II was managed by CP II MgmtCo, and Lazard Group is entitled to receive the carried interest distributions made by CP II (other than the carried interest distributions made to investment professionals who manage the fund).</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February 2009, pursuant to agreements entered into by the Company with a subsidiary of LAI (“LAI North America”), LFCM Holdings and the investment professionals who manage CP II, equity ownership of CP II MgmtCo was transferred from LAI North America to the investment professionals who manage CP II (the “CP II MgmtCo Spin-Off”). Concurrently with the CP II MgmtCo Spin-Off, CP II MgmtCo became a standalone entity. In addition, in connection with a February 2009 $4,000 cash payment from Lazard Group to LFCM Holdings relating to the CP II MgmtCo Spin-Off, the business alliance agreement was amended to remove any restriction on the Company engaging in private equity businesses in North America other than certain investments in real estate and technology and information services. Such amendment reduced the then purchase price relating to our option to acquire the fund management activities of LAI in North America from $6,500 to $2,500. As part of the CP II MgmtCo Spin-Off, we retained our entitlement to receive a slightly reduced portion of the carried interest distributions made by CP II.</w:t>
      </w:r>
    </w:p>
    <w:p>
      <w:pPr>
        <w:spacing w:after="0" w:line="105"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The remaining option to purchase the North American fund management activities is currently exercisable at any time prior to May 10, 2014, for a purchase price of $2,500 as described above. The reduced price for the North American option reflects (i) a reduction of $1,500 due to the payment of a like amount in February 2008 to LFCM Holdings in connection with the Sapphire IPO, whereby LFCM Holdings agreed not to assert certain claims that it may believe that it had under the business alliance agreement and (ii) the $4,000 payment described above.</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fourth quarter of 2011, the Company determined that it was unlikely to exercise the North American option. Accordingly, during such period the Company wrote-off the $5,500 capitalized cost associated with the option which is included within “other” operating expenses on the consolidated statement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REGULATORY AUTHORITIES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December 31, 2011, LFNY’s regulatory net capital was $100,819, which exceeded the minimum requirement by $93,184.</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U.K. subsidiaries of the Company, including LCL, Lazard Fund Managers Limited and Lazard Asset Management Limited (the “U.K.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Subsidiaries”) are authorized and regulated by the Financial Services Authority. At December 31, 2011, the aggregate regulatory net capital of the U.K.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Subsidiaries was $149,345, which exceeded the minimum requirement by $137,437.</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the investment services activities of the Paris group, exercised through LFB and other subsidiaries of CFLF, primarily LFG (asset management), are subject to regulation and supervision by the Autorité des Marchés Financiers. At December 31, 2011, the consolidated regulatory net capital of CFLF was $175,781, which exceeded the minimum requirement set for regulatory capital levels by $81,099.</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2011, for those subsidiaries with regulatory capital requirements, their aggregate net capital was $96,255, which exceeded the minimum required capital by $71,592.</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each of these subsidiaries individually was in compliance with its regulatory capital requirements.</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Lazard Ltd is required to be supervised by another regulatory body, either in the U.S. or the European Union. The Dodd-Frank Act allows certain securities holding companies seeking consolidated supervision, including Lazard Ltd, to elect to be supervised by the Board of Governors of the Federal Reserve. Lazard Ltd anticipates that the Board of Governors of the Federal Reserve will adopt regulations pursuant to Section 618 of the Dodd-Frank Act in the near future for companies that seek to come under its consolidated supervision. Once it analyzes the final scope of such regulations, Lazard Ltd will determine whether it will elect to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INFORMATION</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2011, 2010 and 2009 is prepared using the following methodology:</w:t>
      </w:r>
    </w:p>
    <w:p>
      <w:pPr>
        <w:spacing w:after="0" w:line="100"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were no clients for the years ended December 31, 2011, 2010 and 2009 that individually constituted more than 10% of the net revenue of any of the Company’s business segments.</w:t>
      </w:r>
    </w:p>
    <w:p>
      <w:pPr>
        <w:spacing w:after="0" w:line="11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7"/>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1,119,867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929,688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950,968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998,727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62,419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168,899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767,699</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799,090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706,785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897,401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849,662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628,945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584,348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268,456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265,314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583,524</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687,323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702,775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(55,947)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122,380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(89,084)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(187,404)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(267,281)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1,686,230</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1,849,871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1,705,488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1,833,561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1,904,505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1,529,963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1,591,770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1,657,696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1,711,951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241,791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246,809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3,037,453</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3,336,284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3,115,048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4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Asset Management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14,339</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12,301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24,580</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22,712</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22,541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80" w:type="dxa"/>
            <w:vAlign w:val="bottom"/>
            <w:vMerge w:val="restart"/>
          </w:tcPr>
          <w:p>
            <w:pPr>
              <w:jc w:val="right"/>
              <w:ind w:right="1852"/>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20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4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1,087,507</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1,160,171</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802,895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234,441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261,085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1,833,561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1,904,505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1,529,963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(9,838)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241,791</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246,809</w:t>
            </w:r>
          </w:p>
        </w:tc>
        <w:tc>
          <w:tcPr>
            <w:tcW w:w="2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1,586,064</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1,735,744</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1,557,006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773,196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883,932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908,137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251,083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3,037,453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3,336,284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3,115,048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vMerge w:val="restart"/>
          </w:tcPr>
          <w:p>
            <w:pPr>
              <w:jc w:val="right"/>
              <w:ind w:right="1012"/>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2011 and 2010.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2011 Fiscal Quarter</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Second</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Third</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Fourth</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438,213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477,712</w:t>
            </w: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$465,323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452,313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1,833,561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364,317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387,260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374,547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465,646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1,591,770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73,896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90,452</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90,776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(13,333)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63,507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76,735</w:t>
            </w: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77,896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(3,755)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Group</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62,265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71,185</w:t>
            </w:r>
          </w:p>
        </w:tc>
        <w:tc>
          <w:tcPr>
            <w:tcW w:w="1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77,671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2010 Fiscal Quarter</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Second</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Third</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Fourth</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437,947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418,808</w:t>
            </w: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$452,541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595,209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1,904,505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472,495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351,118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373,623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460,460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1,657,696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(34,548)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67,690</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78,918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134,749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(40,088)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54,650</w:t>
            </w: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68,723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118,139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attributable to noncontrolling interests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Group</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gridSpan w:val="2"/>
            <w:vMerge w:val="continue"/>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(42,446)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54,169</w:t>
            </w:r>
          </w:p>
        </w:tc>
        <w:tc>
          <w:tcPr>
            <w:tcW w:w="1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68,613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114,208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vMerge w:val="restart"/>
          </w:tcPr>
          <w:p>
            <w:pPr>
              <w:jc w:val="right"/>
              <w:ind w:right="152"/>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83" w:lineRule="exact"/>
        <w:rPr>
          <w:sz w:val="20"/>
          <w:szCs w:val="20"/>
          <w:color w:val="auto"/>
        </w:rPr>
      </w:pPr>
    </w:p>
    <w:p>
      <w:pPr>
        <w:ind w:right="1600" w:firstLine="456"/>
        <w:spacing w:after="0" w:line="375" w:lineRule="auto"/>
        <w:rPr>
          <w:sz w:val="20"/>
          <w:szCs w:val="20"/>
          <w:color w:val="auto"/>
        </w:rPr>
      </w:pPr>
      <w:r>
        <w:rPr>
          <w:rFonts w:ascii="Arial" w:cs="Arial" w:eastAsia="Arial" w:hAnsi="Arial"/>
          <w:sz w:val="18"/>
          <w:szCs w:val="18"/>
          <w:color w:val="auto"/>
        </w:rPr>
        <w:t xml:space="preserve">There were no changes in or disagreements with accountants on accounting and financial disclosure during the last two fiscal years. </w:t>
      </w:r>
      <w:r>
        <w:rPr>
          <w:rFonts w:ascii="Arial" w:cs="Arial" w:eastAsia="Arial" w:hAnsi="Arial"/>
          <w:sz w:val="18"/>
          <w:szCs w:val="18"/>
          <w:b w:val="1"/>
          <w:bCs w:val="1"/>
          <w:color w:val="auto"/>
        </w:rPr>
        <w:t>Item 9A. Controls and Procedures</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2011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20"/>
          </w:cols>
          <w:pgMar w:left="24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with Terms Expiring in 2012</w:t>
      </w:r>
    </w:p>
    <w:p>
      <w:pPr>
        <w:spacing w:after="0" w:line="8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Ashish Bhutani</w:t>
      </w:r>
      <w:r>
        <w:rPr>
          <w:rFonts w:ascii="Arial" w:cs="Arial" w:eastAsia="Arial" w:hAnsi="Arial"/>
          <w:sz w:val="16"/>
          <w:szCs w:val="16"/>
          <w:color w:val="auto"/>
        </w:rPr>
        <w:t>, age 51, has served as a director of Lazard Ltd and Lazard Group since March 2010. Mr. Bhutani is a Vice Chairman and a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Lazard and has been the Chief Executive Officer of Lazard Asset Management (“LAM”) since March 2004. Mr. Bhutani previously served as Head of New Products and Strategic Planning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 Mr. Bhutani was selected to be a director of the Company because of his extensive background, experience and knowledge of the asset management industry, his role within the firm as Chief Executive Officer of LAM and Mr. Jacobs’ and the Board’s desire that Mr. Bhutani become a regular contributor to the Board’s deliberations.</w:t>
      </w:r>
    </w:p>
    <w:p>
      <w:pPr>
        <w:spacing w:after="0" w:line="10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Steven J. Heyer</w:t>
      </w:r>
      <w:r>
        <w:rPr>
          <w:rFonts w:ascii="Arial" w:cs="Arial" w:eastAsia="Arial" w:hAnsi="Arial"/>
          <w:sz w:val="16"/>
          <w:szCs w:val="16"/>
          <w:color w:val="auto"/>
        </w:rPr>
        <w:t>, age 59, has served as a director of Lazard Ltd and Lazard Group since June 2005 and was appointed Lead Director in November 2009.</w:t>
      </w:r>
      <w:r>
        <w:rPr>
          <w:rFonts w:ascii="Arial" w:cs="Arial" w:eastAsia="Arial" w:hAnsi="Arial"/>
          <w:sz w:val="16"/>
          <w:szCs w:val="16"/>
          <w:i w:val="1"/>
          <w:iCs w:val="1"/>
          <w:color w:val="auto"/>
        </w:rPr>
        <w:t xml:space="preserve"> </w:t>
      </w:r>
      <w:r>
        <w:rPr>
          <w:rFonts w:ascii="Arial" w:cs="Arial" w:eastAsia="Arial" w:hAnsi="Arial"/>
          <w:sz w:val="16"/>
          <w:szCs w:val="16"/>
          <w:color w:val="auto"/>
        </w:rPr>
        <w:t>Mr. Heyer is currently the founder and Chief Executive Officer of Avra Kehdabra LLC, a feature animation company, Chairman of Next 3D, a software company, and an investor in and Vice Chairman of Vitrue, a social networking company. From February 2010 until March 2011, Mr. Heyer served as Chairman and CEO of Harry &amp; David Holdings, Inc., a company that was in financial distress at the time of his appointment and that filed for bankruptcy protection in March 2011. Mr. Heyer resigned as CEO prior to the company’s bankruptcy filing but remained as Chairman to provide guidance and leadership through the bankruptcy proceedings. The company emerged from bankruptcy in September 2011, and Mr. Heyer resigned as Chairman at that time. Mr. Heyer was the Chief Executive Officer of Starwood Hotels &amp; Resorts Worldwide from October 2004 until April 2007. Prior to joining Starwood, he was President and Chief Operating Officer of The Coca-Cola Company from 2002 to September 2004. From 1994 to 2001 he was President and Chief Operating Officer of Turner Broadcasting System, Inc., and a member of AOL Time Warner’s Operating Committee. Previously, Mr. Heyer was President and Chief Operating Officer of Young &amp; Rubicam Advertising Worldwide, and before that spent 15 years at Booz Allen &amp; Hamilton, ultimately becoming Senior Vice President and Managing Partner. He is a member of the Board of Directors of Omnicare, Inc. and the National Collegiate Athletic Association. Mr. Heyer has ownership positions in a portfolio of private companies and is a member of many of their boards of directors. Mr. Heyer is the Chairman of Lazard Ltd’s Compensation Committee and a member of the Audit Committee and the Nominating &amp; Governance Committee of Lazard Ltd’s Board of Directors. Mr. Heyer was selected to be a director of the Company because of the depth of his analytical skills, which he has applied in a variety of leadership positions across diverse industry groups, including broadcast media, consumer products, and hotel and leisure companies.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Sylvia Jay</w:t>
      </w:r>
      <w:r>
        <w:rPr>
          <w:rFonts w:ascii="Arial" w:cs="Arial" w:eastAsia="Arial" w:hAnsi="Arial"/>
          <w:sz w:val="16"/>
          <w:szCs w:val="16"/>
          <w:color w:val="auto"/>
        </w:rPr>
        <w:t>, CBE, age 65, has served as a director of Lazard Ltd and Lazard Group since March 2006. Lady Jay is Chairman of L’Oreal UK, a position she</w:t>
      </w:r>
      <w:r>
        <w:rPr>
          <w:rFonts w:ascii="Arial" w:cs="Arial" w:eastAsia="Arial" w:hAnsi="Arial"/>
          <w:sz w:val="16"/>
          <w:szCs w:val="16"/>
          <w:i w:val="1"/>
          <w:iCs w:val="1"/>
          <w:color w:val="auto"/>
        </w:rPr>
        <w:t xml:space="preserve"> </w:t>
      </w:r>
      <w:r>
        <w:rPr>
          <w:rFonts w:ascii="Arial" w:cs="Arial" w:eastAsia="Arial" w:hAnsi="Arial"/>
          <w:sz w:val="16"/>
          <w:szCs w:val="16"/>
          <w:color w:val="auto"/>
        </w:rPr>
        <w:t>has held since June 2011. From September 2005 until June 2011 she was Vice Chairman of L’Oreal UK. From January 2001 to August 2005, she was the Director General of the Food &amp; Drink Federation, a UK trade body. Lady Jay joined the United Kingdom Civil Service in 1971. Her civil service career, until she resigned in 1995, mainly concerned government financial aid to developing countries, including being a non-executive director of the Gibraltar Ship Repair Company. She also worked in the Civil Service Selection Board to recruit fast stream administrators and diplomats; the French Ministere de la Cooperation; the French Tresor and was one of a small international team which set up the European Bank for Reconstruction and Development. Lady Jay is a member of the Board of Directors of Saint-Gobain and Alcatel-Lucent, and was Chairman of Food from Britain from 2005 until 2009. Lady Jay is a member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Compensation Committee and the Nominating &amp; Governance Committee of Lazard Ltd’s Board of Directors. Lady Jay was selected to be a director of the Company because of her extensive background and experience in government service and the Board’s desire to add geographical diversity that reflects the Company’s client base in Europe.</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Vernon E. Jordan, Jr.</w:t>
      </w:r>
      <w:r>
        <w:rPr>
          <w:rFonts w:ascii="Arial" w:cs="Arial" w:eastAsia="Arial" w:hAnsi="Arial"/>
          <w:sz w:val="16"/>
          <w:szCs w:val="16"/>
          <w:color w:val="auto"/>
        </w:rPr>
        <w:t>, age 76, has served as a director of Lazard Ltd and Lazard Group since May 2005. Mr. Jordan has served as a Senior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Lazard Frères &amp; Co. LLC since January 2000. Mr. Jordan has been Senior Counsel at Akin Gump Strauss Hauer &amp; Feld LLP since January 2000, where he served as Senior Executive Partner from January 1982 to December 1999. Prior to that, Mr. Jordan served as President and Chief Executive Officer of the National Urban League, Inc. from January 1972 to December 1981. Mr. Jordan currently serves on the Board of Directors of Asbury Automotive Group, Inc.; as a senior advisor to the Board of Directors of American Express Company and Xerox Corporation; as a trustee to Howard University and DePauw University; and on the International Advisory Board of Barrick Gold. Mr. Jordan had previously served on the Board of Directors of Xerox Corporation until May 2009; the American Express Company until May 2008; J.C. Penney Company until August 2007; and Sara Lee Corporation until May 2005. Mr. Jordan was selected to be a director of the Company because of his extensive background and expertise in legal and corporate matters, his knowledge of corporate governance and his experience as a board member of numerous public companies.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with Terms Expiring in 2013</w:t>
      </w:r>
    </w:p>
    <w:p>
      <w:pPr>
        <w:spacing w:after="0" w:line="8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Laurent Mignon</w:t>
      </w:r>
      <w:r>
        <w:rPr>
          <w:rFonts w:ascii="Arial" w:cs="Arial" w:eastAsia="Arial" w:hAnsi="Arial"/>
          <w:sz w:val="16"/>
          <w:szCs w:val="16"/>
          <w:color w:val="auto"/>
        </w:rPr>
        <w:t>, age 48, has served as a director of Lazard Ltd and Lazard Group since July 2010. Mr. Mignon has served as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Natixis (the successor to IXIS Corporate &amp; Investment Bank) since May 2010. From September 2007 to May 2010, he was General Partner of Oddo &amp; Cie, a private French investment bank. Prior to joining Oddo &amp; Cie, Mr. Mignon was the Chief Executive Officer of AGF France. He joined AGF France in 1997 as Chief Financial Officer and was nominated to be a member of the Executive Committee in 1998. Prior to joining the AGF Group, Mr. Mignon held a variety of positions in banking over a ten-year period, ranging from trading to investment banking. Mr. Mignon is a member of the Board of Directors of Sequana, and a member of the Board of Directors and of the Audit Committee of Arkema. Mr. Mignon was selected to be a director of the Company pursuant to an agreement that Lazard entered into with Natixis at the time of Lazard Ltd’s equity public offering in 2005. See “Agreement with Natixis.”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Gary W. Parr</w:t>
      </w:r>
      <w:r>
        <w:rPr>
          <w:rFonts w:ascii="Arial" w:cs="Arial" w:eastAsia="Arial" w:hAnsi="Arial"/>
          <w:sz w:val="16"/>
          <w:szCs w:val="16"/>
          <w:color w:val="auto"/>
        </w:rPr>
        <w:t>, age 55, has served as a director of Lazard Ltd and Lazard Group since March 2010. Mr. Parr is a Vice Chairman and a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Lazard, having previously served as Deputy Chairman of Lazard from April 2003 until November 2009. For 30 years, he has focused on providing strategic advice to financial institutions worldwide. Prior to joining Lazard, Mr. Parr was with Morgan Stanley, serving in numerous capacities including Vice Chairman of Institutional Securities and Investment Banking, Chairman and Head of the Global Financial Institutions Group and Co-Head of the Global Mergers and Acquisitions Department. Prior to joining Morgan Stanley, Mr. Parr was with a group from The First Boston Corporation that formed Wasserstein Perella &amp; Co., where he rose to become Co-President. Mr. Parr serves as the Chairman of the Board of Directors of the New York Philharmonic and the Parr Center for Ethics at the University of North Carolina. Mr. Parr was selected to be a director of the Company because of his extensive background, experience and knowledge of the financial services industry, his reputation among clients and Mr. Jacobs’ and the Board of Directors’ desire that Mr. Parr become a regular contributor to the Board of Directors’ deliberations.</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Hal S. Scott</w:t>
      </w:r>
      <w:r>
        <w:rPr>
          <w:rFonts w:ascii="Arial" w:cs="Arial" w:eastAsia="Arial" w:hAnsi="Arial"/>
          <w:sz w:val="16"/>
          <w:szCs w:val="16"/>
          <w:color w:val="auto"/>
        </w:rPr>
        <w:t>, age 68, has served as a director of Lazard Ltd and Lazard Group since March 2006. Professor Scott is the Nomura Professor and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Program on International Financial Systems at Harvard Law School, where he has taught since 1975. Before joining Harvard he served as a Law Clerk for the Hon. Justice Byron R. White, U.S. Supreme Court, from 1973 to 1974, and as an Assistant Professor of Law, University of California at Berkeley from 1974 to 1975. Professor Scott has published numerous books and articles on finance, international trade and securities laws. He is the President of the Committee on Capital Markets Regulation, Inc. and a member of the Senior Advisory Board of Oliver Wyman. Professor Scott is a past President of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International Academy of Consumer and Commercial Law and a past Governor of the American Stock Exchange (2002-2005). Professor Scott is the Chairman of the Nominating &amp; Governance Committee and a member of the Audit Committee of Lazard Ltd’s Board of Directors. Professor Scott was selected to be a director of the Company because of his impressive academic background and expertise in public policy and global financial market regulation as it affects the financial services industry.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with Terms Expiring in 2014</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Kenneth M. Jacobs</w:t>
      </w:r>
      <w:r>
        <w:rPr>
          <w:rFonts w:ascii="Arial" w:cs="Arial" w:eastAsia="Arial" w:hAnsi="Arial"/>
          <w:sz w:val="16"/>
          <w:szCs w:val="16"/>
          <w:color w:val="auto"/>
        </w:rPr>
        <w:t>, age 53, has served as Chairman of the Board of Directors and Chief Executive Officer of Lazard Ltd and Lazard Group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 Mr. Jacobs was selected to be the Chairman and Chief Executive Officer of Lazard because of his vision, intellect and dynamism, his proven track record of creativity in building new businesses, as well as his skills as a trusted advisor, collaborator and team leader.</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Philip A. Laskawy</w:t>
      </w:r>
      <w:r>
        <w:rPr>
          <w:rFonts w:ascii="Arial" w:cs="Arial" w:eastAsia="Arial" w:hAnsi="Arial"/>
          <w:sz w:val="16"/>
          <w:szCs w:val="16"/>
          <w:color w:val="auto"/>
        </w:rPr>
        <w:t>, age 70, has served as a director of Lazard Ltd and Lazard Group since July 2008. Mr. Laskawy served as Chairman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Ernst &amp; Young from 1994 until his retirement in 2001, after 40 years of service with the professional services firm. Mr. Laskawy served as Chairman of the International Accounting Standards Board from 2006 to 2007, and as a member of the 1999 Blue Ribbon Committee on Improving the Effectiveness of Corporate Audit Committees. Mr. Laskawy has served as Chairman of Fannie Mae since September 2008 and is also a member of the board of directors of General Motors Corp., Capgemini, Loews Corp. and Henry Schein, Inc. Mr. Laskawy had previously served on the boards of directors of Discover Financial Services until September 2008 and The Progressive Corporation until December 2007. Mr. Laskawy is the Chairman of the Audit Committee of Lazard Ltd’s Board of Directors. Mr. Laskawy was selected to be a director of the Company because of his expertise in the areas of auditing and accounting, his qualifications as an “audit committee financial expert” and the unique perspective he brings as a former chief executive of one of the “big four” accounting firms.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Michael J. Turner</w:t>
      </w:r>
      <w:r>
        <w:rPr>
          <w:rFonts w:ascii="Arial" w:cs="Arial" w:eastAsia="Arial" w:hAnsi="Arial"/>
          <w:sz w:val="16"/>
          <w:szCs w:val="16"/>
          <w:color w:val="auto"/>
        </w:rPr>
        <w:t>, CBE, age 63, has served as a director of Lazard Ltd and Lazard Group since March 2006. In November 2008, Mr. Turner was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the non-executive Chairman of Babcock International Group PLC. Mr. Turner was the Chief Executive Officer of BAE Systems plc from March 2002 until August 2008. Mr. Turner joined BAE Systems in 1966 and held a number of commercial, marketing and general management positions, including Chief Operating Officer from 1999 to March 2002. Mr. Turner is Senior Independent Director of GKN PLC. Mr. Turner is a member of the Compensation Committee and the Nominating &amp; Governance Committee of Lazard Ltd’s Board of Directors. Mr. Turner was selected to be a director of the Company because of his extensive background, experience and leadership as a former chief executive in the aerospace and defense industry and the Board of Directors’ desire to add geographical diversity to its membership that reflects the Company’s client base in Europe.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Natixis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February 24, 2012, Natixis (the successor to IXIS Corporate &amp; Investment Bank) held 6,999,800 shares of Class A common stock of Lazard Ltd, of which 2,000,000 shares of Class A common stock were acquired in recapitalization transactions in May 2005 and 4,999,800 shares were acquired in May 2008 upon the settlement of the purchase contracts related to $150 million of Lazard Ltd’s equity security units (which equity security units were also acquired in the recapitalization transactions in May 2005). In connection with this investment by Natixis in May 2005, we agreed that we will nominate one person designated by Natixis to our Board of Directors until such time as (1) the shares of common stock of Lazard Ltd then owned by Natixis, plus (2) the shares of common stock of Lazard Ltd issuable under the terms of any exchangeable securities issued by Lazard Ltd then owned by Natixis, constitute less than 50% of the sum of (a) the shares of common stock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Lazard Ltd initially purchased by Natixis, plus (b) the shares of common stock of Lazard Ltd issuable under the terms of any exchangeable securities issued by Lazard Ltd initially purchased by Natixis. Laurent Mignon is currently the Natixis nominee to our Board of Directors.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7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Since Lazard Ltd’s Class A common stock is listed on the New York Stock Exchange and Lazard Group is part of Lazard Ltd’s consolidated reporting group, Lazard Group is not required to have a separate audit committee. Lazard Ltd maintains an independent audit committee and the Board of Directors of Lazard Ltd has determined that Philip A. Laskawy has the requisite qualifications to satisfy the SEC definition of “audit committee financial expert”.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Ltd has adopted a Code of Business Conduct and Ethics that is applicable to all directors, managing directors, officers and employees of Lazard Ltd and its subsidiaries and affiliates. We have also adopted a Supplement to the Code of Business Conduct and Ethics for certain other senior officers, including our Chief Executive Officer, Chief Financial Officer and principal accounting officer. Each of these codes is available on our website at http://www.lazard.com/Investorrelations/CodeandEthics.aspx. A print copy of each of these documents is available to any shareholder upon request. We intend to disclose amendments to, or waivers from, the Code of Business Conduct and Ethics, if any, on our website.</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This Compensation Discussion and Analysis explains the material elements of the compensation of our named executive officers in 2011. Our named executive officers are set forth in the table below:</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440" w:type="dxa"/>
            <w:vAlign w:val="bottom"/>
          </w:tcPr>
          <w:p>
            <w:pPr>
              <w:spacing w:after="0"/>
              <w:rPr>
                <w:sz w:val="14"/>
                <w:szCs w:val="14"/>
                <w:color w:val="auto"/>
              </w:rPr>
            </w:pPr>
          </w:p>
        </w:tc>
        <w:tc>
          <w:tcPr>
            <w:tcW w:w="5100" w:type="dxa"/>
            <w:vAlign w:val="bottom"/>
            <w:gridSpan w:val="3"/>
          </w:tcPr>
          <w:p>
            <w:pPr>
              <w:ind w:left="436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360" w:type="dxa"/>
            <w:vAlign w:val="bottom"/>
            <w:vMerge w:val="restart"/>
          </w:tcPr>
          <w:p>
            <w:pPr>
              <w:ind w:left="1300"/>
              <w:spacing w:after="0"/>
              <w:rPr>
                <w:sz w:val="20"/>
                <w:szCs w:val="20"/>
                <w:color w:val="auto"/>
              </w:rPr>
            </w:pPr>
            <w:r>
              <w:rPr>
                <w:rFonts w:ascii="Arial" w:cs="Arial" w:eastAsia="Arial" w:hAnsi="Arial"/>
                <w:sz w:val="18"/>
                <w:szCs w:val="18"/>
                <w:color w:val="auto"/>
              </w:rPr>
              <w:t>Chairman and Chief Executive Officer</w:t>
            </w:r>
          </w:p>
        </w:tc>
        <w:tc>
          <w:tcPr>
            <w:tcW w:w="2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Kenneth M. Jacobs</w:t>
            </w:r>
          </w:p>
        </w:tc>
        <w:tc>
          <w:tcPr>
            <w:tcW w:w="4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820" w:type="dxa"/>
            <w:vAlign w:val="bottom"/>
            <w:gridSpan w:val="2"/>
          </w:tcPr>
          <w:p>
            <w:pPr>
              <w:spacing w:after="0"/>
              <w:rPr>
                <w:sz w:val="20"/>
                <w:szCs w:val="20"/>
                <w:color w:val="auto"/>
              </w:rPr>
            </w:pPr>
            <w:r>
              <w:rPr>
                <w:rFonts w:ascii="Arial" w:cs="Arial" w:eastAsia="Arial" w:hAnsi="Arial"/>
                <w:sz w:val="18"/>
                <w:szCs w:val="18"/>
                <w:color w:val="auto"/>
              </w:rPr>
              <w:t>Michael J. Castellano</w:t>
            </w:r>
          </w:p>
        </w:tc>
        <w:tc>
          <w:tcPr>
            <w:tcW w:w="5100" w:type="dxa"/>
            <w:vAlign w:val="bottom"/>
            <w:gridSpan w:val="3"/>
          </w:tcPr>
          <w:p>
            <w:pPr>
              <w:ind w:left="1300"/>
              <w:spacing w:after="0"/>
              <w:rPr>
                <w:sz w:val="20"/>
                <w:szCs w:val="20"/>
                <w:color w:val="auto"/>
              </w:rPr>
            </w:pPr>
            <w:r>
              <w:rPr>
                <w:rFonts w:ascii="Arial" w:cs="Arial" w:eastAsia="Arial" w:hAnsi="Arial"/>
                <w:sz w:val="18"/>
                <w:szCs w:val="18"/>
                <w:color w:val="auto"/>
              </w:rPr>
              <w:t>Chief Financial Officer (retired March 31, 2011)</w:t>
            </w:r>
          </w:p>
        </w:tc>
        <w:tc>
          <w:tcPr>
            <w:tcW w:w="0" w:type="dxa"/>
            <w:vAlign w:val="bottom"/>
          </w:tcPr>
          <w:p>
            <w:pPr>
              <w:spacing w:after="0"/>
              <w:rPr>
                <w:sz w:val="1"/>
                <w:szCs w:val="1"/>
                <w:color w:val="auto"/>
              </w:rPr>
            </w:pP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Matthieu Bucaille</w:t>
            </w:r>
          </w:p>
        </w:tc>
        <w:tc>
          <w:tcPr>
            <w:tcW w:w="5100" w:type="dxa"/>
            <w:vAlign w:val="bottom"/>
            <w:gridSpan w:val="3"/>
          </w:tcPr>
          <w:p>
            <w:pPr>
              <w:ind w:left="1300"/>
              <w:spacing w:after="0"/>
              <w:rPr>
                <w:sz w:val="20"/>
                <w:szCs w:val="20"/>
                <w:color w:val="auto"/>
              </w:rPr>
            </w:pPr>
            <w:r>
              <w:rPr>
                <w:rFonts w:ascii="Arial" w:cs="Arial" w:eastAsia="Arial" w:hAnsi="Arial"/>
                <w:sz w:val="18"/>
                <w:szCs w:val="18"/>
                <w:color w:val="auto"/>
              </w:rPr>
              <w:t>Chief Financial Officer (effective April 1, 2011)</w:t>
            </w:r>
          </w:p>
        </w:tc>
        <w:tc>
          <w:tcPr>
            <w:tcW w:w="0" w:type="dxa"/>
            <w:vAlign w:val="bottom"/>
          </w:tcPr>
          <w:p>
            <w:pPr>
              <w:spacing w:after="0"/>
              <w:rPr>
                <w:sz w:val="1"/>
                <w:szCs w:val="1"/>
                <w:color w:val="auto"/>
              </w:rPr>
            </w:pP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Ashish Bhutani</w:t>
            </w:r>
          </w:p>
        </w:tc>
        <w:tc>
          <w:tcPr>
            <w:tcW w:w="5100" w:type="dxa"/>
            <w:vAlign w:val="bottom"/>
            <w:gridSpan w:val="3"/>
          </w:tcPr>
          <w:p>
            <w:pPr>
              <w:ind w:left="1300"/>
              <w:spacing w:after="0"/>
              <w:rPr>
                <w:sz w:val="20"/>
                <w:szCs w:val="20"/>
                <w:color w:val="auto"/>
              </w:rPr>
            </w:pPr>
            <w:r>
              <w:rPr>
                <w:rFonts w:ascii="Arial" w:cs="Arial" w:eastAsia="Arial" w:hAnsi="Arial"/>
                <w:sz w:val="18"/>
                <w:szCs w:val="18"/>
                <w:color w:val="auto"/>
                <w:w w:val="89"/>
              </w:rPr>
              <w:t>Chief Executive Officer of Lazard Asset Management</w:t>
            </w:r>
          </w:p>
        </w:tc>
        <w:tc>
          <w:tcPr>
            <w:tcW w:w="0" w:type="dxa"/>
            <w:vAlign w:val="bottom"/>
          </w:tcPr>
          <w:p>
            <w:pPr>
              <w:spacing w:after="0"/>
              <w:rPr>
                <w:sz w:val="1"/>
                <w:szCs w:val="1"/>
                <w:color w:val="auto"/>
              </w:rPr>
            </w:pP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Scott D. Hoffman</w:t>
            </w:r>
          </w:p>
        </w:tc>
        <w:tc>
          <w:tcPr>
            <w:tcW w:w="5100" w:type="dxa"/>
            <w:vAlign w:val="bottom"/>
            <w:gridSpan w:val="3"/>
          </w:tcPr>
          <w:p>
            <w:pPr>
              <w:ind w:left="130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Alexander F. Stern</w:t>
            </w:r>
          </w:p>
        </w:tc>
        <w:tc>
          <w:tcPr>
            <w:tcW w:w="5100" w:type="dxa"/>
            <w:vAlign w:val="bottom"/>
            <w:gridSpan w:val="3"/>
          </w:tcPr>
          <w:p>
            <w:pPr>
              <w:ind w:left="130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u w:val="single" w:color="auto"/>
          <w:color w:val="auto"/>
        </w:rPr>
        <w:t>Compensation Practices and Corporate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our philosophy that pay should be tied to performance, Lazard Ltd’s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or the Compensation Committee, has implemented programs designed to better align the interests of our named executive officers and employees with Company performance and maximize shareholder value. Compensation practices that reflect our philosophy include:</w:t>
      </w:r>
    </w:p>
    <w:p>
      <w:pPr>
        <w:spacing w:after="0" w:line="12" w:lineRule="exact"/>
        <w:rPr>
          <w:sz w:val="20"/>
          <w:szCs w:val="20"/>
          <w:color w:val="auto"/>
        </w:rPr>
      </w:pPr>
    </w:p>
    <w:p>
      <w:pPr>
        <w:ind w:left="780" w:right="300" w:hanging="326"/>
        <w:spacing w:after="0" w:line="259"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Linking cash compensation to performance. </w:t>
      </w:r>
      <w:r>
        <w:rPr>
          <w:rFonts w:ascii="Arial" w:cs="Arial" w:eastAsia="Arial" w:hAnsi="Arial"/>
          <w:sz w:val="18"/>
          <w:szCs w:val="18"/>
          <w:color w:val="auto"/>
        </w:rPr>
        <w:t>The majority of cash compensation opportunity is based on Company and individual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the cash compensation paid to our named executive officers and employees as a group has fluctuated from year to year, reflecting the Company’s financial results.</w:t>
      </w:r>
    </w:p>
    <w:p>
      <w:pPr>
        <w:spacing w:after="0" w:line="45" w:lineRule="exact"/>
        <w:rPr>
          <w:rFonts w:ascii="Arial" w:cs="Arial" w:eastAsia="Arial" w:hAnsi="Arial"/>
          <w:sz w:val="18"/>
          <w:szCs w:val="18"/>
          <w:color w:val="auto"/>
        </w:rPr>
      </w:pPr>
    </w:p>
    <w:p>
      <w:pPr>
        <w:jc w:val="both"/>
        <w:ind w:left="780" w:right="340" w:hanging="326"/>
        <w:spacing w:after="0" w:line="306"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Granting equity and other long-term incentive compensation with multi-year vesting horizons. </w:t>
      </w:r>
      <w:r>
        <w:rPr>
          <w:rFonts w:ascii="Arial" w:cs="Arial" w:eastAsia="Arial" w:hAnsi="Arial"/>
          <w:sz w:val="16"/>
          <w:szCs w:val="16"/>
          <w:color w:val="auto"/>
        </w:rPr>
        <w:t>The restricted stock units, or RSUs, awarded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and employees and the interests in certain investment funds, or Lazard Fund Interests, awarded to Mr. Bhutani and other employees in 2012 generally vest approximately two or three years after the date of grant, subject to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0"/>
        <w:spacing w:after="0" w:line="288" w:lineRule="auto"/>
        <w:rPr>
          <w:sz w:val="20"/>
          <w:szCs w:val="20"/>
          <w:color w:val="auto"/>
        </w:rPr>
      </w:pPr>
      <w:r>
        <w:rPr>
          <w:rFonts w:ascii="Arial" w:cs="Arial" w:eastAsia="Arial" w:hAnsi="Arial"/>
          <w:sz w:val="16"/>
          <w:szCs w:val="16"/>
          <w:color w:val="auto"/>
        </w:rPr>
        <w:t>executive’s or employee’s continued service with the Company. This aligns the interests of our named executive officers and employees with the interests of shareholders as the value that each individual realizes upon vesting depends on the long-term performance of Lazard Ltd’s Class A common stock and, for certain individuals, including Mr. Bhutani, the value of certain Lazard investment funds. It also helps to retain our named executive officers and employees, giving shareholders the stability of highly productive, experienced management and employees. Furthermore, we apply a sliding scale to determine the percentage of an individual’s total compensation that is paid in the form of long-term incentive compensation awards. Our most senior employees receive the greatest percentage of their compensation in the form of long-term incentive awards (up to 60%, or 50% for some employees of our Asset Management business, including Mr. Bhutani, for 2011), which reflects that, through their greater responsibilities and authority, they have more opportunity to influence Lazard Ltd’s stock price and, in the case of employees in our Asset Management business, performance of Lazard managed funds.</w:t>
      </w:r>
    </w:p>
    <w:p>
      <w:pPr>
        <w:spacing w:after="0" w:line="25" w:lineRule="exact"/>
        <w:rPr>
          <w:sz w:val="20"/>
          <w:szCs w:val="20"/>
          <w:color w:val="auto"/>
        </w:rPr>
      </w:pPr>
    </w:p>
    <w:p>
      <w:pPr>
        <w:ind w:left="780" w:hanging="326"/>
        <w:spacing w:after="0" w:line="287"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Establishing a direct link between long-term compensation and the performance of certain Lazard investment funds. </w:t>
      </w:r>
      <w:r>
        <w:rPr>
          <w:rFonts w:ascii="Arial" w:cs="Arial" w:eastAsia="Arial" w:hAnsi="Arial"/>
          <w:sz w:val="16"/>
          <w:szCs w:val="16"/>
          <w:color w:val="auto"/>
        </w:rPr>
        <w:t>In February 2011,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Lazard Fund Interests, in addition to RSUs, to eligible employees in Lazard’s Asset Management business, including Mr. Bhutani. Pursuant to the terms of these awards, a portion of a participant’s incentive compensation is invested in funds managed by either Lazard Asset Management, or LAM, or Lazard Frères Gestion SAS, or LFG. In February 2012, the Company also granted Lazard Fund Interests to Mr. Bhutani as part of his aggregate incentive compensation for 2011. In addition, the Company provided a broader group of employees, including eligible employees in Lazard’s Financial Advisory business but excluding our named executive officers, other than Mr. Bhutani, the opportunity to receive Lazard Fund Interests as part of their incentive compensation for 2011. The Lazard Fund Interests are designed to align the performance and compensation of our eligible Lazard employees by directly linking their compensation to the performance of funds managed by our Asset Management business and, in the case of Asset Management employees, including Mr. Bhutani, to the business with which they are most directly involved. The stronger performance of these funds benefits not only our Asset Management clients but also shareholders and employees.</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general pay-for-performance philosophy has contributed to our Company’s strong performance over time. In 2011, despite difficult financial markets and a challenging fourth quarter, our Company performed well. Lazard Ltd achieved record operating revenue through the third quarter on a consolidated basis, before the fourth quarter revenue decline. Our Asset Management business achieved record full-year operating revenue of $883 million for 2011, 6% higher than 2010, and record management fees of $818 million, 14% higher than 2010. In our Financial Advisory business, Strategic Advisory operating revenue was $794 million for 2011, only 4% lower than 2010. We maintained control on compensation costs and compensation deferrals while increasing our investment in our businesses. In addition, Lazard Ltd increased the dividends paid on its Class A common stock, we repurchased sufficient Class A common stock to offset the dilutive effect of equity awards granted in February 2011, and we repurchased $150 million of subordinated debt at a discount.</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recognition of the challenges that we faced during 2011, like many of our managing directors and employees, each of our named executive officers experienced a substantial decline in the amount of his incentive compensation awarded for 2011. In particular, Mr. Jacobs’ total incentive compensation for 2011 (i.e., annual cash bonus and long-term incentive awards) declined by approximately 42% from the level he received for 2010. Similarly, the incentive compensation paid to our other named executive officers who served in the same positions during 2010 and 2011 declined substantially from 2010 levels, in amounts ranging from approximately 27% to 31% of 2010 compensation levels.</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u w:val="single" w:color="auto"/>
          <w:color w:val="auto"/>
        </w:rPr>
        <w:t>Compensation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To ensure that our compensation programs conform to our pay-for-performance philosophy, we follow the procedures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37" w:lineRule="exact"/>
        <w:rPr>
          <w:sz w:val="20"/>
          <w:szCs w:val="20"/>
          <w:color w:val="auto"/>
        </w:rPr>
      </w:pPr>
    </w:p>
    <w:p>
      <w:pPr>
        <w:ind w:left="900" w:right="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Maintaining an independent compensation committee. </w:t>
      </w:r>
      <w:r>
        <w:rPr>
          <w:rFonts w:ascii="Arial" w:cs="Arial" w:eastAsia="Arial" w:hAnsi="Arial"/>
          <w:sz w:val="18"/>
          <w:szCs w:val="18"/>
          <w:color w:val="auto"/>
        </w:rPr>
        <w:t>The Compensation Committee is comprised solely of independent directors and is responsible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reviewing and approving the compensation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each named executive officer. The Compensation Committee also reviews our overall compensation philosophy as well as the pay of certain other members of our senior management team who are not executive officers.</w:t>
      </w:r>
    </w:p>
    <w:p>
      <w:pPr>
        <w:spacing w:after="0" w:line="37" w:lineRule="exact"/>
        <w:rPr>
          <w:sz w:val="20"/>
          <w:szCs w:val="20"/>
          <w:color w:val="auto"/>
        </w:rPr>
      </w:pPr>
    </w:p>
    <w:p>
      <w:pPr>
        <w:ind w:left="900" w:right="160" w:hanging="325"/>
        <w:spacing w:after="0" w:line="255"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Engaging an independent compensation consultant. </w:t>
      </w:r>
      <w:r>
        <w:rPr>
          <w:rFonts w:ascii="Arial" w:cs="Arial" w:eastAsia="Arial" w:hAnsi="Arial"/>
          <w:sz w:val="18"/>
          <w:szCs w:val="18"/>
          <w:color w:val="auto"/>
        </w:rPr>
        <w:t>The Compensation Committee directly and independently engaged Hay Group, Inc., or Hay</w:t>
      </w:r>
      <w:r>
        <w:rPr>
          <w:rFonts w:ascii="Arial" w:cs="Arial" w:eastAsia="Arial" w:hAnsi="Arial"/>
          <w:sz w:val="18"/>
          <w:szCs w:val="18"/>
          <w:i w:val="1"/>
          <w:iCs w:val="1"/>
          <w:color w:val="auto"/>
        </w:rPr>
        <w:t xml:space="preserve"> </w:t>
      </w:r>
      <w:r>
        <w:rPr>
          <w:rFonts w:ascii="Arial" w:cs="Arial" w:eastAsia="Arial" w:hAnsi="Arial"/>
          <w:sz w:val="18"/>
          <w:szCs w:val="18"/>
          <w:color w:val="auto"/>
        </w:rPr>
        <w:t>Group, a global independent compensation consulting firm, to assist it with compensation analyses, including through the use of compensation data of certain of our competitors, as one means of framing its compensation decisions. At this time, Hay Group performs no work for the Company or Lazard Ltd other than advising the Compensation Committee with respect to compensation matters and Lazard Ltd’s Nominating &amp; Governance Committee on director compensation.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as a consequence of our prudent compensation governance procedures:</w:t>
      </w:r>
    </w:p>
    <w:p>
      <w:pPr>
        <w:spacing w:after="0" w:line="77" w:lineRule="exact"/>
        <w:rPr>
          <w:sz w:val="20"/>
          <w:szCs w:val="20"/>
          <w:color w:val="auto"/>
        </w:rPr>
      </w:pPr>
    </w:p>
    <w:p>
      <w:pPr>
        <w:ind w:left="900" w:hanging="325"/>
        <w:spacing w:after="0" w:line="291"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paid to the named executive officers has been reasonable relative to our comparator group. </w:t>
      </w:r>
      <w:r>
        <w:rPr>
          <w:rFonts w:ascii="Arial" w:cs="Arial" w:eastAsia="Arial" w:hAnsi="Arial"/>
          <w:sz w:val="16"/>
          <w:szCs w:val="16"/>
          <w:color w:val="auto"/>
        </w:rPr>
        <w:t>According to an analysis conducted by</w:t>
      </w:r>
      <w:r>
        <w:rPr>
          <w:rFonts w:ascii="Arial" w:cs="Arial" w:eastAsia="Arial" w:hAnsi="Arial"/>
          <w:sz w:val="16"/>
          <w:szCs w:val="16"/>
          <w:i w:val="1"/>
          <w:iCs w:val="1"/>
          <w:color w:val="auto"/>
        </w:rPr>
        <w:t xml:space="preserve"> </w:t>
      </w:r>
      <w:r>
        <w:rPr>
          <w:rFonts w:ascii="Arial" w:cs="Arial" w:eastAsia="Arial" w:hAnsi="Arial"/>
          <w:sz w:val="16"/>
          <w:szCs w:val="16"/>
          <w:color w:val="auto"/>
        </w:rPr>
        <w:t>Hay Group in January 2012 regarding compensation levels of our comparator group for 2010 (the most recent year for which comprehensive data for our peers was available), the aggregate total direct compensation paid to our named executive officers (other than Mr. Castellano, who retired in early 2011 and whose compensation was not evaluated by Hay Group in this analysis) with respect to 2011 performance was appropriate in light of compensation levels of our comparator group. This analysis supported the Compensation Committee’s conclusion that the aggregate total direct compensation paid to our named executive officers (other than Mr. Castellano) for 2011 was sufficiently competitive for 2011.</w:t>
      </w:r>
    </w:p>
    <w:p>
      <w:pPr>
        <w:spacing w:after="0" w:line="25" w:lineRule="exact"/>
        <w:rPr>
          <w:rFonts w:ascii="Arial" w:cs="Arial" w:eastAsia="Arial" w:hAnsi="Arial"/>
          <w:sz w:val="16"/>
          <w:szCs w:val="16"/>
          <w:color w:val="auto"/>
        </w:rPr>
      </w:pPr>
    </w:p>
    <w:p>
      <w:pPr>
        <w:ind w:left="780" w:right="160" w:hanging="326"/>
        <w:spacing w:after="0" w:line="303" w:lineRule="auto"/>
        <w:tabs>
          <w:tab w:leader="none" w:pos="78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Our awarded compensation ratio was substantially unchanged in 2011, notwithstanding a decline in our operating revenue and new investments that we made over the course of the year</w:t>
      </w:r>
      <w:r>
        <w:rPr>
          <w:rFonts w:ascii="Arial" w:cs="Arial" w:eastAsia="Arial" w:hAnsi="Arial"/>
          <w:sz w:val="15"/>
          <w:szCs w:val="15"/>
          <w:color w:val="auto"/>
        </w:rPr>
        <w:t>. In 2011 and as further discussed under “Management’s Discussion and Analysis of Financial Condition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of Operations”, the ratio of our awarded compensation and benefits expense to operating revenue, or the awarded compensation ratio, was</w:t>
      </w:r>
    </w:p>
    <w:p>
      <w:pPr>
        <w:spacing w:after="0" w:line="1" w:lineRule="exact"/>
        <w:rPr>
          <w:rFonts w:ascii="Arial" w:cs="Arial" w:eastAsia="Arial" w:hAnsi="Arial"/>
          <w:sz w:val="15"/>
          <w:szCs w:val="15"/>
          <w:color w:val="auto"/>
        </w:rPr>
      </w:pPr>
    </w:p>
    <w:p>
      <w:pPr>
        <w:ind w:left="780" w:right="20"/>
        <w:spacing w:after="0" w:line="315" w:lineRule="auto"/>
        <w:rPr>
          <w:rFonts w:ascii="Arial" w:cs="Arial" w:eastAsia="Arial" w:hAnsi="Arial"/>
          <w:sz w:val="15"/>
          <w:szCs w:val="15"/>
          <w:color w:val="auto"/>
        </w:rPr>
      </w:pPr>
      <w:r>
        <w:rPr>
          <w:rFonts w:ascii="Arial" w:cs="Arial" w:eastAsia="Arial" w:hAnsi="Arial"/>
          <w:sz w:val="15"/>
          <w:szCs w:val="15"/>
          <w:color w:val="auto"/>
        </w:rPr>
        <w:t>61.5%. This was substantially unchanged from the awarded compensation ratio of 61.4% for 2010, notwithstanding the impact of the 5% decline in operating revenue over the same period and the new investments that we made in our Financial Advisory and Asset Management businesses during 2011. This also reflects a 5.3 percentage point decrease from the awarded compensation ratio of 66.8% for 2009. Notably, we maintained control on compensation deferrals and aggregate cash incentive compensation for 2011 decreased 21% from 2010. We remain committed to our long-term goal of limiting increases in our compensation expense, such that our compensation expense grows at a rate that is less than the rate of our revenue growth.</w:t>
      </w:r>
    </w:p>
    <w:p>
      <w:pPr>
        <w:spacing w:after="0" w:line="9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u w:val="single" w:color="auto"/>
          <w:color w:val="auto"/>
        </w:rPr>
        <w:t>We are committed to addressing certain evolving best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With input from Hay Group, the Compensation Committee determined in 2011 that, in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evolving best practices, we do not intend to enter into any new arrangements that would provide for an excise tax gross-up. Consistent with this determination, we entered into a new contract with Mr. Bhutani on August 2, 2011 that does not provide for an excise tax gross-up. Our retention agreements with Messrs. Jacobs, Bucaille, Hoffman and Stern are scheduled to expire on March 23, 2013, and we do not anticipate extending the excise tax gross-up currently provided in these retention agreements following such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 of Our Compensation Programs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compensation programs are designed to attract, retain and motivate executives and professionals of the highest quality and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These compensation programs focus on rewarding the types of performance that increase shareholder value and drive shareholder returns, including growing revenue and reducing volatility, retaining clients, developing new client relationships, improving operational efficiency (including by managing compensation and non-compensation costs and expenses), returning cash to shareholders and managing risks. A substantial portion of each executive’s total compensation is intended to be variable and delivered on a pay-for-performance basis. The programs provide compensation opportunities, contingent upon performance, that are competitive with practices of other similar financial services organizations.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currently target annual operating revenue and earnings as key performance metrics. In allocating compensation to our named executive officers, managing directors and other senior professionals, the primary emphasis, in addition to Company performance, is on each individual’s contribution to the Company, business unit performance and compensation recommendations of the individuals to whom participants report. The Compensation Committee monitors the effectiveness of our compensation programs throughout the year and performs an annual reassessment of the programs in January or February of each year in connection with year-end compensation decisions. The Compensation Committee directly and independently engaged Hay Group to assist it with review of market data and compensation analyses. At this time, Hay Group performs no work for the Company other than advising the Compensation Committee with respect to compensation matters and Lazard Ltd’s Nominating &amp; Governance Committee on director compensation.</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u w:val="single" w:color="auto"/>
          <w:color w:val="auto"/>
        </w:rPr>
        <w:t>Competitive Compensation Considerations.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 competition to attract and retain high performing executives and professionals in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industry is intense, the amount and composition of total compensation paid to our executives must be considered in light of competitive compensation levels. In this regard, for our named executive officers (other than Mr. Castellano), the Compensation Committee reviewed an analysis prepared by Hay Group regarding compensation levels for 2010 (as reported in 2011) and considered data regarding indicative trends for 2011 for comparable positions at the following financial services firms: Affiliated Managers Group Inc., BlackRock, Inc., Blackstone Group LP, Eaton Vance Corp., Evercore Partners Inc., Goldman Sachs Group, Inc., Greenhill &amp; Co., Inc., Invesco Ltd, Jefferies Group, Inc., Legg Mason, Inc. and Morgan Stanley. While some of the companies listed above are larger than the Company, we chose this comparator group because we compete in the same marketplace with these companies for highly qualified and talented financial service professionals.</w:t>
      </w:r>
    </w:p>
    <w:p>
      <w:pPr>
        <w:spacing w:after="0" w:line="10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While the Compensation Committee considers the level of compensation paid by the firms in the Company’s comparator group as a reference point that provides a framework for its compensation decisions, in order to maintain competiveness and flexibility, the Compensation Committee does not target compensation at a particular level relative to the comparator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Our Compensation Programs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Compensation for each of our named executive officers, managing directors and other senior professionals is viewed on a total compensation basis and then subdivided into two primary categories—base salary and incentive compensation. The Compensation Committee reviews performance data by business line and by individual, in addition to competitive data. Determinations are made based on the totality of all the data and made on an individual basis.</w:t>
      </w:r>
    </w:p>
    <w:p>
      <w:pPr>
        <w:spacing w:after="0" w:line="9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With the exception of the 2008 compensation cycle, our annual incentive compensation awards since Lazard Ltd’s equity public offering in 2005 up until the 2010 compensation cycle have had two components: a cash bonus and an equity-based award. In addition to the forms of annual incentive compensation we have used in the past, we have added new incentive compensation programs: for the 2010 compensation cycle, we added a new form of long-term incentive compensation for employees in our Asset Management business, including Mr. Bhutani, which we refer to as Lazard Fund Interests; and for the 2011 compensation cycle, in addition to providing Lazard Fund Interest awards to Mr. Bhutani as part of his aggregate deferred compensation for 2011, we extended the Lazard Fund Interest award program to, at the option of employees who are not named executive officers, our managing directors and other senior professionals. As further discussed below, we also provided certain senior professionals in our Asset Management business with deferred cash awards as a component of their aggregate deferred compensation for 2011.</w:t>
      </w:r>
    </w:p>
    <w:p>
      <w:pPr>
        <w:spacing w:after="0" w:line="105"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Decisions with regard to incentive compensation are generally made in January or February of each year and are based on Company and individual performance in the prior fiscal year. Our Chief Executive Officer, Mr. Jacobs, makes recommendations to the Compensation Committee as to the total compensation package to be paid to our named executive officers. The Compensation Committee reviews and approves the total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compensation package (salary and incentive compensation award) to be paid to our named executive officers, including Mr. Jacobs, and considers Mr. Jacobs’ recommendations in its review. Mr. Jacobs does not participate in sessions of the Compensation Committee at which his own compensation is determined; however, he does participate in sessions at which the compensation of the other named executive officers is discussed. Before any year-end compensation decisions are made, the Compensation Committee reviews a comprehensive tally sheet of all elements of each executive officer’s compensation. The tally sheets include information on cash and non-cash compensation for the past three fiscal years (including current and prior year base salaries, annual bonuses, RSUs and, in the case of Mr. Bhutani, Lazard Fund Interests), the value of benefits and other perquisites paid to our named executive officers, the value of unrealized gains/losses on prior equity-based awards and any LAZ-MD Holdings exchangeable interests held by our named executive officers, as well as potential amounts to be delivered under post-employment scenarios. The tally sheets are used to ensure that each member of the Compensation Committee has a complete picture of the compensation and benefits paid to, and equity holdings of, each of our named executive officers and are just one of the tools used by the Compensation Committee in making year-end compensation decisions.</w:t>
      </w:r>
    </w:p>
    <w:p>
      <w:pPr>
        <w:spacing w:after="0" w:line="10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salaries are intended to reflect the experience, skill and knowledge of our named executive officers, managing directors and other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professionals in their particular roles and responsibilities, while retaining the flexibility to appropriately compensate for fluctuations in performance, both of the Company and the individual. Base salaries for our named executive officers and any subsequent adjustments thereto are reviewed and approved by the Compensation Committee annually, based on a review of relevant market data and each executive’s performance for the prior year, as well as each executive’s experience, expertise and position. During 2011, each of our named executive officers (other than Mr. Castellano, whose retention agreement expired upon his retirement on March 31, 2011) was a party to a retention agreement with the Company that provides for a minimum annual base salary during the term of those agreements. </w:t>
      </w:r>
      <w:r>
        <w:rPr>
          <w:rFonts w:ascii="Arial" w:cs="Arial" w:eastAsia="Arial" w:hAnsi="Arial"/>
          <w:sz w:val="16"/>
          <w:szCs w:val="16"/>
          <w:i w:val="1"/>
          <w:iCs w:val="1"/>
          <w:color w:val="auto"/>
        </w:rPr>
        <w:t>See</w:t>
      </w:r>
      <w:r>
        <w:rPr>
          <w:rFonts w:ascii="Arial" w:cs="Arial" w:eastAsia="Arial" w:hAnsi="Arial"/>
          <w:sz w:val="16"/>
          <w:szCs w:val="16"/>
          <w:color w:val="auto"/>
        </w:rPr>
        <w:t xml:space="preserve"> “Retention Agreements with Named Executive Officers”.</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u w:val="single" w:color="auto"/>
          <w:color w:val="auto"/>
        </w:rPr>
        <w:t>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is a key component of our compensation strategy. Incentive compensation payouts can be highly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from year to year and are generally based on Lazard Ltd’s operating revenue and earnings in the immediately preceding fiscal year, as well as each individual’s contribution to revenue and to the Company’s development, including business unit performance. In addition, careful attention is paid to competitive compensation practices in the financial services industry.</w:t>
      </w:r>
    </w:p>
    <w:p>
      <w:pPr>
        <w:spacing w:after="0" w:line="13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January or February of each year a determination is made as to the total amount of incentive compensation to be awarded to our named executive officers, managing directors and senior professionals based on Company and individual performance in the prior fiscal year. An allocation is then made between cash and equity-based awards. In addition, for the 2010 compensation cycle, we created a new form of performance-based compensation for employees of our Asset Management business, including Mr. Bhutani, which we refer to as Lazard Fund Interest awards, and for the 2011 compensation cycle, we extended the Lazard Fund Interest award program to, at the option of employees who are not named executive officers (other than Mr. Bhutani), our managing directors and other senior professionals.</w:t>
      </w:r>
    </w:p>
    <w:p>
      <w:pPr>
        <w:spacing w:after="0" w:line="13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January 2012, we applied a progressive formula based on total compensation for all of our named executive officers, managing directors and senior professionals. Pursuant to this formula, as a recipient’s total compensation (cash salary, cash bonus and long-term incentive compensation) increases, a greater percentage of his or her total compensation is composed of long-term incentive awards. This formula is based on a sliding scale that effectively begins at 5% for some of our vice presidents and directors and, except as described below, generally reaches 60% for our highest paid managing directors and is in line with our philosophy of focusing long-term incentive awards at the more senior levels, where our most senior employees, through their greater responsibilities and authority, have more opportunity to influence the stock price and, in the case of employees in our Asset Management business, performance of Lazard managed funds. The remainder of an individual’s total incentive compensation award is payable in cash. For the 2011 compensation cycle, and primarily as a result of compensation practices in the asset management industry, the sliding scale described above generally applies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highest paid managing directors and senior professionals in our Asset Management business, including Mr. Bhutani, but a portion of the recipient’s long-term incentive award allocation (i.e., the portion between approximately 50% and 60%) is composed of a deferred cash award that becomes payable in May 2012, subject to the recipient’s continued service with the Company.</w:t>
      </w:r>
    </w:p>
    <w:p>
      <w:pPr>
        <w:spacing w:after="0" w:line="12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Restricted Stock Unit Awards</w:t>
      </w:r>
      <w:r>
        <w:rPr>
          <w:rFonts w:ascii="Arial" w:cs="Arial" w:eastAsia="Arial" w:hAnsi="Arial"/>
          <w:sz w:val="16"/>
          <w:szCs w:val="16"/>
          <w:color w:val="auto"/>
        </w:rPr>
        <w:t>. For the 2011 compensation cycle, equity-based compensation was awarded to our named executive officers,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Mr. Castellano (who retired on March 31, 2011), in the form of RSUs. RSUs are contractual rights to receive shares of Lazard Ltd Class A common stock upon vesting. The RSUs granted to our named executive officers in 2012 (which relate to 2011 performance) vest approximately two or three years after the date of grant, subject to the executive’s continued service with the Company. In addition, in recognition of Mr. Bucaille’s new role as Chief Financial Officer and to ensure his long-term dedication to the Company, Mr. Bucaille received a special long-term retention award of RSUs in 2011 that is scheduled to vest on March 1, 2019. </w:t>
      </w:r>
      <w:r>
        <w:rPr>
          <w:rFonts w:ascii="Arial" w:cs="Arial" w:eastAsia="Arial" w:hAnsi="Arial"/>
          <w:sz w:val="16"/>
          <w:szCs w:val="16"/>
          <w:i w:val="1"/>
          <w:iCs w:val="1"/>
          <w:color w:val="auto"/>
        </w:rPr>
        <w:t>See</w:t>
      </w:r>
      <w:r>
        <w:rPr>
          <w:rFonts w:ascii="Arial" w:cs="Arial" w:eastAsia="Arial" w:hAnsi="Arial"/>
          <w:sz w:val="16"/>
          <w:szCs w:val="16"/>
          <w:color w:val="auto"/>
        </w:rPr>
        <w:t xml:space="preserve"> “Grant of Plan-Based Awards” for a discussion of the terms of the RSUs and for a discussion of the terms of the RSU Retirement Policy. Other than Mr. Castellano, who has retired, none of our named executive officers are currently eligible for retirement under the terms of the RSU Retirement Policy.</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RSU awards enhance shareholder value by aligning the long-term interests of our named executive officers, managing directors and senior professionals with those of shareholders. Because the amount an individual realizes upon the vesting of his or her RSUs directly depends on the value of Lazard Ltd’s Class A common stock at that time, each individual who receives an RSU becomes, economically, a long-term shareholder of Lazard Ltd, with interests aligned with the interests of other shareholders.</w:t>
      </w:r>
    </w:p>
    <w:p>
      <w:pPr>
        <w:spacing w:after="0" w:line="13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 xml:space="preserve">RSUs also serve as an important retention mechanism by subjecting to forfeiture a significant portion of each recipient’s compensation if he or she leaves the firm prior to the vesting date. Our named executive officers each own considerable interests in the Company through previous grants of RSUs and restricted stock and, in some cases, through their holdings of LAZ-MD Holdings exchangeable interests or shares received pursuant to the exchange of such interests. For additional information about the RSUs, LAZ-MD Holdings exchangeable interests and shares of Lazard Ltd’s Class A common stock held by each of our named executive officers, </w:t>
      </w:r>
      <w:r>
        <w:rPr>
          <w:rFonts w:ascii="Arial" w:cs="Arial" w:eastAsia="Arial" w:hAnsi="Arial"/>
          <w:sz w:val="15"/>
          <w:szCs w:val="15"/>
          <w:i w:val="1"/>
          <w:iCs w:val="1"/>
          <w:color w:val="auto"/>
        </w:rPr>
        <w:t>see</w:t>
      </w:r>
      <w:r>
        <w:rPr>
          <w:rFonts w:ascii="Arial" w:cs="Arial" w:eastAsia="Arial" w:hAnsi="Arial"/>
          <w:sz w:val="15"/>
          <w:szCs w:val="15"/>
          <w:color w:val="auto"/>
        </w:rPr>
        <w:t xml:space="preserve"> “Beneficial Ownership of Directors, Director Nominees and Executive Officers” and “Outstanding Equity Awards at 2011 Fiscal Year-End.” As a result, we believe our named executive officers have a demonstrable and significant interest in increasing shareholder value over the long term.</w:t>
      </w:r>
    </w:p>
    <w:p>
      <w:pPr>
        <w:spacing w:after="0" w:line="9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RSU awards are typically made in early February following Lazard Ltd’s year-end earnings release. This year, RSUs were granted to each of our named executive officers on February 10, 2012, four days after Lazard Ltd’s public announcement of year-end earnings. The number of RSUs granted in 2012 (which relate to 2011 performance) was determined by dividing the dollar amount allocated to be granted to the executive officer as an RSU award by the average closing price of Lazard Ltd’s Class A common stock on the NYSE on the four trading days prior to February 10, 2012 ($27.40). The RSUs granted on February 10, 2012 will generally vest 33% on March 3, 2014 and 67% on March 2, 2015.</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exchange for their RSU awards, our named executive officers agreed to restrictions on their ability to compete with the Company or to solicit our clients and employees, which protect the Company’s intellectual and human capital. Year-end incentive compensation awards are based on Company and individual performance during the prior fiscal year, and an executive officer’s total equity interest in the Company is not factored into the Compensation Committee’s decision-making process concerning future equity-based awards.</w:t>
      </w:r>
    </w:p>
    <w:p>
      <w:pPr>
        <w:spacing w:after="0" w:line="130" w:lineRule="exact"/>
        <w:rPr>
          <w:sz w:val="20"/>
          <w:szCs w:val="20"/>
          <w:color w:val="auto"/>
        </w:rPr>
      </w:pPr>
    </w:p>
    <w:p>
      <w:pPr>
        <w:jc w:val="both"/>
        <w:ind w:right="480" w:firstLine="456"/>
        <w:spacing w:after="0" w:line="303" w:lineRule="auto"/>
        <w:rPr>
          <w:sz w:val="20"/>
          <w:szCs w:val="20"/>
          <w:color w:val="auto"/>
        </w:rPr>
      </w:pPr>
      <w:r>
        <w:rPr>
          <w:rFonts w:ascii="Arial" w:cs="Arial" w:eastAsia="Arial" w:hAnsi="Arial"/>
          <w:sz w:val="15"/>
          <w:szCs w:val="15"/>
          <w:color w:val="auto"/>
        </w:rPr>
        <w:t>Pursuant to Lazard Ltd’s RSU Retirement Policy, outstanding and unvested RSUs will vest (and in the case of members of Lazard Group, who report income from Lazard Group and its affiliates on Schedule K-1 to Lazard Group’s Federal income tax return, whom we refer to as K-1 partners, be settled in restricted stock) as long as (i) the RSU holder is at least 56 years old, (ii) the RSU holder has completed at least five years of service with the Company and</w:t>
      </w:r>
    </w:p>
    <w:p>
      <w:pPr>
        <w:spacing w:after="0" w:line="1" w:lineRule="exact"/>
        <w:rPr>
          <w:sz w:val="20"/>
          <w:szCs w:val="20"/>
          <w:color w:val="auto"/>
        </w:rPr>
      </w:pPr>
    </w:p>
    <w:p>
      <w:pPr>
        <w:ind w:right="160" w:firstLine="8"/>
        <w:spacing w:after="0" w:line="323" w:lineRule="auto"/>
        <w:tabs>
          <w:tab w:leader="none" w:pos="30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sum of the RSU holder’s actual age and years of service is at least 70. However, following retirement, the RSUs or restricted stock granted in settlement of the RSUs remain subject to all restrictive covenants, including continued compliance with non-compete, non-solicit and other provisions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contained in the original RSU award agreement through the original vesting date of the RSUs. Any dividends payable with respect to the restricted stock are held in escrow until the forfeiture provisions lapse. A recipient of restricted stock is required to make an election under Section 83(b) of the Internal Revenue Code, which subjects him or her to taxation on such restricted stock on the date of grant. With the consent of the compliance department of the Company, a recipient may dispose of up to 50% of the restricted stock granted to him or her in order to pay taxes. Lazard Fund Interests, described below, are also subject to the retirement policy, and are treated in a manner similar to the RSUs under the policy.</w:t>
      </w:r>
    </w:p>
    <w:p>
      <w:pPr>
        <w:spacing w:after="0" w:line="10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i w:val="1"/>
          <w:iCs w:val="1"/>
          <w:color w:val="auto"/>
        </w:rPr>
        <w:t>Lazard Fund Interest Awards</w:t>
      </w:r>
      <w:r>
        <w:rPr>
          <w:rFonts w:ascii="Arial" w:cs="Arial" w:eastAsia="Arial" w:hAnsi="Arial"/>
          <w:sz w:val="16"/>
          <w:szCs w:val="16"/>
          <w:color w:val="auto"/>
        </w:rPr>
        <w:t>. In February 2011, in order to more closely align the compensation and performance of our employees in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business with the interests of shareholders, the Company adopted the Lazard Fund Interest award as a new form of long-term incentive compensation. In February 2012, the Company gave all of our managing directors and other senior professionals (with the exception of our named executive officers, other than Mr. Bhutani) the option to participate in the Lazard Fund Interest program as part of their incentive compensation for 2011. Lazard Fund Interests represent actual or notional interests in certain investment funds managed by either LAM or LFG and, accordingly, should enable eligible employees to directly benefit from the performance of such funds. Recipients of Lazard Fund Interests are awarded a dollar value, which is invested (or deemed invested) in specified investment funds as directed by the recipient and held in a restricted brokerage account for the benefit of the recipient. Lazard Fund Interest award agreements generally contain the same vesting, change-in-control, restrictive covenant and forfeiture provisions as the RSU award agreements. In general, these agreements provide that unvested Lazard Fund Interests are forfeited on termination of employment, except in limited cases such as death, disability, a termination by the Company other than for “cause” or a qualifying retirement pursuant to the Lazard Ltd’s RSU Retirement Policy (as described above). In the event that the investment funds in which the Lazard Fund Interests are invested distribute earnings, such earnings are automatically re-invested in additional Lazard Fund Interests. These distributions will have the same restrictions as the underlying Lazard Fund Interests to which they relate.</w:t>
      </w:r>
    </w:p>
    <w:p>
      <w:pPr>
        <w:spacing w:after="0" w:line="11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Mr. Bhutani was granted a Lazard Fund Interest award on February 10, 2012 (which relates to 2011 performance) that will vest 33% on March 3, 2014 and 67% on March 2,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2011 Performance on Compensation</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setting compensation levels for our employees for 2011, we primarily considered annual operating revenue, earnings and competitive conditions in the financial services industry. Due to the uneven economic recovery worldwide and the current regulatory environment, it is imperative to continue to attract, retain and motivate executives and professionals of the highest quality and effectiveness. Part of our business strategy is to recruit and retain proven senior professionals who have strong client relationships and industry expertise, and who understand the needs of our business and culture. Because of the value they bring to the Company, these individuals command high levels of compensation.</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2011, Lazard Ltd’s operating revenue was $1.884 billion, representing a 5% decline from operating revenue of $1.979 billion in 2010. In light of this decline in operating revenue, current economic and competitive conditions, information provided by Hay Group, discussions with our executive officers and other factors considered by the Compensation Committee, the Compensation Committee determined that Lazard Ltd’s target level of awarded compensation should reflect this decline and, therefore, that Lazard Ltd’s ratio of awarded compensation and benefits expense to operating revenue, or Lazard Ltd’s awarded compensation ratio, should be set at 61.7% in order to meet our compensation and retention objectives. Lazard Ltd’s awarded compensation ratio is calculated in a manner that is consistent with our calculation of our awarded compensation ratio. Lazard Ltd’s awarded compensation ratio for 2011 was substantially unchanged from Lazard Ltd’s awarded compensation ratio of 61.5% for 2010, notwithstanding the impact of the 5% decline in operating revenue over the same period and the new investments that we made in our Financial Advisory and Asset Management businesses during 2011. This also reflects a 5.3 percentage point decrease from Lazard Ltd’s awarded compensation ratio of 67% for 2009. Notably, we maintained control on compensation deferrals and aggregate cash incentive compensation for 2011 decreased 21% from 2010. We remain committed to our long-term goal of limiting increases in our compensation expense, such that our compensation expense grows at a rate that is less than the rate of our revenue growth.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Each of Our Named Executive Officers in 2011</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u w:val="single" w:color="auto"/>
          <w:color w:val="auto"/>
        </w:rPr>
        <w:t>2011 Base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retention agreements with Messrs. Jacobs, Bucaille, Bhutani, Hoffman and Stern that establish their respective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annual base salaries. These amounts were negotiated and were meant to ensure that the Company would have the services of each of these named executive officers during the term of their respective agreements.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“Retention Agreements with Named Executive Officers</w:t>
      </w:r>
      <w:r>
        <w:rPr>
          <w:rFonts w:ascii="Arial" w:cs="Arial" w:eastAsia="Arial" w:hAnsi="Arial"/>
          <w:sz w:val="18"/>
          <w:szCs w:val="18"/>
          <w:i w:val="1"/>
          <w:iCs w:val="1"/>
          <w:color w:val="auto"/>
        </w:rPr>
        <w:t>.</w:t>
      </w:r>
      <w:r>
        <w:rPr>
          <w:rFonts w:ascii="Arial" w:cs="Arial" w:eastAsia="Arial" w:hAnsi="Arial"/>
          <w:sz w:val="18"/>
          <w:szCs w:val="18"/>
          <w:color w:val="auto"/>
        </w:rPr>
        <w:t>” The base salary paid in 2011 to Mr. Jacobs was $900,000 and to each of Mr. Bucaille, Mr. Bhutani, Mr. Hoffman and Mr. Stern was $750,000. Mr. Castellano, with whom we had a retention agreement that expired upon his retirement on March 31, 2011, was paid in 2011 a pro-rated amount of the minimum required under his retention agreement: $125,000 for the first quarter of 2011.</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Incentive Compensation.</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u w:val="single" w:color="auto"/>
          <w:color w:val="auto"/>
        </w:rPr>
        <w:t>Mr. Jacobs.</w:t>
      </w:r>
      <w:r>
        <w:rPr>
          <w:rFonts w:ascii="Arial" w:cs="Arial" w:eastAsia="Arial" w:hAnsi="Arial"/>
          <w:sz w:val="16"/>
          <w:szCs w:val="16"/>
          <w:i w:val="1"/>
          <w:iCs w:val="1"/>
          <w:color w:val="auto"/>
        </w:rPr>
        <w:t xml:space="preserve"> </w:t>
      </w:r>
      <w:r>
        <w:rPr>
          <w:rFonts w:ascii="Arial" w:cs="Arial" w:eastAsia="Arial" w:hAnsi="Arial"/>
          <w:sz w:val="16"/>
          <w:szCs w:val="16"/>
          <w:color w:val="auto"/>
        </w:rPr>
        <w:t>In determining the amount of incentive compensation to be paid to our Chief Executive Officer, Mr. Jacobs,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factors described under “Impact of 2011 Performance on Compensation”, as well as Mr. Jacobs’ individual performance in 2011. The Compensation Committee noted that, despite difficult financial markets and a challenging fourth quarter, our Company performed well in 2011. Lazard Ltd achieved record operating revenue through the third quarter on a consolidated basis, before the fourth quarter revenue decline. Our Asset Management business achieved record full-year operating revenue of $883 million for 2011, 6% higher than 2010, and record management fees of $818 million, 14% higher than 2010. In our Financial Advisory business, Strategic Advisory operating revenue was $794 million for 2011, only 4% lower than 2010. We maintained control on compensation costs and compensation deferrals while increasing our investment in our businesses. In addition, Lazard Ltd increased the dividends paid on its Class A common stock, we repurchased sufficient Class A common stock to offset the dilutive effect of equity awards granted in February 2011, and we repurchased $150 million of subordinated debt at a discount.</w:t>
      </w:r>
    </w:p>
    <w:p>
      <w:pPr>
        <w:spacing w:after="0" w:line="10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Compensation Committee also considered the goals and objectives previously established for Mr. Jacobs by the Compensation Committee. The goals and objectives provided the Compensation Committee with a comprehensive set of criteria that assisted the Compensation Committee in its evaluation of Mr. Jacobs’ performance in 2011 and its determination of Mr. Jacobs’ incentive compensation for 2011. The goals and objectives (which did not include numerical targets) consisted primarily of:</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Performance:</w:t>
      </w:r>
    </w:p>
    <w:p>
      <w:pPr>
        <w:spacing w:after="0" w:line="77"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Operating revenue;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Individual Performance:</w:t>
      </w:r>
    </w:p>
    <w:p>
      <w:pPr>
        <w:spacing w:after="0" w:line="77"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Providing the leadership and strategic vision necessary to position the Company for future growth and profitability;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Leading franchise-building efforts across the Company’s businesses and regions;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Motivating key employees and attracting and retaining new talent;</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Growing the Asset Management business by focusing on continually improving investment performance and through motivating and retaining key employees and hiring new talent;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Facilitating global integration by improving collaboration across units worldwide;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Setting financial targets and building an organization that is capable of achieving the strategic vision; and</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Keeping the Board of Directors informed generally, including with respect to ongoing strategic, financial and operating issues and initiatives within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the factors described above, the Compensation Committee noted the following accomplishments as a result of Mr. Jacobs’ initiative and ongoing leadership and dedication during 2011:</w:t>
      </w:r>
    </w:p>
    <w:p>
      <w:pPr>
        <w:spacing w:after="0" w:line="37" w:lineRule="exact"/>
        <w:rPr>
          <w:sz w:val="20"/>
          <w:szCs w:val="20"/>
          <w:color w:val="auto"/>
        </w:rPr>
      </w:pPr>
    </w:p>
    <w:p>
      <w:pPr>
        <w:ind w:left="780" w:right="44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remained strategically focused on its mission and mandate as articulated by Mr. Jacobs, and the Company’s execution in 2011 was consistent with this strategy;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Collaboration across business lines and geographic locations continued to improve;</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Communication among Mr. Jacobs, the Company’s Deputy Chairmen and other members of senior management continued to unify the Company around a common mission and purpose;</w:t>
      </w:r>
    </w:p>
    <w:p>
      <w:pPr>
        <w:spacing w:after="0" w:line="37"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rigorous performance management system and compensation allocation process generally viewed as fair by the Company’s managing directors was executed;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continued to successfully recruit highly regarded senior level talent and maintained strong personnel management.</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also thoroughly reviewed the Company’s past compensation practices, the competitive compensation practices at the other firms included in our comparator group and the unqualified dedication and selflessness that Mr. Jacobs brings to the Lazard franchise. The Compensation Committee and Mr. Jacobs also considered Mr. Jacobs’ strong desire to implement compensation discipline throughout the firm and Mr. Jacobs’ desire to personally participate in this initiative. Based on its review, the Compensation Committee decided to grant Mr. Jacobs an incentive compensation award of $8.050 million, payable as follows: an RSU award valued at $5.370 million and a $2.680 million cash bonus. The RSUs awarded to Mr. Jacobs constituted approximately 60% of Mr. Jacobs’ total compensation for 2011 (salary, cash bonus and equity-based awards).</w:t>
      </w:r>
    </w:p>
    <w:p>
      <w:pPr>
        <w:spacing w:after="0" w:line="10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As reflected in the table below, in response to the challenging economic conditions that we faced during 2011, resulting in a 5% decline in Lazard Ltd’s annual operating revenue, Mr. Jacobs’ total incentive compensation for 2011 (i.e., annual cash bonus and long-term incentive awards) declined by approximately 40% from the level he received for 2010. This substantial decline in Mr. Jacobs’ incentive compensation for 2011 is indicative of the benefits to the Company of maintaining a flexible compensation system that allows the Compensation Committee to adjust the amount payable to our Chief Executive Officer and other members of senior management in recognition of a decline in our performance. Furthermore, by linking 60% of Mr. Jacobs’ compensation for 2011 directly to the future performance of Lazard Ltd’s Class A common stock, the majority of Mr. Jacobs’ compensation for 2011 will be at risk based on our ability to achieve growth and produce value for shareholders over the next two to three years. Given the combination of base salary, annual cash bonus and RSUs awarded to</w:t>
      </w:r>
    </w:p>
    <w:p>
      <w:pPr>
        <w:ind w:right="460"/>
        <w:spacing w:after="0" w:line="261" w:lineRule="auto"/>
        <w:rPr>
          <w:sz w:val="20"/>
          <w:szCs w:val="20"/>
          <w:color w:val="auto"/>
        </w:rPr>
      </w:pPr>
      <w:r>
        <w:rPr>
          <w:rFonts w:ascii="Arial" w:cs="Arial" w:eastAsia="Arial" w:hAnsi="Arial"/>
          <w:sz w:val="18"/>
          <w:szCs w:val="18"/>
          <w:color w:val="auto"/>
        </w:rPr>
        <w:t>Mr. Jacobs for 2011, the Compensation Committee believes it has struck the right balance between addressing the challenges we confronted in 2011 and the desire to keep Mr. Jacobs focused on the Company’s long-term performance.</w:t>
      </w:r>
    </w:p>
    <w:p>
      <w:pPr>
        <w:spacing w:after="0" w:line="12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following table shows the base salary and incentive compensation awarded to Mr. Jacobs for his performance in 2010 and 2011 in the manner it was considered by the Compensation Committee. This presentation differs from that contained in the Summary Compensation Table for 2011 in the following respects: by (i) showing the full grant date value of the RSUs awarded on February 10, 2012, which related to 2011 performance but are not reflected in the Summary Compensation Table for 2011 because they were granted after the end of our 2011 fiscal year; and (ii) excluding the full grant date value of the RSUs granted on February 10, 2011, which are included in the Summary Compensation Table for 2011, but related to 2010 performance. A similar methodology was applied to reflect 2010 compensation, which was included in order to provide a basis for comparison. In addition, the “Change in Pension Value” and “All Other Compensation” columns have been omitted for each year, because they are not tied to Mr. Jacobs’ performance for the applicable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ind w:left="400"/>
              <w:spacing w:after="0"/>
              <w:rPr>
                <w:sz w:val="20"/>
                <w:szCs w:val="20"/>
                <w:color w:val="auto"/>
              </w:rPr>
            </w:pPr>
            <w:r>
              <w:rPr>
                <w:rFonts w:ascii="Arial" w:cs="Arial" w:eastAsia="Arial" w:hAnsi="Arial"/>
                <w:sz w:val="14"/>
                <w:szCs w:val="14"/>
                <w:b w:val="1"/>
                <w:bCs w:val="1"/>
                <w:color w:val="auto"/>
              </w:rPr>
              <w:t>Incentive Compensation</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Annual Cash</w:t>
            </w: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Annual RSU</w:t>
            </w:r>
          </w:p>
        </w:tc>
        <w:tc>
          <w:tcPr>
            <w:tcW w:w="3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Salary</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Bonus</w:t>
            </w: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Awards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2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2011</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$2,680,000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$5,370,000</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$14,800,000</w:t>
            </w:r>
          </w:p>
        </w:tc>
        <w:tc>
          <w:tcPr>
            <w:tcW w:w="0" w:type="dxa"/>
            <w:vAlign w:val="bottom"/>
          </w:tcPr>
          <w:p>
            <w:pPr>
              <w:spacing w:after="0"/>
              <w:rPr>
                <w:sz w:val="1"/>
                <w:szCs w:val="1"/>
                <w:color w:val="auto"/>
              </w:rPr>
            </w:pPr>
          </w:p>
        </w:tc>
      </w:tr>
      <w:tr>
        <w:trPr>
          <w:trHeight w:val="363"/>
        </w:trPr>
        <w:tc>
          <w:tcPr>
            <w:tcW w:w="348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137</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i w:val="1"/>
          <w:iCs w:val="1"/>
          <w:u w:val="single" w:color="auto"/>
          <w:color w:val="auto"/>
        </w:rPr>
        <w:t>Other Named Executive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As described above, our Chief Executive Officer, Mr. Jacobs, makes recommendations to the Compensation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as to the total compensation package to be paid to our named executive officers. The Compensation Committee reviews and approves the total compensation package (salary and incentive compensation award) to be paid to our named executive officers, and considers Mr. Jacobs’ recommendations in its review. The retention agreements with Messrs. Bhutani, Bucaille, Hoffman and Stern generally provide that each is entitled to an annual bonus to be determined under the applicable annual bonus plan of the Company on the same basis as annual bonuses are determined for the Company’s other executive officers and paid in the same ratio of cash to equity awards or, in the case of Mr. Bhutani, deferred awards, as is applicable to other executives. The retention agreement with</w:t>
      </w:r>
    </w:p>
    <w:p>
      <w:pPr>
        <w:spacing w:after="0" w:line="1" w:lineRule="exact"/>
        <w:rPr>
          <w:sz w:val="20"/>
          <w:szCs w:val="20"/>
          <w:color w:val="auto"/>
        </w:rPr>
      </w:pPr>
    </w:p>
    <w:p>
      <w:pPr>
        <w:ind w:right="400"/>
        <w:spacing w:after="0" w:line="292" w:lineRule="auto"/>
        <w:rPr>
          <w:sz w:val="20"/>
          <w:szCs w:val="20"/>
          <w:color w:val="auto"/>
        </w:rPr>
      </w:pPr>
      <w:r>
        <w:rPr>
          <w:rFonts w:ascii="Arial" w:cs="Arial" w:eastAsia="Arial" w:hAnsi="Arial"/>
          <w:sz w:val="16"/>
          <w:szCs w:val="16"/>
          <w:color w:val="auto"/>
        </w:rPr>
        <w:t>Mr. Castellano expired upon his retirement on March 31, 2011. Mr. Jacobs reviewed with the Compensation Committee the performance of each of Messrs. Bhutani, Bucaille, Hoffman and Stern individually and their overall contribution to the Company in 2011, which was not based on any numerical targets. In evaluating the total compensation packages to be paid to our named executive officers, the Compensation Committee and Mr. Jacobs considered the factors described under “Impact of 2011 Performance on Compensation”, as well as their individual contributions to the Company, their desire to advance the implementation of compensation discipline throughout the firm and their desire to personally participate in this initiative.</w:t>
      </w:r>
    </w:p>
    <w:p>
      <w:pPr>
        <w:spacing w:after="0" w:line="103"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In evaluating annual incentive compensation for Mr. Bhutani, the Compensation Committee and Mr. Jacobs considered his consistent leadership and high level of performance as the Chief Executive Officer of LAM and the overall success of the Asset Management business in 2011, including its achievement of record full-year operating revenue of $883 million for 2011, 6% higher than 2010, and record management fees of $818 million, 14% higher than 2010. The Compensation Committee and Mr. Jacobs reviewed Mr. Bhutani’s role in the Company, his positioning on an internal pay equity scale vis-à-vis other managing directors within the Asset Management business, specifically, and the Company, in general, and the competitive compensation practices at the other firms included in our comparator group. The Compensation Committee and Mr. Jacobs also considered the difficulty and expense of replacing an executive of</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Bhutani’s caliber should he decide to leave. The Compensation Committee approved the following incentive compensation for Mr. Bhutani for his performance in 2011: Mr. Bhutani received a cash bonus of $3.210 million, a deferred cash award valued at $990,000, an RSU award valued at $3.173 million and a Lazard Fund Interest award valued at $1.778 million. Together, the deferred cash, RSUs and Lazard Fund Interests awarded to Mr. Bhutani constituted approximately 60% of his total compensation for 2011 (salary, cash bonus and long-term incentive awards). As reflected in the table below, Mr. Bhutani’s total incentive compensation for 2011 declined by almost 31% from the level he received in 2010 in recognition of the Compensation Committee’s determination that, in light of Mr. Bhutani’s position as a named executive officer of the Company, his compensation should be based not only on the performance of our Asset Management business but also on the performance of the Company as a whole.</w:t>
      </w:r>
    </w:p>
    <w:p>
      <w:pPr>
        <w:spacing w:after="0" w:line="10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evaluating annual incentive compensation for Mr. Stern, the Compensation Committee and Mr. Jacobs considered several factors, including the various roles that Mr. Stern serves for the Company. The Compensation Committee and Mr. Jacobs considered Mr. Stern’s myriad responsibilities, his performance as Chief Operating Officer and his contribution to the financial strength of the Company. Mr. Stern maintains a balance between his leadership and administrative responsibilities within the firm, while continuing to cultivate important client relationships. Additional factors that the Compensation Committee and Mr. Jacobs considered included Mr. Stern’s effective management of managing directors and senior professionals overseeing various business sectors on a global basis, the competitive compensation practices at the firms in our comparator group and the difficulty and expense of replacing Mr. Stern should he decide to leave. The Compensation Committee approved the following incentive compensation for Mr. Stern for his performance in 2011: Mr. Stern received a cash bonus of $1.193 million and an RSU award valued at $2.808 million. The RSUs awarded to Mr. Stern constituted approximately 59% of his total compensation for 2011 (salary, cash bonus and equity-based awards).</w:t>
      </w:r>
    </w:p>
    <w:p>
      <w:pPr>
        <w:spacing w:after="0" w:line="10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 evaluating incentive compensation for Messrs. Bucaille and Hoffman, the Compensation Committee and Mr. Jacobs considered that each provides significant leadership to the Company in his role as Chief Financial Officer and General Counsel, respectively. Mr. Bucaille has worldwide responsibility for corporate finance and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45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accounting at the Company, while continuing to maintain important client relationships cultivated prior to his becoming Chief Financial Officer. Mr. Hoffman has worldwide responsibility for legal and compliance, and also oversees internal audit and global communications. The Compensation Committee and Mr. Jacobs further considered that both executives have been tasked with primary responsibility for establishing and implementing uniform internal policies within the Company, so that other members of senior management can focus on building the Lazard franchise and cultivating client relationships. With respect to</w:t>
      </w:r>
    </w:p>
    <w:p>
      <w:pPr>
        <w:spacing w:after="0" w:line="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Mr. Bucaille, the Compensation Committee and Mr. Jacobs discussed his contribution to the overall strength of the Company as well as his efficient transition to, and his dedication in connection with the assumption of, his responsibilities as Chief Financial Officer. With respect to Mr. Hoffman, the Compensation Committee and Mr. Jacobs discussed his wide-ranging responsibility for overseeing worldwide legal and compliance operations during a period of continuing legal and regulatory reform, as well as his diverse responsibilities for overseeing internal audit, global communications, legislative and regulatory affairs and the Company’s U.S. real estate. Mr. Jacobs noted that Mr. Hoffman was a key contributor to the collective management team, providing leadership, advice and guidance to him, as Chief Executive Officer, and the Compensation Committee and Mr. Jacobs further noted that Mr. Hoffman also provides such advice and guidance to the Board of Directors. Based on Mr. Jacobs’ recommendation, the Compensation Committee approved the following incentive compensation for each of Mr. Bucaille and Mr. Hoffman for their performance in 2011: Mr. Bucaille received a cash bonus of $617,500 and an RSU award valued at $2.033 million; Mr. Hoffman received a cash bonus of $817,500 and an RSU award valued at $1.933 million. The RSUs awarded to Messrs. Bucaille and Hoffman constituted approximately 60% and 55%, respectively, of their total compensation for 2011 (salary, cash bonus and long-term incentive awards but excluding, in the case of Mr. Bucaille, the special RSU grant described below). In addition, in recognition of Mr. Bucaille’s new duties as Chief Financial Officer and to ensure his long term dedication to the Company, Mr. Bucaille received a long-term retention award in 2011 consisting of 71,085 RSUs valued at $3.1 million that are scheduled to vest in full on March 1, 2019.</w:t>
      </w:r>
    </w:p>
    <w:p>
      <w:pPr>
        <w:spacing w:after="0" w:line="11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Compensation Committee did not approve incentive compensation for Mr. Castellano, who retired from the Company effective March 31, 2011, in respect of the Company’s 2011 performance.</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following table shows the base salary and incentive compensation paid to Messrs. Bhutani, Bucaille, Hoffman and Stern for their performance in 2010 and 2011 in the manner it was considered by the Compensation Committee. This presentation differs from that contained in the Summary Compensation Table for 2011 in the following respects: by (i) showing the full grant date value of the RSUs and Lazard Fund Interests granted on February 10, 2012, which related to 2011 performance but are not reflected in the Summary Compensation Table for 2011 because they were granted after the end of our 2011 fiscal year;</w:t>
      </w:r>
    </w:p>
    <w:p>
      <w:pPr>
        <w:spacing w:after="0" w:line="3" w:lineRule="exact"/>
        <w:rPr>
          <w:sz w:val="20"/>
          <w:szCs w:val="20"/>
          <w:color w:val="auto"/>
        </w:rPr>
      </w:pPr>
    </w:p>
    <w:p>
      <w:pPr>
        <w:ind w:right="40" w:firstLine="8"/>
        <w:spacing w:after="0" w:line="281" w:lineRule="auto"/>
        <w:tabs>
          <w:tab w:leader="none" w:pos="2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excluding the full grant date value of the RSUs and Lazard Fund Interests granted on February 10, 2011, which are included in the Summary Compensation Table for 2011, but related to 2010 performance; (iii) excluding the full grant date value of the special, long-term retention award of 71,085 RSUs granted to Mr. Bucaille on March 25, 2011 with a grant date value of $3.1 million that are scheduled to vest in full on March 1, 2019, since these RSUs were not a part of Mr. Bucaille’s regular incentive compensation for 2011; and (iv) presenting $990,000 of Mr. Bhutani’s 2011 bonus as a deferred cash award, since this award was not paid in February 2012 at the same time as our regular bonuses, but will be paid in May 2012, contingent on Mr. Bhutani’s continued employment until the payment date. A similar methodology has been applied to reflect 2010 compensation, which was included for each named executive officer other than</w:t>
      </w:r>
    </w:p>
    <w:p>
      <w:pPr>
        <w:spacing w:after="0" w:line="4" w:lineRule="exact"/>
        <w:rPr>
          <w:rFonts w:ascii="Arial" w:cs="Arial" w:eastAsia="Arial" w:hAnsi="Arial"/>
          <w:sz w:val="16"/>
          <w:szCs w:val="16"/>
          <w:color w:val="auto"/>
        </w:rPr>
      </w:pPr>
    </w:p>
    <w:p>
      <w:pPr>
        <w:ind w:right="60"/>
        <w:spacing w:after="0" w:line="331" w:lineRule="auto"/>
        <w:rPr>
          <w:rFonts w:ascii="Arial" w:cs="Arial" w:eastAsia="Arial" w:hAnsi="Arial"/>
          <w:sz w:val="16"/>
          <w:szCs w:val="16"/>
          <w:color w:val="auto"/>
        </w:rPr>
      </w:pPr>
      <w:r>
        <w:rPr>
          <w:rFonts w:ascii="Arial" w:cs="Arial" w:eastAsia="Arial" w:hAnsi="Arial"/>
          <w:sz w:val="15"/>
          <w:szCs w:val="15"/>
          <w:color w:val="auto"/>
        </w:rPr>
        <w:t>Mr. Bucaille in order to provide a basis for comparison. Mr. Bucaille’s compensation for 2010 is not included in the table below, because he was not an executive officer during 2010. In addition, the “Change in Pension Value” and “All Other Compensation” columns have been omitted for each year, because they are not tied to the named executives’ performance for the applicable year, and Mr. Castellano’s compensation was excluded, since he retired on March 31, 2011.</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Incentive Compensation</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Lazard</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Deferred</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Fund</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Annual Cash</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Cash</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RSU</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Interest</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Salary</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Bonus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Awards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Awards</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Compensation</w:t>
            </w: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Ashish Bhutani</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2011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$3,210,000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5"/>
              </w:rPr>
              <w:t>$990,000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$3,172,500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$1,777,500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$5,175,000</w:t>
            </w: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$1,825,000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Matthieu Bucaille</w:t>
            </w:r>
          </w:p>
        </w:tc>
        <w:tc>
          <w:tcPr>
            <w:tcW w:w="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2011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$750,000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$617,500</w:t>
            </w:r>
          </w:p>
        </w:tc>
        <w:tc>
          <w:tcPr>
            <w:tcW w:w="2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$2,032,500</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$3,400,000</w:t>
            </w: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$1,932,500</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$2,250,000</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shd w:val="clear" w:color="auto" w:fill="CCEEFF"/>
          </w:tcPr>
          <w:p>
            <w:pPr>
              <w:spacing w:after="0"/>
              <w:rPr>
                <w:sz w:val="18"/>
                <w:szCs w:val="18"/>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rPr>
              <w:t>Alexander F. Stern</w:t>
            </w:r>
          </w:p>
        </w:tc>
        <w:tc>
          <w:tcPr>
            <w:tcW w:w="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2011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$750,000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$1,192,500</w:t>
            </w:r>
          </w:p>
        </w:tc>
        <w:tc>
          <w:tcPr>
            <w:tcW w:w="2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$2,807,500</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$4,750,000</w:t>
            </w:r>
          </w:p>
        </w:tc>
        <w:tc>
          <w:tcPr>
            <w:tcW w:w="120" w:type="dxa"/>
            <w:vAlign w:val="bottom"/>
          </w:tcPr>
          <w:p>
            <w:pPr>
              <w:spacing w:after="0"/>
              <w:rPr>
                <w:sz w:val="18"/>
                <w:szCs w:val="18"/>
                <w:color w:val="auto"/>
              </w:rPr>
            </w:pPr>
          </w:p>
        </w:tc>
      </w:tr>
      <w:tr>
        <w:trPr>
          <w:trHeight w:val="222"/>
        </w:trPr>
        <w:tc>
          <w:tcPr>
            <w:tcW w:w="412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$750,000</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tcPr>
          <w:p>
            <w:pPr>
              <w:spacing w:after="0"/>
              <w:rPr>
                <w:sz w:val="19"/>
                <w:szCs w:val="19"/>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$3,250,000</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$6,500,000</w:t>
            </w:r>
          </w:p>
        </w:tc>
        <w:tc>
          <w:tcPr>
            <w:tcW w:w="120" w:type="dxa"/>
            <w:vAlign w:val="bottom"/>
          </w:tcPr>
          <w:p>
            <w:pPr>
              <w:spacing w:after="0"/>
              <w:rPr>
                <w:sz w:val="19"/>
                <w:szCs w:val="19"/>
                <w:color w:val="auto"/>
              </w:rPr>
            </w:pPr>
          </w:p>
        </w:tc>
      </w:tr>
    </w:tbl>
    <w:p>
      <w:pPr>
        <w:spacing w:after="0" w:line="142"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i w:val="1"/>
          <w:iCs w:val="1"/>
          <w:u w:val="single" w:color="auto"/>
          <w:color w:val="auto"/>
        </w:rPr>
        <w:t>Perquisites.</w:t>
      </w:r>
      <w:r>
        <w:rPr>
          <w:rFonts w:ascii="Arial" w:cs="Arial" w:eastAsia="Arial" w:hAnsi="Arial"/>
          <w:sz w:val="16"/>
          <w:szCs w:val="16"/>
          <w:i w:val="1"/>
          <w:iCs w:val="1"/>
          <w:color w:val="auto"/>
        </w:rPr>
        <w:t xml:space="preserve"> </w:t>
      </w:r>
      <w:r>
        <w:rPr>
          <w:rFonts w:ascii="Arial" w:cs="Arial" w:eastAsia="Arial" w:hAnsi="Arial"/>
          <w:sz w:val="16"/>
          <w:szCs w:val="16"/>
          <w:color w:val="auto"/>
        </w:rPr>
        <w:t>In 2011, each of our named executive officers, other than Mr. Bucaille, received less than $32,000 in perquisite compensation.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are entitled to receive the same perquisite compensation provided to all of our U.S. managing directors as a group, including (i) the payment by the Company of a portion of the health insurance premiums for each of our U.S. managing directors on the same basis that it does for all U.S. employees and</w:t>
      </w:r>
    </w:p>
    <w:p>
      <w:pPr>
        <w:spacing w:after="0" w:line="1" w:lineRule="exact"/>
        <w:rPr>
          <w:sz w:val="20"/>
          <w:szCs w:val="20"/>
          <w:color w:val="auto"/>
        </w:rPr>
      </w:pPr>
    </w:p>
    <w:p>
      <w:pPr>
        <w:ind w:firstLine="8"/>
        <w:spacing w:after="0" w:line="292" w:lineRule="auto"/>
        <w:tabs>
          <w:tab w:leader="none" w:pos="258" w:val="left"/>
        </w:tabs>
        <w:numPr>
          <w:ilvl w:val="0"/>
          <w:numId w:val="66"/>
        </w:numPr>
        <w:rPr>
          <w:rFonts w:ascii="Arial" w:cs="Arial" w:eastAsia="Arial" w:hAnsi="Arial"/>
          <w:sz w:val="16"/>
          <w:szCs w:val="16"/>
          <w:color w:val="auto"/>
        </w:rPr>
      </w:pPr>
      <w:r>
        <w:rPr>
          <w:rFonts w:ascii="Arial" w:cs="Arial" w:eastAsia="Arial" w:hAnsi="Arial"/>
          <w:sz w:val="16"/>
          <w:szCs w:val="16"/>
          <w:color w:val="auto"/>
        </w:rPr>
        <w:t>being the named beneficiaries of a Company-provided life insurance and excess liability insurance policy and long-term disability insurance. None of our U.S. managing directors receive any matching contributions from the Company on their personal contributions to the Company’s 401(k) plan. Each of our U.S. managing directors is entitled to have his year-end personal tax returns prepared by our tax department. Messrs. Jacobs, Bucaille, Castellano, Hoffman and Stern have availed themselves of this benefit. This perquisite has been a historical practice of the firm, and is provided due to the complexity involved in preparing such tax returns as the Company continues to be viewed as a partnership for U.S. tax purposes.</w:t>
      </w:r>
    </w:p>
    <w:p>
      <w:pPr>
        <w:spacing w:after="0" w:line="10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his retention agreement with the Company, Mr. Bucaille is also entitled to reimbursement of up to $10,000 per month on his residence in the New York City area, as well as reimbursement of private school tuition for each of his children under the age of 18 years old. These additional benefits are provided to Mr. Bucaille in connection with the relocation of his family from France to the United States in order to serve as our Chief Financial Officer, and in recognition of the educational needs of his children, whose native language is French. The Compensation Committee determined this was appropriate in order to minimize the disruption of Mr. Bucaille’s family life and reduce distractions as a result of his relocation, thereby allowing him to focus on his duties as Chief Financial Officer. Mr. Bucaille is additionally entitled to a tax gross-up for any such reimbursement he receives. The aggregate value of these benefits in 2011 was $641,855, a portion of which represents amounts incurred in 2010 and reimbursed to Mr. Bucaille on a discretionary basis during 2011.</w:t>
      </w:r>
    </w:p>
    <w:p>
      <w:pPr>
        <w:spacing w:after="0" w:line="105"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i w:val="1"/>
          <w:iCs w:val="1"/>
          <w:u w:val="single" w:color="auto"/>
          <w:color w:val="auto"/>
        </w:rPr>
        <w:t>Post-Employment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Messrs. Jacobs, Hoffman and Stern has an accrued benefit under the Lazard Frères &amp; Co. LLC Employees’ Pension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Plan, a qualified defined-benefit pension plan, and Messrs. Hoffman and Stern have accrued additional benefits under a related supplemental defined-benefit pension plan. In each case, these benefits accrued prior to the applicable officer becoming a managing director of the Company. Benefit accruals under both of these plans were frozen for all participants effective January 31, 2005, and our named executive officers will not accrue any additional benefits. The annual benefit under such plans, payable as a single life annuity commencing at age 65, would be $6,447 for Mr. Jacobs, $18,845 for Mr. Hoffman and $12,421 for Mr. Stern. Under the terms of the supplemental defined-benefit pension plan, the benefits are payable only in a single lump-sum payment. Messrs. Bhutani, Bucaille and Castellano do not participate in these plans. For the value of the benefits accrued by Messrs. Jacobs, Hoffman and Stern under these plans as of December 31, 2011, </w:t>
      </w:r>
      <w:r>
        <w:rPr>
          <w:rFonts w:ascii="Arial" w:cs="Arial" w:eastAsia="Arial" w:hAnsi="Arial"/>
          <w:sz w:val="16"/>
          <w:szCs w:val="16"/>
          <w:i w:val="1"/>
          <w:iCs w:val="1"/>
          <w:color w:val="auto"/>
        </w:rPr>
        <w:t>see</w:t>
      </w:r>
      <w:r>
        <w:rPr>
          <w:rFonts w:ascii="Arial" w:cs="Arial" w:eastAsia="Arial" w:hAnsi="Arial"/>
          <w:sz w:val="16"/>
          <w:szCs w:val="16"/>
          <w:color w:val="auto"/>
        </w:rPr>
        <w:t xml:space="preserve"> “Pension Benefits” below.</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retention agreement with each of our named executive officers, other than Mr. Castellano, whose retention agreement expired upon his retirement on March 31, 2011, provides for certain severance benefits in the event of a termination of employment by the Company other than for “cause” or by the executive officer for “good reason” (we refer to these as a “qualifying termination”) prior to March 23, 2013. We provide for such severance payments on the condition that for specified periods the departed executive does not compete with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Company, solicit the Company’s clients or employees or take other actions that may harm the Company’s business. The level of the severance benefits depends on whether the qualifying termination occurs prior to or following a “change in control” of the Company, with qualifying terminations following a “change in control” generally triggering enhanced benefits. In the case of Mr. Bhutani, such enhanced benefits are triggered only in the event of a qualifying termination following a “change in control” pursuant to which we are acquired by an entity that has an asset management business. In addition, the retention agreement with each of our named executive officers, other than Mr. Bhutani (and Mr. Castellano, due to his retention agreement expiring upon his retirement on March 31, 2011), provides that, in the event that the executive officer’s receipt of any payment from the Company under the agreement or otherwise is subject to the excise tax imposed under Section 4999 of the Code, an additional payment will be made to restore the executive to the after-tax position that he would have been in if the excise tax had not been imposed. The events giving rise to a severance payment, as well as the amount of the payments under the retention agreements, were negotiated terms and based on common industry practice for agreements of this kind at the time they were negotiated. </w:t>
      </w:r>
      <w:r>
        <w:rPr>
          <w:rFonts w:ascii="Arial" w:cs="Arial" w:eastAsia="Arial" w:hAnsi="Arial"/>
          <w:sz w:val="16"/>
          <w:szCs w:val="16"/>
          <w:i w:val="1"/>
          <w:iCs w:val="1"/>
          <w:color w:val="auto"/>
        </w:rPr>
        <w:t>See</w:t>
      </w:r>
      <w:r>
        <w:rPr>
          <w:rFonts w:ascii="Arial" w:cs="Arial" w:eastAsia="Arial" w:hAnsi="Arial"/>
          <w:sz w:val="16"/>
          <w:szCs w:val="16"/>
          <w:color w:val="auto"/>
        </w:rPr>
        <w:t xml:space="preserve"> “Retention Agreements with Named Executive Officers—Payments and Benefits Upon Certain Terminations of Service”;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“Potential Payments Upon Termination or Change in Control” for an estimate of potential payouts under each scenario.</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general, unvested RSUs and Lazard Fund Interests are forfeited by our named executive officers upon termination of employment, except in limited cases such as death, disability, a termination by the Company other than for “cause” or a qualifying retirement pursuant to Lazard Ltd’s RSU Retirement Policy. </w:t>
      </w:r>
      <w:r>
        <w:rPr>
          <w:rFonts w:ascii="Arial" w:cs="Arial" w:eastAsia="Arial" w:hAnsi="Arial"/>
          <w:sz w:val="16"/>
          <w:szCs w:val="16"/>
          <w:i w:val="1"/>
          <w:iCs w:val="1"/>
          <w:color w:val="auto"/>
        </w:rPr>
        <w:t xml:space="preserve">See </w:t>
      </w:r>
      <w:r>
        <w:rPr>
          <w:rFonts w:ascii="Arial" w:cs="Arial" w:eastAsia="Arial" w:hAnsi="Arial"/>
          <w:sz w:val="16"/>
          <w:szCs w:val="16"/>
          <w:color w:val="auto"/>
        </w:rPr>
        <w:t>“RSU Retirement Policy.” In the event of a “change in control” of the Company, any unvested RSUs and Lazard Fund Interests will automatically vest.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way, our named executive officers can realize value from these awards in the same way as shareholders in connection with the change in control transaction, and thus encourage our named executive officers to consider and support transactions that might benefit shareholders.</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Mr. Castellano, who retired on March 31, 2011, had all of his prior RSU awards vest in 2010 pursuant to Lazard Ltd’s RSU Retirement Policy. The shares Mr. Castellano received upon the RSU vesting (less shares withheld to cover certain tax liabilities) remain subject to certain restrictions, including continued compliance with the non-compete, non-solicit and other provisions in the RSU agreements, which will remain in place until the originally scheduled vesting date of each underlying RSU award.</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u w:val="single" w:color="auto"/>
          <w:color w:val="auto"/>
        </w:rPr>
        <w:t>Consulting Arrangement with Mr. Castellano</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ensure a smooth transition in connection with Mr. Castellano’s retirement on March 31, 2011</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his ten years of service as our Chief Financial Officer, the Company determined that it would be beneficial for him to facilitate the transfer of his duties to Mr. Bucaille by providing post-employment consulting services for a period following his retirement. During 2011, he received a total of $875,000 in consideration for such services.</w:t>
      </w:r>
    </w:p>
    <w:p>
      <w:pPr>
        <w:spacing w:after="0" w:line="13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u w:val="single" w:color="auto"/>
          <w:color w:val="auto"/>
        </w:rPr>
        <w:t>Discontinuance of Excise Tax Gross-Ups.</w:t>
      </w:r>
      <w:r>
        <w:rPr>
          <w:rFonts w:ascii="Arial" w:cs="Arial" w:eastAsia="Arial" w:hAnsi="Arial"/>
          <w:sz w:val="16"/>
          <w:szCs w:val="16"/>
          <w:i w:val="1"/>
          <w:iCs w:val="1"/>
          <w:color w:val="auto"/>
        </w:rPr>
        <w:t xml:space="preserve"> </w:t>
      </w:r>
      <w:r>
        <w:rPr>
          <w:rFonts w:ascii="Arial" w:cs="Arial" w:eastAsia="Arial" w:hAnsi="Arial"/>
          <w:sz w:val="16"/>
          <w:szCs w:val="16"/>
          <w:color w:val="auto"/>
        </w:rPr>
        <w:t>Each retention agreement with our named executive officers, other than Mr. Bhutani (and Mr. Castellano, due to</w:t>
      </w:r>
      <w:r>
        <w:rPr>
          <w:rFonts w:ascii="Arial" w:cs="Arial" w:eastAsia="Arial" w:hAnsi="Arial"/>
          <w:sz w:val="16"/>
          <w:szCs w:val="16"/>
          <w:i w:val="1"/>
          <w:iCs w:val="1"/>
          <w:color w:val="auto"/>
        </w:rPr>
        <w:t xml:space="preserve"> </w:t>
      </w:r>
      <w:r>
        <w:rPr>
          <w:rFonts w:ascii="Arial" w:cs="Arial" w:eastAsia="Arial" w:hAnsi="Arial"/>
          <w:sz w:val="16"/>
          <w:szCs w:val="16"/>
          <w:color w:val="auto"/>
        </w:rPr>
        <w:t>his retention agreement expiring upon his retirement on March 31, 2011), currently provides that, in the event that the executive officer’s receipt of any payment made by us is subject to the excise tax imposed under Section 4999 of the Code, an additional payment will be made to restore the executive officer to the after-tax position that he would have been in if the excise tax had not been imposed. With input from Hay Group, the Compensation Committee determined in 2011 that, in recognition of evolving best practices, we do not intend to enter into any new arrangements that would provide for an excise tax gross-up. Consistent with such determination, as noted above, we entered into a new contract with Mr. Bhutani on August 2, 2011 that does not provide for an excise tax gross-up. Our retention agreements with Messrs. Jacobs, Bucaille, Hoffman and Stern are scheduled to expire on March 23, 2013, and we do not anticipate extending the excise tax gross-up currently provided in these retention agreements following such date.</w:t>
      </w:r>
    </w:p>
    <w:p>
      <w:pPr>
        <w:spacing w:after="0" w:line="10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u w:val="single" w:color="auto"/>
          <w:color w:val="auto"/>
        </w:rPr>
        <w:t>Risks Related to Compensation Policies</w:t>
      </w:r>
      <w:r>
        <w:rPr>
          <w:rFonts w:ascii="Arial" w:cs="Arial" w:eastAsia="Arial" w:hAnsi="Arial"/>
          <w:sz w:val="16"/>
          <w:szCs w:val="16"/>
          <w:i w:val="1"/>
          <w:iCs w:val="1"/>
          <w:color w:val="auto"/>
        </w:rPr>
        <w:t xml:space="preserve">. </w:t>
      </w:r>
      <w:r>
        <w:rPr>
          <w:rFonts w:ascii="Arial" w:cs="Arial" w:eastAsia="Arial" w:hAnsi="Arial"/>
          <w:sz w:val="16"/>
          <w:szCs w:val="16"/>
          <w:color w:val="auto"/>
        </w:rPr>
        <w:t>In keeping with our risk management framework, we consider risks not only in the abstract, but also risks that</w:t>
      </w:r>
      <w:r>
        <w:rPr>
          <w:rFonts w:ascii="Arial" w:cs="Arial" w:eastAsia="Arial" w:hAnsi="Arial"/>
          <w:sz w:val="16"/>
          <w:szCs w:val="16"/>
          <w:i w:val="1"/>
          <w:iCs w:val="1"/>
          <w:color w:val="auto"/>
        </w:rPr>
        <w:t xml:space="preserve"> </w:t>
      </w:r>
      <w:r>
        <w:rPr>
          <w:rFonts w:ascii="Arial" w:cs="Arial" w:eastAsia="Arial" w:hAnsi="Arial"/>
          <w:sz w:val="16"/>
          <w:szCs w:val="16"/>
          <w:color w:val="auto"/>
        </w:rPr>
        <w:t>might hinder the achievement of a particular objective. We have identified two primary risks relating to compensation: that compensation will be insufficient to retain talent and that compensation strategies might result in unintended incentives. To combat the first risk, as noted above,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compensation of employees throughout the Company is reviewed against comparative compensation data, permitting us to set compensation levels that we believe contribute to low rates of employee attrition. Further, long-term incentive compensation (including RSUs and Lazard Fund Interests) awarded to our named executive officers, managing directors and other senior professionals are subject to vesting over two- or three-year periods. We believe both the levels of compensation and the structure of the RSU awards and Lazard Fund Interest awards have had the effect of retaining key personnel.</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With respect to the second risk, our Company-wide year-end discretionary compensation program is designed to reflect the performance of the Company, the performance of the division in which the employee works and the performance of the individual employee, and is designed to discourage excessive risk taking. For example, paying a significant portion of our year-end compensation in the form of long-term incentive compensation (including RSUs and Lazard Fund Interests) makes or will make each of our named executive officers, managing directors and other senior professionals sensitive to long-term risk outcomes, as the value of their awards increase or decrease with the price of Lazard Ltd’s common stock and, in the case of holders of Lazard Fund Interests, the performance of funds managed by our Asset Management group. Further, performance criteria for some of the Asset Management executives now include Company-wide risk management practices (some relating to mitigating certain of Asset Management’s key risks, and some relating to oversight of the “ordinary course” risks to which our Asset Management business is subject). We believe these criteria will provide our employees additional incentives to prudently manage the wide range of risks inherent in the Company’s business. We are not aware of any employee behavior motivated by our compensation policies and practices that creates increased risks for shareholders or our clients.</w:t>
      </w:r>
    </w:p>
    <w:p>
      <w:pPr>
        <w:spacing w:after="0" w:line="10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the foregoing, we do not believe that our compensation policies and practices create risks that are reasonably likely to have a material adverse effect on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8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Our compensation program is designed to permit the Company to provide our named executive officers, managing directors and other senior professionals with total compensation that is linked to our performance and reinforces the alignment of executive officer, employee and shareholder interests. At the same time, it is intended to provide us with sufficient flexibility to assure that such compensation is appropriate to attract and retain employees who are vital to the continued success of the Company and to drive outstanding individual and institutional performance. We believe the program met these objectives in 2011.</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Compensation Committee of Lazard Ltd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Annual Report on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Steven J. Heyer (Chair), Sylvia Jay and Michael J. Turner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164"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following table contains information with respect to our Chief Executive Officer, current Chief Financial Officer (effective April 1, 2011), former Chief Financial Officer (who retired March 31, 2011) and the three other most highly compensated executive officers. These officers are collectively referred to as the “named executive officers.” We believe that the better way to view this information is as set forth under “Compensation Discussion and Analysis— Compensation for Each of Our Named Executive Officers in 2011,” as the information set forth below (i) includes in 2011 compensation RSUs that relate to 2010 performance, which were awarded on February 10, 2011 and, in the case of Mr. Bhutani, Lazard Fund Interests which were awarded on February 10, 2011, and does not include in 2011 compensation RSUs and Lazard Fund Interests that relate to 2011 performance, which were awarded on February 10, 2012, and</w:t>
      </w:r>
    </w:p>
    <w:p>
      <w:pPr>
        <w:spacing w:after="0" w:line="1" w:lineRule="exact"/>
        <w:rPr>
          <w:sz w:val="20"/>
          <w:szCs w:val="20"/>
          <w:color w:val="auto"/>
        </w:rPr>
      </w:pPr>
    </w:p>
    <w:p>
      <w:pPr>
        <w:ind w:right="160" w:firstLine="8"/>
        <w:spacing w:after="0" w:line="295" w:lineRule="auto"/>
        <w:tabs>
          <w:tab w:leader="none" w:pos="25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in 2011 compensation the full grant date value of the special, long-term retention award of 71,085 RSUs granted to Mr. Bucaille on March 25, 2011 with a grant date value of $3.1 million that are scheduled to vest in full on March 1, 2019. The information (i) with respect to 2010 and 2009 compensation includes RSUs granted in the relevant calendar year, which relates to the previous year’s performance, and does not include RSUs granted with respect to the relevant calendar year’s performance and (ii) with respect to 2009 includes deferred cash awards that related to 2008 performance.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Change 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Pension Value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Deferred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8"/>
              </w:rPr>
              <w:t>Name and Principal Position</w:t>
            </w:r>
          </w:p>
        </w:tc>
        <w:tc>
          <w:tcPr>
            <w:tcW w:w="6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Stock</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4"/>
                <w:szCs w:val="14"/>
                <w:color w:val="auto"/>
              </w:rPr>
            </w:pPr>
          </w:p>
        </w:tc>
        <w:tc>
          <w:tcPr>
            <w:tcW w:w="106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4"/>
                <w:szCs w:val="14"/>
                <w:color w:val="auto"/>
              </w:rPr>
            </w:pPr>
          </w:p>
        </w:tc>
        <w:tc>
          <w:tcPr>
            <w:tcW w:w="122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w w:val="98"/>
              </w:rPr>
              <w:t>Awards</w:t>
            </w:r>
          </w:p>
        </w:tc>
        <w:tc>
          <w:tcPr>
            <w:tcW w:w="100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Earnings (c)</w:t>
            </w:r>
          </w:p>
        </w:tc>
        <w:tc>
          <w:tcPr>
            <w:tcW w:w="180" w:type="dxa"/>
            <w:vAlign w:val="bottom"/>
          </w:tcPr>
          <w:p>
            <w:pPr>
              <w:spacing w:after="0"/>
              <w:rPr>
                <w:sz w:val="14"/>
                <w:szCs w:val="14"/>
                <w:color w:val="auto"/>
              </w:rPr>
            </w:pP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 (d)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2011</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2"/>
              </w:rPr>
              <w:t>900,000</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2,680,000</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8,800,000(b)</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10,318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31,686</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12,422,004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Chairman and Chief</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3,750,000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9,812,236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1,427,885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6,222,115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2,300,000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458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193,561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10,144,019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940" w:type="dxa"/>
            <w:vAlign w:val="bottom"/>
            <w:gridSpan w:val="4"/>
          </w:tcPr>
          <w:p>
            <w:pPr>
              <w:spacing w:after="0"/>
              <w:rPr>
                <w:sz w:val="20"/>
                <w:szCs w:val="20"/>
                <w:color w:val="auto"/>
              </w:rPr>
            </w:pPr>
            <w:r>
              <w:rPr>
                <w:rFonts w:ascii="Arial" w:cs="Arial" w:eastAsia="Arial" w:hAnsi="Arial"/>
                <w:sz w:val="18"/>
                <w:szCs w:val="18"/>
                <w:color w:val="auto"/>
              </w:rPr>
              <w:t>Matthieu Bucaille</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w w:val="79"/>
              </w:rPr>
              <w:t>2011</w:t>
            </w:r>
          </w:p>
        </w:tc>
        <w:tc>
          <w:tcPr>
            <w:tcW w:w="3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750,000(a)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617,500</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5,052,500(b)</w:t>
            </w:r>
          </w:p>
        </w:tc>
        <w:tc>
          <w:tcPr>
            <w:tcW w:w="10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692,316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7,112,316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i w:val="1"/>
                <w:iCs w:val="1"/>
                <w:color w:val="auto"/>
              </w:rPr>
              <w:t>Chief Financial Officer</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rPr>
                <w:sz w:val="20"/>
                <w:szCs w:val="20"/>
                <w:color w:val="auto"/>
              </w:rPr>
            </w:pPr>
            <w:r>
              <w:rPr>
                <w:rFonts w:ascii="Arial" w:cs="Arial" w:eastAsia="Arial" w:hAnsi="Arial"/>
                <w:sz w:val="18"/>
                <w:szCs w:val="18"/>
                <w:i w:val="1"/>
                <w:iCs w:val="1"/>
                <w:color w:val="auto"/>
              </w:rPr>
              <w:t>(Effective April 1, 2011)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Castellano</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2011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890,745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1,230,745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Chief Financial Officer</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1,050,000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3,609,997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(Until March 31, 2011)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645,000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3,107,443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940" w:type="dxa"/>
            <w:vAlign w:val="bottom"/>
            <w:gridSpan w:val="4"/>
          </w:tcPr>
          <w:p>
            <w:pPr>
              <w:spacing w:after="0"/>
              <w:rPr>
                <w:sz w:val="20"/>
                <w:szCs w:val="20"/>
                <w:color w:val="auto"/>
              </w:rPr>
            </w:pPr>
            <w:r>
              <w:rPr>
                <w:rFonts w:ascii="Arial" w:cs="Arial" w:eastAsia="Arial" w:hAnsi="Arial"/>
                <w:sz w:val="18"/>
                <w:szCs w:val="18"/>
                <w:color w:val="auto"/>
              </w:rPr>
              <w:t>Ashish Bhutani</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w w:val="79"/>
              </w:rPr>
              <w:t>2011</w:t>
            </w:r>
          </w:p>
        </w:tc>
        <w:tc>
          <w:tcPr>
            <w:tcW w:w="3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750,000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4,200,000(e)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7,000,000(b)</w:t>
            </w:r>
          </w:p>
        </w:tc>
        <w:tc>
          <w:tcPr>
            <w:tcW w:w="10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12,734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11,962,734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i w:val="1"/>
                <w:iCs w:val="1"/>
                <w:color w:val="auto"/>
              </w:rPr>
              <w:t>Chief Executive Officer</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2010</w:t>
            </w: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750,000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6,250,000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4,987,500</w:t>
            </w: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40,418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12,027,918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i w:val="1"/>
                <w:iCs w:val="1"/>
                <w:color w:val="auto"/>
              </w:rPr>
              <w:t>Lazard Asset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rPr>
                <w:sz w:val="20"/>
                <w:szCs w:val="20"/>
                <w:color w:val="auto"/>
              </w:rPr>
            </w:pPr>
            <w:r>
              <w:rPr>
                <w:rFonts w:ascii="Arial" w:cs="Arial" w:eastAsia="Arial" w:hAnsi="Arial"/>
                <w:sz w:val="18"/>
                <w:szCs w:val="18"/>
                <w:i w:val="1"/>
                <w:iCs w:val="1"/>
                <w:color w:val="auto"/>
              </w:rPr>
              <w:t>Management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2011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2,250,000(b)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28,398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3,868,546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General Counsel</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1,652,500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3,948,589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2,642,500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444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4,174,992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940" w:type="dxa"/>
            <w:vAlign w:val="bottom"/>
            <w:gridSpan w:val="4"/>
          </w:tcPr>
          <w:p>
            <w:pPr>
              <w:spacing w:after="0"/>
              <w:rPr>
                <w:sz w:val="20"/>
                <w:szCs w:val="20"/>
                <w:color w:val="auto"/>
              </w:rPr>
            </w:pPr>
            <w:r>
              <w:rPr>
                <w:rFonts w:ascii="Arial" w:cs="Arial" w:eastAsia="Arial" w:hAnsi="Arial"/>
                <w:sz w:val="18"/>
                <w:szCs w:val="18"/>
                <w:color w:val="auto"/>
              </w:rPr>
              <w:t>Alexander F. Stern</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w w:val="79"/>
              </w:rPr>
              <w:t>2011</w:t>
            </w:r>
          </w:p>
        </w:tc>
        <w:tc>
          <w:tcPr>
            <w:tcW w:w="3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750,000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1,192,500</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3,250,000(b)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17,376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13,789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5,223,665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i w:val="1"/>
                <w:iCs w:val="1"/>
                <w:color w:val="auto"/>
              </w:rPr>
              <w:t>Chief Operating</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2010</w:t>
            </w: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750,000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2,500,000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1,652,500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6,940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22,896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4,932,336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rPr>
                <w:sz w:val="20"/>
                <w:szCs w:val="20"/>
                <w:color w:val="auto"/>
              </w:rPr>
            </w:pPr>
            <w:r>
              <w:rPr>
                <w:rFonts w:ascii="Arial" w:cs="Arial" w:eastAsia="Arial" w:hAnsi="Arial"/>
                <w:sz w:val="18"/>
                <w:szCs w:val="18"/>
                <w:i w:val="1"/>
                <w:iCs w:val="1"/>
                <w:color w:val="auto"/>
              </w:rPr>
              <w:t>Officer</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2009</w:t>
            </w:r>
          </w:p>
        </w:tc>
        <w:tc>
          <w:tcPr>
            <w:tcW w:w="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750,000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2,272,500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825,000</w:t>
            </w:r>
          </w:p>
        </w:tc>
        <w:tc>
          <w:tcPr>
            <w:tcW w:w="100" w:type="dxa"/>
            <w:vAlign w:val="bottom"/>
          </w:tcPr>
          <w:p>
            <w:pPr>
              <w:spacing w:after="0"/>
              <w:rPr>
                <w:sz w:val="19"/>
                <w:szCs w:val="19"/>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63,730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3,911,230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2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Bucaille received a total of $364,320 of such compensation in euros (€276,000), which were converted to U.S. dollars for purposes of this table at an exchange rate of $1.32 to €1.00.</w:t>
      </w:r>
    </w:p>
    <w:p>
      <w:pPr>
        <w:spacing w:after="0" w:line="37" w:lineRule="exact"/>
        <w:rPr>
          <w:rFonts w:ascii="Arial" w:cs="Arial" w:eastAsia="Arial" w:hAnsi="Arial"/>
          <w:sz w:val="18"/>
          <w:szCs w:val="18"/>
          <w:color w:val="auto"/>
        </w:rPr>
      </w:pPr>
    </w:p>
    <w:p>
      <w:pPr>
        <w:ind w:left="460" w:right="340" w:hanging="452"/>
        <w:spacing w:after="0" w:line="306"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RSUs granted to each of our named executive officers during fiscal year 2011 that relate to 2010 performance. In addition, for Mr. Bucaille, represents a special long-term retention award granted in 2011 in recognition of his new duties as Chief Financial Officer and to ensure his long term dedication to the Company, consisting of RSUs valued at $3.1 million that are scheduled to vest in full on March 1, 2019.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 xml:space="preserve">Represents for Mr. Bhutani both RSUs valued at $5,175,000 as well as an award of equity interests in Lazard managed funds consisting of Lazard Fund Interests valued at $1,825,000 granted in lieu of RSUs, in each case granted during fiscal year 2011 that relate to 2010 performance. As required under SEC rules for compensation disclosure in proxy statements, the value of the RSUs and Lazard Fund Interests reported in the Summary Compensation Table is based on the grant date fair value of awards in the fiscal year actually granted (rather than in the year to which the executive’s performance relates) and, in the case of RSUs, is computed in accordance with FASB ASC Topic 718, and in the case of Lazard Fund Interests, is computed based on the fair market value of the interests in the Lazard managed funds as of the date that the applicable Lazard Fund Interests were awarded to Mr. Bhutani.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16 of Notes to the Consolidated Financial Statements contained in this Annual Report on Form 10-K for a discussion of the assumptions used in the valuation of the RSUs.</w:t>
      </w:r>
    </w:p>
    <w:p>
      <w:pPr>
        <w:spacing w:after="0" w:line="24" w:lineRule="exact"/>
        <w:rPr>
          <w:sz w:val="20"/>
          <w:szCs w:val="20"/>
          <w:color w:val="auto"/>
        </w:rPr>
      </w:pPr>
    </w:p>
    <w:p>
      <w:pPr>
        <w:ind w:left="460" w:right="460" w:hanging="452"/>
        <w:spacing w:after="0" w:line="325"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the aggregate change in actuarial present value of the listed officer’s accumulated benefit under the Lazard Frères &amp; Co. LLC Employees’ Pension Plan and, in the case of Messrs. Hoffman and Stern, a related supplemental defined-benefit pension plan.</w:t>
      </w:r>
    </w:p>
    <w:p>
      <w:pPr>
        <w:spacing w:after="0" w:line="1" w:lineRule="exact"/>
        <w:rPr>
          <w:rFonts w:ascii="Arial" w:cs="Arial" w:eastAsia="Arial" w:hAnsi="Arial"/>
          <w:sz w:val="16"/>
          <w:szCs w:val="16"/>
          <w:color w:val="auto"/>
        </w:rPr>
      </w:pPr>
    </w:p>
    <w:p>
      <w:pPr>
        <w:ind w:left="460" w:right="140" w:hanging="452"/>
        <w:spacing w:after="0" w:line="253"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(i) payment of health insurance premiums in the amount of $10,447 for Mr. Jacobs, $11,886 for Mr. Bucaille and $8,859 for each of Messrs. Bhutani and Hoffman; (ii) life and long-term disability insurance premiums in the amount of $3,675 for Mr. Jacobs, $16,873 for Mr. Bucaille, $941 for Mr. Castellano, $2,867 for Mr. Bhutani and $3,675 for each of Messrs. Hoffman and Stern; (iii) excess liability insurance premiums in the amount of $1,008 for each named executive officer; (iv) tax preparation services in the amount of $16,556 for Mr. Jacobs, $20,694 for Mr. Bucaille, $13,796 for Mr. Castellano, and $9,106 for each of Messrs. Hoffman and Stern; (v) for Mr. Bucaille, a housing reimbursement of $155,000 (together with a related tax gross-up of $118,622) and tuition reimbursement of $208,595 (together with a related tax gross-up of $159,638); and (vi) $875,000 in post-employment consulting fees to Mr. Castellano.</w:t>
      </w:r>
    </w:p>
    <w:p>
      <w:pPr>
        <w:spacing w:after="0" w:line="52"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an award of $990,000 that is considered a deferred cash award and will not be payable until May 2012, contingent upon Mr. Bhutani’s continued employment until the payment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The following table provides information about RSUs granted to each of our named executive officers (other than Mr. Castellano, who instead received a grant of restricted stock in lieu of a grant of RSUs) during fiscal year 2011 which relate to 2010 performance and, for Mr. Bhutani, Lazard Fund Interests granted during fiscal year 2011 which relate to 2010 performance and, for Mr. Bucaille, RSUs granted during fiscal year 2011 in recognition of his new duties as Chief Financial Officer and to ensure his long term dedication to the Company. For information on the grant date fair value of RSU and Lazard Fund Interest awards made to each of our named executive officers during fiscal year 2012, which relate to 2011 performance, </w:t>
      </w:r>
      <w:r>
        <w:rPr>
          <w:rFonts w:ascii="Arial" w:cs="Arial" w:eastAsia="Arial" w:hAnsi="Arial"/>
          <w:sz w:val="16"/>
          <w:szCs w:val="16"/>
          <w:i w:val="1"/>
          <w:iCs w:val="1"/>
          <w:color w:val="auto"/>
        </w:rPr>
        <w:t>see</w:t>
      </w:r>
      <w:r>
        <w:rPr>
          <w:rFonts w:ascii="Arial" w:cs="Arial" w:eastAsia="Arial" w:hAnsi="Arial"/>
          <w:sz w:val="16"/>
          <w:szCs w:val="16"/>
          <w:color w:val="auto"/>
        </w:rPr>
        <w:t xml:space="preserve"> “Compensation Discussion and Analysis— Compensation For Each of Our Named Executive Officers in 2011.”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Number of</w:t>
            </w: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Grant Date Fair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Value of</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Stock</w:t>
            </w: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Restricted Stock</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5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Named Executive Officer</w:t>
            </w:r>
          </w:p>
        </w:tc>
        <w:tc>
          <w:tcPr>
            <w:tcW w:w="19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Units/Restricted</w:t>
            </w: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Units/Restricted</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Lazard Fund</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ind w:left="380"/>
              <w:spacing w:after="0" w:line="148" w:lineRule="exact"/>
              <w:rPr>
                <w:sz w:val="20"/>
                <w:szCs w:val="20"/>
                <w:color w:val="auto"/>
              </w:rPr>
            </w:pPr>
            <w:r>
              <w:rPr>
                <w:rFonts w:ascii="Arial" w:cs="Arial" w:eastAsia="Arial" w:hAnsi="Arial"/>
                <w:sz w:val="14"/>
                <w:szCs w:val="14"/>
                <w:b w:val="1"/>
                <w:bCs w:val="1"/>
                <w:color w:val="auto"/>
              </w:rPr>
              <w:t>Grant Date</w:t>
            </w:r>
          </w:p>
        </w:tc>
        <w:tc>
          <w:tcPr>
            <w:tcW w:w="14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9"/>
              </w:rPr>
              <w:t>Stock</w:t>
            </w:r>
          </w:p>
        </w:tc>
        <w:tc>
          <w:tcPr>
            <w:tcW w:w="14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3"/>
              </w:rPr>
              <w:t>Stock</w:t>
            </w: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3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6"/>
              </w:rPr>
              <w:t>February 10, 2011</w:t>
            </w:r>
          </w:p>
        </w:tc>
        <w:tc>
          <w:tcPr>
            <w:tcW w:w="4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195,295</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$8,800,000</w:t>
            </w:r>
          </w:p>
        </w:tc>
        <w:tc>
          <w:tcPr>
            <w:tcW w:w="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60" w:type="dxa"/>
            <w:vAlign w:val="bottom"/>
            <w:gridSpan w:val="3"/>
          </w:tcPr>
          <w:p>
            <w:pPr>
              <w:spacing w:after="0"/>
              <w:rPr>
                <w:sz w:val="20"/>
                <w:szCs w:val="20"/>
                <w:color w:val="auto"/>
              </w:rPr>
            </w:pPr>
            <w:r>
              <w:rPr>
                <w:rFonts w:ascii="Arial" w:cs="Arial" w:eastAsia="Arial" w:hAnsi="Arial"/>
                <w:sz w:val="18"/>
                <w:szCs w:val="18"/>
                <w:color w:val="auto"/>
              </w:rPr>
              <w:t>Matthieu Bucaille</w:t>
            </w:r>
          </w:p>
        </w:tc>
        <w:tc>
          <w:tcPr>
            <w:tcW w:w="34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February 10, 2011</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43,331</w:t>
            </w:r>
          </w:p>
        </w:tc>
        <w:tc>
          <w:tcPr>
            <w:tcW w:w="1040" w:type="dxa"/>
            <w:vAlign w:val="bottom"/>
          </w:tcPr>
          <w:p>
            <w:pPr>
              <w:jc w:val="right"/>
              <w:spacing w:after="0"/>
              <w:rPr>
                <w:sz w:val="20"/>
                <w:szCs w:val="20"/>
                <w:color w:val="auto"/>
              </w:rPr>
            </w:pPr>
            <w:r>
              <w:rPr>
                <w:rFonts w:ascii="Arial" w:cs="Arial" w:eastAsia="Arial" w:hAnsi="Arial"/>
                <w:sz w:val="18"/>
                <w:szCs w:val="18"/>
                <w:color w:val="auto"/>
              </w:rPr>
              <w:t>$1,952,500</w:t>
            </w:r>
          </w:p>
        </w:tc>
        <w:tc>
          <w:tcPr>
            <w:tcW w:w="420" w:type="dxa"/>
            <w:vAlign w:val="bottom"/>
          </w:tcPr>
          <w:p>
            <w:pPr>
              <w:spacing w:after="0"/>
              <w:rPr>
                <w:sz w:val="18"/>
                <w:szCs w:val="18"/>
                <w:color w:val="auto"/>
              </w:rPr>
            </w:pPr>
          </w:p>
        </w:tc>
        <w:tc>
          <w:tcPr>
            <w:tcW w:w="102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4"/>
        </w:trPr>
        <w:tc>
          <w:tcPr>
            <w:tcW w:w="19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40" w:type="dxa"/>
            <w:vAlign w:val="bottom"/>
            <w:gridSpan w:val="2"/>
            <w:vMerge w:val="restart"/>
          </w:tcPr>
          <w:p>
            <w:pPr>
              <w:ind w:left="60"/>
              <w:spacing w:after="0"/>
              <w:rPr>
                <w:sz w:val="20"/>
                <w:szCs w:val="20"/>
                <w:color w:val="auto"/>
              </w:rPr>
            </w:pPr>
            <w:r>
              <w:rPr>
                <w:rFonts w:ascii="Arial" w:cs="Arial" w:eastAsia="Arial" w:hAnsi="Arial"/>
                <w:sz w:val="18"/>
                <w:szCs w:val="18"/>
                <w:color w:val="auto"/>
              </w:rPr>
              <w:t>March 25, 2011</w:t>
            </w:r>
          </w:p>
        </w:tc>
        <w:tc>
          <w:tcPr>
            <w:tcW w:w="14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71,085</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$3,100,000</w:t>
            </w:r>
          </w:p>
        </w:tc>
        <w:tc>
          <w:tcPr>
            <w:tcW w:w="4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Castellano</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10, 2011</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4,771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Ashish Bhutani</w:t>
            </w:r>
          </w:p>
        </w:tc>
        <w:tc>
          <w:tcPr>
            <w:tcW w:w="34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February 10, 2011</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114,847</w:t>
            </w:r>
          </w:p>
        </w:tc>
        <w:tc>
          <w:tcPr>
            <w:tcW w:w="1040" w:type="dxa"/>
            <w:vAlign w:val="bottom"/>
          </w:tcPr>
          <w:p>
            <w:pPr>
              <w:jc w:val="right"/>
              <w:spacing w:after="0"/>
              <w:rPr>
                <w:sz w:val="20"/>
                <w:szCs w:val="20"/>
                <w:color w:val="auto"/>
              </w:rPr>
            </w:pPr>
            <w:r>
              <w:rPr>
                <w:rFonts w:ascii="Arial" w:cs="Arial" w:eastAsia="Arial" w:hAnsi="Arial"/>
                <w:sz w:val="18"/>
                <w:szCs w:val="18"/>
                <w:color w:val="auto"/>
              </w:rPr>
              <w:t>$5,175,000</w:t>
            </w:r>
          </w:p>
        </w:tc>
        <w:tc>
          <w:tcPr>
            <w:tcW w:w="4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w w:val="97"/>
              </w:rPr>
              <w:t>$1,825,000</w:t>
            </w: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10, 2011</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49,933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60" w:type="dxa"/>
            <w:vAlign w:val="bottom"/>
            <w:gridSpan w:val="3"/>
          </w:tcPr>
          <w:p>
            <w:pPr>
              <w:spacing w:after="0"/>
              <w:rPr>
                <w:sz w:val="20"/>
                <w:szCs w:val="20"/>
                <w:color w:val="auto"/>
              </w:rPr>
            </w:pPr>
            <w:r>
              <w:rPr>
                <w:rFonts w:ascii="Arial" w:cs="Arial" w:eastAsia="Arial" w:hAnsi="Arial"/>
                <w:sz w:val="18"/>
                <w:szCs w:val="18"/>
                <w:color w:val="auto"/>
              </w:rPr>
              <w:t>Alexander F. Stern</w:t>
            </w:r>
          </w:p>
        </w:tc>
        <w:tc>
          <w:tcPr>
            <w:tcW w:w="34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February 10, 2011</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72,126</w:t>
            </w:r>
          </w:p>
        </w:tc>
        <w:tc>
          <w:tcPr>
            <w:tcW w:w="1040" w:type="dxa"/>
            <w:vAlign w:val="bottom"/>
          </w:tcPr>
          <w:p>
            <w:pPr>
              <w:jc w:val="right"/>
              <w:spacing w:after="0"/>
              <w:rPr>
                <w:sz w:val="20"/>
                <w:szCs w:val="20"/>
                <w:color w:val="auto"/>
              </w:rPr>
            </w:pPr>
            <w:r>
              <w:rPr>
                <w:rFonts w:ascii="Arial" w:cs="Arial" w:eastAsia="Arial" w:hAnsi="Arial"/>
                <w:sz w:val="18"/>
                <w:szCs w:val="18"/>
                <w:color w:val="auto"/>
              </w:rPr>
              <w:t>$3,250,000</w:t>
            </w:r>
          </w:p>
        </w:tc>
        <w:tc>
          <w:tcPr>
            <w:tcW w:w="42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RSUs included in the table above represent a contingent right to receive an equivalent number of shares of Lazard Ltd Class A common stock. The RSUs and restricted stock shown in the table that were granted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February 10, 2011 were valued by multiplying the number of RSUs and restricted stock awarded to each named executive officer by the closing price-per-share of Lazard Ltd Class A common stock on the NYSE on the five trading days prior to February 10, 2011 ($45.06). The RSUs granted on February 10, 2011 to each of our named executive officers relate to 2010 performance and will vest as follows: one-third on March 1, 2013 and two-thirds on March 3, 2014. The special RSU retention award granted to Mr. Bucaille on March 25, 2011 will vest in full on March 1, 2019. The RSUs granted to Mr. Bucaille on March 25, 2011 were valued at the closing price-per-share of Lazard Ltd Class A common stock on the NYSE on March 25, 2011 ($43.61). Each of our named executive officers signed an RSU agreement in connection with his award. In general, these agreements provide that non-vested RSUs are forfeited on termination of employment, except in limited cases such as death, disability, a termination by the Company other than for “cause” or a qualifying retirement pursuant to Lazard Ltd’s RSU Retirement Policy. </w:t>
      </w:r>
      <w:r>
        <w:rPr>
          <w:rFonts w:ascii="Arial" w:cs="Arial" w:eastAsia="Arial" w:hAnsi="Arial"/>
          <w:sz w:val="16"/>
          <w:szCs w:val="16"/>
          <w:i w:val="1"/>
          <w:iCs w:val="1"/>
          <w:color w:val="auto"/>
        </w:rPr>
        <w:t>See</w:t>
      </w:r>
      <w:r>
        <w:rPr>
          <w:rFonts w:ascii="Arial" w:cs="Arial" w:eastAsia="Arial" w:hAnsi="Arial"/>
          <w:sz w:val="16"/>
          <w:szCs w:val="16"/>
          <w:color w:val="auto"/>
        </w:rPr>
        <w:t xml:space="preserve"> “RSU Retirement Policy.” In the event of a change in control, any unvested but outstanding RSUs automatically will vest. All RSUs receive dividend equivalents at the same rate that dividends are paid on shares of Class A common stock. These dividend equivalents are credited in the form of additional RSUs with the same restrictions as the underlying RSUs to which they relate. In addition, the RSU agreements contain standard covenants including, among others, noncompetition and nonsolicitation of our clients and employees.</w:t>
      </w:r>
    </w:p>
    <w:p>
      <w:pPr>
        <w:spacing w:after="0" w:line="11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The Lazard Fund Interests included in the table above represent interests in certain Lazard investment funds, granted to eligible employees in Lazard’s Asset Management business. Pursuant to the terms of these awards, a portion of a participant’s incentive compensation is invested in funds managed by either LAM or LFG. The dollar value of the portion of Mr. Bhutani’s incentive compensation that is invested in such funds is included in the table above. The Lazard Fund Interests granted on February 10, 2011 to Mr. Bhutani relate to 2010 performance and will vest as follows: one-third on March 1, 2013 and two-thirds on March 3, 2014. Mr. Bhutani signed a Lazard Fund Interest award agreement in connection with his award, which provides that non-vested Lazard Fund Interests are forfeited on termination of employment, except in limited cases such as death, disability, a termination by the Company other than for “cause” or a qualifying retirement pursuant to Lazard Ltd’s RSU Retirement Policy. </w:t>
      </w:r>
      <w:r>
        <w:rPr>
          <w:rFonts w:ascii="Arial" w:cs="Arial" w:eastAsia="Arial" w:hAnsi="Arial"/>
          <w:sz w:val="16"/>
          <w:szCs w:val="16"/>
          <w:i w:val="1"/>
          <w:iCs w:val="1"/>
          <w:color w:val="auto"/>
        </w:rPr>
        <w:t>See</w:t>
      </w:r>
      <w:r>
        <w:rPr>
          <w:rFonts w:ascii="Arial" w:cs="Arial" w:eastAsia="Arial" w:hAnsi="Arial"/>
          <w:sz w:val="16"/>
          <w:szCs w:val="16"/>
          <w:color w:val="auto"/>
        </w:rPr>
        <w:t xml:space="preserve"> “RSU Retirement Policy.” In the event of a change in control, any unvested Lazard Fund Interests automatically will vest. In the event the investment funds in which the Lazard Fund Interests are invested distribute earnings, such earnings are automatically reinvested in additional Lazard Fund Interests, with the same restrictions as the underlying Lazard Fund Interests to which they relate. In addition, Mr. Bhutani’s Lazard Fund Interest award agreement contains standard covenants including, among others, noncompetition and nonsolicitation of our clients and employees.</w:t>
      </w:r>
    </w:p>
    <w:p>
      <w:pPr>
        <w:spacing w:after="0" w:line="114"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i w:val="1"/>
          <w:iCs w:val="1"/>
          <w:u w:val="single" w:color="auto"/>
          <w:color w:val="auto"/>
        </w:rPr>
        <w:t>RSU Retirement Policy.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RSU Retirement Policy, outstanding and unvested RSUs will vest (and in the case of K-1 partners, RSUs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settled in restricted stock) as long as (i) the holder is at least 56 years old, (ii) the holder has completed at least five years of service with the Company and</w:t>
      </w:r>
    </w:p>
    <w:p>
      <w:pPr>
        <w:ind w:firstLine="8"/>
        <w:spacing w:after="0" w:line="288" w:lineRule="auto"/>
        <w:tabs>
          <w:tab w:leader="none" w:pos="307"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sum of the holder’s actual age and years of service is at least 70. However, following retirement, the restricted stock granted to the former RSU holders remain subject to all restrictive covenants, including continued compliance with non-compete, non-solicit and other provisions contained in the original RSU award agreement through the original vesting date of the RSUs. Any dividends payable with respect to the restricted stock are held in escrow until the forfeiture provisions lapse. A recipient of restricted stock is required to make an election under Section 83(b) of the Internal Revenue Code, which subjects him or her to taxation on such restricted stock on the date of grant. With the consent of the compliance department of the Company, a recipient may dispose of up to 50% of the restricted stock granted to him or her to pay such taxes. The RSU Retirement Policy is applicable to the Lazard Fund Interests as well, as provided by the terms of the Lazard Fund Interests award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To align employee and shareholder interests, Lazard Ltd adopted the 2005 Bonus Plan for purposes of determining annual bonuses for our senior executives. The Compensation Committee has full direct responsibility and authority for determining our Chief Executive Officer’s compensation under the plan. In 2011, the Compensation Committee reviewed and approved the compensation of our named executive officers under the plan.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Amounts payable under the plan are allocated from a bonus pool. The actual size of the bonus pool is determined at the end of each fiscal year, taking into account the results of our operations, total shareholder return and/or other measures of our financial performance or of the financial performance of one or more of our subsidiaries or divisions, as well as competitive compensation practices in the financial services industry. A target maximum ratio of aggregate compensation and benefits expense for the year (including annual incentive payments under the plan) to annual revenue or income (or to similar measures of corporate profitability) may also be taken into account. The bonus pool is allocated among the participants in the plan with respect to each fiscal year. This allocation may be made at any time prior to payment of bonuses for such year and may take into account any factors deemed appropriate, including, without limitation, assessments of individual, subsidiary or division performance and input of management.</w:t>
      </w:r>
    </w:p>
    <w:p>
      <w:pPr>
        <w:spacing w:after="0" w:line="105" w:lineRule="exact"/>
        <w:rPr>
          <w:sz w:val="20"/>
          <w:szCs w:val="20"/>
          <w:color w:val="auto"/>
        </w:rPr>
      </w:pPr>
    </w:p>
    <w:p>
      <w:pPr>
        <w:ind w:right="1000" w:firstLine="456"/>
        <w:spacing w:after="0" w:line="370" w:lineRule="auto"/>
        <w:rPr>
          <w:sz w:val="20"/>
          <w:szCs w:val="20"/>
          <w:color w:val="auto"/>
        </w:rPr>
      </w:pPr>
      <w:r>
        <w:rPr>
          <w:rFonts w:ascii="Arial" w:cs="Arial" w:eastAsia="Arial" w:hAnsi="Arial"/>
          <w:sz w:val="15"/>
          <w:szCs w:val="15"/>
          <w:color w:val="auto"/>
        </w:rPr>
        <w:t>Amounts payable with respect to bonuses may be satisfied in cash, through equity awards granted under either the Lazard Ltd 2008 Incentive Compensation Plan (the “2008 Plan”) or the Lazard Ltd 2005 Equity Incentive Plan (the “2005 Plan”) or through Lazard Fund Interest awards.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Agreements with Named Executive Officers</w:t>
      </w:r>
    </w:p>
    <w:p>
      <w:pPr>
        <w:spacing w:after="0" w:line="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Each of our named executive officers has entered into a retention agreement with the Company. Generally, the provision of services under the retention agreements is terminable by either party upon three months’ notice, and the agreements also contain the terms and conditions set forth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Retention Agreements with Messrs. Jacobs, Bhutani, Bucaille, Hoffman and Stern.</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u w:val="single" w:color="auto"/>
          <w:color w:val="auto"/>
        </w:rPr>
        <w:t>Compensation and Employee Benefits.</w:t>
      </w:r>
      <w:r>
        <w:rPr>
          <w:rFonts w:ascii="Arial" w:cs="Arial" w:eastAsia="Arial" w:hAnsi="Arial"/>
          <w:sz w:val="15"/>
          <w:szCs w:val="15"/>
          <w:i w:val="1"/>
          <w:iCs w:val="1"/>
          <w:color w:val="auto"/>
        </w:rPr>
        <w:t xml:space="preserve"> </w:t>
      </w:r>
      <w:r>
        <w:rPr>
          <w:rFonts w:ascii="Arial" w:cs="Arial" w:eastAsia="Arial" w:hAnsi="Arial"/>
          <w:sz w:val="15"/>
          <w:szCs w:val="15"/>
          <w:color w:val="auto"/>
        </w:rPr>
        <w:t>Each of Messrs. Jacobs and Stern entered into amended retention agreements with the Company on March 23, 2010.</w:t>
      </w:r>
      <w:r>
        <w:rPr>
          <w:rFonts w:ascii="Arial" w:cs="Arial" w:eastAsia="Arial" w:hAnsi="Arial"/>
          <w:sz w:val="15"/>
          <w:szCs w:val="15"/>
          <w:i w:val="1"/>
          <w:iCs w:val="1"/>
          <w:color w:val="auto"/>
        </w:rPr>
        <w:t xml:space="preserve"> </w:t>
      </w:r>
      <w:r>
        <w:rPr>
          <w:rFonts w:ascii="Arial" w:cs="Arial" w:eastAsia="Arial" w:hAnsi="Arial"/>
          <w:sz w:val="15"/>
          <w:szCs w:val="15"/>
          <w:color w:val="auto"/>
        </w:rPr>
        <w:t>Mr. Bucaille entered into an amended retention agreement with the Company on April 1, 2011. Mr. Bhutani entered into an amended retention agreement with the Company on August 2, 2011. Mr. Hoffman entered into an amended retention agreement with the Company on May 7, 2008, which was further amended on February 23, 2011 for the sole purpose of extending the expiration date in order to align its term with the retention agreements with Messrs. Jacobs and Stern.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retention agreements with Messrs. Jacobs, Bhutani, Bucaille, Hoffman and Stern provide for a minimum annual base salary of $900,000 for</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Mr. Jacobs; $750,000 for Mr. Bhutani; $750,000 for Mr. Bucaille; $600,000 for Mr. Hoffman; and $750,000 for Mr. Stern. The term of the agreements for Messrs. Jacobs, Bhutani, Bucaille, Hoffman, and Stern expire on March 23, 2013, unless earlier terminated in accordance with their terms. In addition, each of Messrs. Jacobs, Bhutani, Bucaille, Hoffman and Stern is entitled to an annual bonus to be determined under the Company’s applicable annual bonus plan on the same basis as annual bonuses are determined for other executive officers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he is employed by the Company at the end of the applicable fiscal year. Subject to the foregoing proviso, each of Messrs. Bhutani, Bucaille, Hoffman and Stern is entitled to be paid such bonus in the same ratio of cash to equity, or, in the case of Mr. Bhutani, deferred awards as is applicable to other executives.</w:t>
      </w:r>
    </w:p>
    <w:p>
      <w:pPr>
        <w:spacing w:after="0" w:line="10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addition, the retention agreements with each of Messrs. Jacobs, Bhutani, Bucaille, Hoffman and Stern provide that each is entitled to participate in employee retirement and welfare benefit plans and programs of the type made available to our most senior executives.</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the retention agreement with Mr. Bucaille also provides that he is entitled to certain housing and tuition reimbursements, as described above under “Compensation For Each of Our Named Executive Officers in 2011—Perquisites”.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u w:val="single" w:color="auto"/>
          <w:color w:val="auto"/>
        </w:rPr>
        <w:t>Payments and Benefits Upon Certain Terminations of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Each retention agreement with Messrs. Jacobs, Bhutani, Bucaille, Hoffman and Stern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certain severance benefits in the event of a termination by us other than for “cause” or by the named executive officer for “good reason” (which we refer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below as a “qualifying termination”) prior to March 23, 2013. The level of the severance benefits depends on whether the applicable termination occurs prior to or following a change in control of the Company.</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the event of a qualifying termination of any of Messrs. Jacobs, Bhutani, Bucaille, Hoffman or Stern prior to a change in control, the executive generally would be entitled to receive in a lump sum: (1) any unpaid base salary accrued through the date of termination; (2) any earned but unpaid bonuses for years completed prior to the date of termination; (3) a pro-rated portion of the average annual bonus (or, to the extent applicable, cash distributions, and including any bonuses paid in the form of equity awards based on the grant date value of such equity awards in accordance with our normal valuation methodology) paid or payable to the executive for the Company’s two completed fiscal years immediately preceding the fiscal year in which the termination occurs; and (4) a severance payment in the following amount: two times (one times with respect to Mr. Bhutani, and three times with respect to Mr. Jacobs until he receives a qualifying award) the sum of such executive officer’s base salary and average annual bonus for the two fiscal years that ended prior to the date of such executive officer’s termination. For purposes of Mr. Jacobs’ amended retention agreement, “qualifying award” means a new long-term incentive award with a grant value reasonably agreed by the Company, Lazard Ltd and Mr. Jacobs in good faith and that accelerates upon a change in control or a qualifying termination. Upon such a qualifying termination, Messrs. Jacobs, Bhutani, Bucaille, Hoffman and Stern and their eligible dependents would generally continue to be eligible to participate in the Company’s medical and dental benefit plans, on the same basis as in effect immediately prior to the date of termination (which currently requires the named executive officer to pay a portion of the premiums), for two years (three years with respect to Mr. Jacobs until he receives a qualifying award) following such termination. The period of such medical and dental benefits continuation would generally be credited towards the named executive officer’s credited age and service for the purpose of our retiree medical program.</w:t>
      </w:r>
    </w:p>
    <w:p>
      <w:pPr>
        <w:spacing w:after="0" w:line="11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event of a qualifying termination of any of Messrs. Jacobs, Bhutani, Bucaille, Hoffman or Stern on or following a change in control, such executive officer would receive the severance payments and benefits described in the preceding paragraph, except that the severance payments would be three times the sum of such executive officer’s base salary and average annual bonus for the two fiscal years that ended prior to the date of such executive officer’s termination. In addition, each of Messrs. Jacobs, Bhutani, Bucaille, Hoffman and Stern, and their eligible dependents, would be eligible for continued participation in our medical and dental benefit plans and receive age and service credit, as described above, except that the applicable period would be three years following the date of termination of service. In the case of Mr. Bhutani, such enhanced severance benefits would only be provided in the event of a change in control in which the Company is acquired by an entity that has an asset management business.</w:t>
      </w:r>
    </w:p>
    <w:p>
      <w:pPr>
        <w:spacing w:after="0" w:line="105"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In addition to the post-employment medical and dental benefits described above, following a termination of Mr. Jacobs’ service for any reason other than for cause, Mr. Jacobs and his eligible dependents would be eligible for continued participation in our medical and dental benefits plans for the remainder of</w:t>
      </w:r>
    </w:p>
    <w:p>
      <w:pPr>
        <w:spacing w:after="0" w:line="261" w:lineRule="auto"/>
        <w:rPr>
          <w:sz w:val="20"/>
          <w:szCs w:val="20"/>
          <w:color w:val="auto"/>
        </w:rPr>
      </w:pPr>
      <w:r>
        <w:rPr>
          <w:rFonts w:ascii="Arial" w:cs="Arial" w:eastAsia="Arial" w:hAnsi="Arial"/>
          <w:sz w:val="18"/>
          <w:szCs w:val="18"/>
          <w:color w:val="auto"/>
        </w:rPr>
        <w:t>Mr. Jacobs’ life and that of his current spouse, with Mr. Jacobs or his spouse paying the full cost of all premiums associated with such coverage (other than during the periods following a qualified termination described above).</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order to facilitate Mr. Jacobs’ performance of his duties, Mr. Jacobs’ amended retention agreement provides that he is entitled to limited personal use of the Company’s aircraft in a manner consistent with the policy adopted by the Compensation Committee, and will be required to reimburse the Company for the cost of such personal usage.</w:t>
      </w:r>
    </w:p>
    <w:p>
      <w:pPr>
        <w:spacing w:after="0" w:line="12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i w:val="1"/>
          <w:iCs w:val="1"/>
          <w:u w:val="single" w:color="auto"/>
          <w:color w:val="auto"/>
        </w:rPr>
        <w:t>Change in Control Excise Tax Gross-up.</w:t>
      </w:r>
      <w:r>
        <w:rPr>
          <w:rFonts w:ascii="Arial" w:cs="Arial" w:eastAsia="Arial" w:hAnsi="Arial"/>
          <w:sz w:val="15"/>
          <w:szCs w:val="15"/>
          <w:i w:val="1"/>
          <w:iCs w:val="1"/>
          <w:color w:val="auto"/>
        </w:rPr>
        <w:t xml:space="preserve"> </w:t>
      </w:r>
      <w:r>
        <w:rPr>
          <w:rFonts w:ascii="Arial" w:cs="Arial" w:eastAsia="Arial" w:hAnsi="Arial"/>
          <w:sz w:val="15"/>
          <w:szCs w:val="15"/>
          <w:color w:val="auto"/>
        </w:rPr>
        <w:t>Each retention agreement with Messrs. Jacobs, Bucaille, Hoffman and Stern provides that in the event that the</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receipt of any payment made by us under the retention agreement or otherwise is subject to the excise tax imposed under Section 4999 of the Code, an additional payment will be made to restore the executive to the after-tax position that he would have been in if the excise tax had not been imposed.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i w:val="1"/>
          <w:iCs w:val="1"/>
          <w:u w:val="single" w:color="auto"/>
          <w:color w:val="auto"/>
        </w:rPr>
        <w:t>Noncompetition and Nonsolicitation of Clients.</w:t>
      </w:r>
      <w:r>
        <w:rPr>
          <w:rFonts w:ascii="Arial" w:cs="Arial" w:eastAsia="Arial" w:hAnsi="Arial"/>
          <w:sz w:val="16"/>
          <w:szCs w:val="16"/>
          <w:i w:val="1"/>
          <w:iCs w:val="1"/>
          <w:color w:val="auto"/>
        </w:rPr>
        <w:t xml:space="preserve"> </w:t>
      </w:r>
      <w:r>
        <w:rPr>
          <w:rFonts w:ascii="Arial" w:cs="Arial" w:eastAsia="Arial" w:hAnsi="Arial"/>
          <w:sz w:val="16"/>
          <w:szCs w:val="16"/>
          <w:color w:val="auto"/>
        </w:rPr>
        <w:t>While providing services to the Company and during the three-month period following 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services (one-month period in the event of such a termination by us without cause), the named executive officer may not:</w:t>
      </w:r>
    </w:p>
    <w:p>
      <w:pPr>
        <w:spacing w:after="0" w:line="1" w:lineRule="exact"/>
        <w:rPr>
          <w:sz w:val="20"/>
          <w:szCs w:val="20"/>
          <w:color w:val="auto"/>
        </w:rPr>
      </w:pPr>
    </w:p>
    <w:p>
      <w:pPr>
        <w:ind w:left="780" w:right="60" w:hanging="326"/>
        <w:spacing w:after="0" w:line="298"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Perform services in a line of business that is similar to any line of business in which the named executive officer provided services to us in a capacity that is similar to the capacity in which the named executive officer acted for us while providing services to us (“competing services”) for any business enterprise that engages in any activity, or owns a significant interest in any entity that engages in any activity, that competes with any activity in which we are engaged up to and including the date of termination of employment (a “competitive enterprise”),</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Acquire an ownership or voting interest of 5% or more in any competitive enterprise, or</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Solicit any of our clients on behalf of a competitive enterprise in connection with the performance of services that would be competing services, or otherwise interfere with or disrupt any client’s relationship with us.</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i w:val="1"/>
          <w:iCs w:val="1"/>
          <w:u w:val="single" w:color="auto"/>
          <w:color w:val="auto"/>
        </w:rPr>
        <w:t>Nonsolicitation of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While providing services to us and during the six-month period following termination of the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named executive officer may not, directly or indirectly, in any manner, solicit or hire any of our employees at the associate level or above to apply for, or accept employment with, any competitive enterprise, or otherwise interfere with any such employee’s relationship with us.</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u w:val="single" w:color="auto"/>
          <w:color w:val="auto"/>
        </w:rPr>
        <w:t>Transfer of Client Relationships, Nondisparagement and Notice Period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named executive officer is required, upon termination of 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services to us and during the 90-day period following termination, to take all actions and do all things reasonably requested by us to maintain for us the business, goodwill and business relationships with our clients with which he worked;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actions and things do not materially interfere with other employment or professional activities of the named executive officer. In addition, while providing services to us and thereafter, the named executive officer generally may not disparage us, and before and during the three-month notice period prior to termination, the named executive officer is prohibited from entering into a written agreement to perform services for a competitive enterprise.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Retention Agreement with Mr. Castellano.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Castellano’s retention agreement expired on March 31, 2011.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2011 Fiscal Year-End</w:t>
      </w:r>
    </w:p>
    <w:p>
      <w:pPr>
        <w:spacing w:after="0" w:line="8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provides information about the number and value of RSUs and restricted stock, held by our named executive officers as of December 31, 2011. The market value of the RSUs and restricted stock was calculated based on the closing price of Lazard Ltd’s Class A common stock on the NYSE on December 31, 2011 ($26.11). The table does not include RSU awards that relate to 2011 performance, which were granted in February 2012.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4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w w:val="86"/>
              </w:rPr>
              <w:t>Number of Shares of Restricted</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w w:val="91"/>
              </w:rPr>
              <w:t>Market Value of Restricted Stock</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5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Named Executive Officer</w:t>
            </w:r>
          </w:p>
        </w:tc>
        <w:tc>
          <w:tcPr>
            <w:tcW w:w="2960" w:type="dxa"/>
            <w:vAlign w:val="bottom"/>
          </w:tcPr>
          <w:p>
            <w:pPr>
              <w:spacing w:after="0"/>
              <w:rPr>
                <w:sz w:val="12"/>
                <w:szCs w:val="12"/>
                <w:color w:val="auto"/>
              </w:rPr>
            </w:pPr>
          </w:p>
        </w:tc>
        <w:tc>
          <w:tcPr>
            <w:tcW w:w="3440" w:type="dxa"/>
            <w:vAlign w:val="bottom"/>
            <w:gridSpan w:val="2"/>
          </w:tcPr>
          <w:p>
            <w:pPr>
              <w:jc w:val="center"/>
              <w:ind w:right="1600"/>
              <w:spacing w:after="0" w:line="149" w:lineRule="exact"/>
              <w:rPr>
                <w:sz w:val="20"/>
                <w:szCs w:val="20"/>
                <w:color w:val="auto"/>
              </w:rPr>
            </w:pPr>
            <w:r>
              <w:rPr>
                <w:rFonts w:ascii="Arial" w:cs="Arial" w:eastAsia="Arial" w:hAnsi="Arial"/>
                <w:sz w:val="14"/>
                <w:szCs w:val="14"/>
                <w:b w:val="1"/>
                <w:bCs w:val="1"/>
                <w:color w:val="auto"/>
                <w:w w:val="86"/>
              </w:rPr>
              <w:t>Stock and Restricted Stock</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and Restricted Stock Units That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2960" w:type="dxa"/>
            <w:vAlign w:val="bottom"/>
          </w:tcPr>
          <w:p>
            <w:pPr>
              <w:spacing w:after="0"/>
              <w:rPr>
                <w:sz w:val="14"/>
                <w:szCs w:val="14"/>
                <w:color w:val="auto"/>
              </w:rPr>
            </w:pPr>
          </w:p>
        </w:tc>
        <w:tc>
          <w:tcPr>
            <w:tcW w:w="3440" w:type="dxa"/>
            <w:vAlign w:val="bottom"/>
            <w:gridSpan w:val="2"/>
          </w:tcPr>
          <w:p>
            <w:pPr>
              <w:jc w:val="center"/>
              <w:ind w:right="1600"/>
              <w:spacing w:after="0" w:line="148" w:lineRule="exact"/>
              <w:rPr>
                <w:sz w:val="20"/>
                <w:szCs w:val="20"/>
                <w:color w:val="auto"/>
              </w:rPr>
            </w:pPr>
            <w:r>
              <w:rPr>
                <w:rFonts w:ascii="Arial" w:cs="Arial" w:eastAsia="Arial" w:hAnsi="Arial"/>
                <w:sz w:val="14"/>
                <w:szCs w:val="14"/>
                <w:b w:val="1"/>
                <w:bCs w:val="1"/>
                <w:color w:val="auto"/>
                <w:w w:val="88"/>
              </w:rPr>
              <w:t>Units That Have Not Vested (1)</w:t>
            </w:r>
          </w:p>
        </w:tc>
        <w:tc>
          <w:tcPr>
            <w:tcW w:w="280" w:type="dxa"/>
            <w:vAlign w:val="bottom"/>
          </w:tcPr>
          <w:p>
            <w:pPr>
              <w:spacing w:after="0"/>
              <w:rPr>
                <w:sz w:val="14"/>
                <w:szCs w:val="14"/>
                <w:color w:val="auto"/>
              </w:rPr>
            </w:pPr>
          </w:p>
        </w:tc>
        <w:tc>
          <w:tcPr>
            <w:tcW w:w="17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6"/>
              </w:rPr>
              <w:t>Have Not Vested</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296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381,077</w:t>
            </w:r>
          </w:p>
        </w:tc>
        <w:tc>
          <w:tcPr>
            <w:tcW w:w="1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9,949,921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Matthieu Bucaille (2)</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188,546</w:t>
            </w:r>
          </w:p>
        </w:tc>
        <w:tc>
          <w:tcPr>
            <w:tcW w:w="16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4,922,936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Castellano (3)</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Ashish Bhutani</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357,482</w:t>
            </w:r>
          </w:p>
        </w:tc>
        <w:tc>
          <w:tcPr>
            <w:tcW w:w="16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9,333,856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125,873</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Alexander F. Stern</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147,438</w:t>
            </w:r>
          </w:p>
        </w:tc>
        <w:tc>
          <w:tcPr>
            <w:tcW w:w="16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3,849,606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320" w:hanging="452"/>
        <w:spacing w:after="0" w:line="298"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RSU awards are typically granted to our named executive officers in February of each year under the 2005 Plan or the 2008 Plan, and relate to the prior year’s performance. The scheduled vesting dates for outstanding RSU awards granted to each of our named executive officers are as follows: (i) RSUs granted on February 10, 2011 will vest 33% on March 1, 2013 and 67% on March 3, 2014; (ii) RSUs granted on February 11, 2010 will vest 33% on March 1, 2012 and 67% on March 1, 2013; and (iii) RSUs granted on February 10, 2009 will vest on March 1, 2013.</w:t>
      </w:r>
    </w:p>
    <w:p>
      <w:pPr>
        <w:spacing w:after="0" w:line="18"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Bucaille received an award of restricted stock in 2010, which will vest according the following schedule: 33% on March 1, 2012 and 67% on March 1, 2013. In addition, Mr. Bucaille received a special RSU award in 2011 which will vest on March 1, 2019.</w:t>
      </w:r>
    </w:p>
    <w:p>
      <w:pPr>
        <w:spacing w:after="0" w:line="37"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Mr. Castellano, who retired on March 31, 2011, had all of his prior RSU awards vest in 2010 pursuant to the RSU Retirement Policy. In accordance with that policy, Mr. Castellano received shares of restricted stock upon the vesting of his prior RSU awards, less shares withheld by Lazard to cover certain tax liabilities. The restrictions on these shares will remain in place until the originally scheduled vesting date of each of the underlying RSU awards.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Vested</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sets forth certain information concerning RSUs and restricted stock held by our named executive officers that vested in 2011. The value realized on vesting was calculated based on the closing price of Lazard Ltd’s Class A common stock on the NYSE on the date immediately preceding the vesting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Number of Shares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5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9"/>
              </w:rPr>
              <w:t>Named Executive Officer</w:t>
            </w:r>
          </w:p>
        </w:tc>
        <w:tc>
          <w:tcPr>
            <w:tcW w:w="382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Acquired</w:t>
            </w:r>
          </w:p>
        </w:tc>
        <w:tc>
          <w:tcPr>
            <w:tcW w:w="3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3820" w:type="dxa"/>
            <w:vAlign w:val="bottom"/>
          </w:tcPr>
          <w:p>
            <w:pPr>
              <w:spacing w:after="0"/>
              <w:rPr>
                <w:sz w:val="14"/>
                <w:szCs w:val="14"/>
                <w:color w:val="auto"/>
              </w:rPr>
            </w:pPr>
          </w:p>
        </w:tc>
        <w:tc>
          <w:tcPr>
            <w:tcW w:w="14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0"/>
              </w:rPr>
              <w:t>on Vesting</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38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303,657</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12,738,411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Matthieu Bucaille</w:t>
            </w:r>
          </w:p>
        </w:tc>
        <w:tc>
          <w:tcPr>
            <w:tcW w:w="526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Castellano (1)</w:t>
            </w:r>
          </w:p>
        </w:tc>
        <w:tc>
          <w:tcPr>
            <w:tcW w:w="5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4,771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Ashish Bhutani</w:t>
            </w:r>
          </w:p>
        </w:tc>
        <w:tc>
          <w:tcPr>
            <w:tcW w:w="5260" w:type="dxa"/>
            <w:vAlign w:val="bottom"/>
            <w:gridSpan w:val="3"/>
          </w:tcPr>
          <w:p>
            <w:pPr>
              <w:jc w:val="right"/>
              <w:ind w:right="380"/>
              <w:spacing w:after="0"/>
              <w:rPr>
                <w:sz w:val="20"/>
                <w:szCs w:val="20"/>
                <w:color w:val="auto"/>
              </w:rPr>
            </w:pPr>
            <w:r>
              <w:rPr>
                <w:rFonts w:ascii="Arial" w:cs="Arial" w:eastAsia="Arial" w:hAnsi="Arial"/>
                <w:sz w:val="18"/>
                <w:szCs w:val="18"/>
                <w:color w:val="auto"/>
              </w:rPr>
              <w:t>216,586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9,085,783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5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47,967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Alexander F. Stern</w:t>
            </w:r>
          </w:p>
        </w:tc>
        <w:tc>
          <w:tcPr>
            <w:tcW w:w="5260" w:type="dxa"/>
            <w:vAlign w:val="bottom"/>
            <w:gridSpan w:val="3"/>
          </w:tcPr>
          <w:p>
            <w:pPr>
              <w:jc w:val="right"/>
              <w:ind w:right="380"/>
              <w:spacing w:after="0"/>
              <w:rPr>
                <w:sz w:val="20"/>
                <w:szCs w:val="20"/>
                <w:color w:val="auto"/>
              </w:rPr>
            </w:pPr>
            <w:r>
              <w:rPr>
                <w:rFonts w:ascii="Arial" w:cs="Arial" w:eastAsia="Arial" w:hAnsi="Arial"/>
                <w:sz w:val="18"/>
                <w:szCs w:val="18"/>
                <w:color w:val="auto"/>
              </w:rPr>
              <w:t>74,372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3,119,905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98"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Mr. Castellano, who retired on March 31, 2011, had all of his prior RSU awards vest in 2010 pursuant to the RSU Retirement Policy. In accordance with that policy, Mr. Castellano received shares of restricted stock upon the vesting of his prior RSU awards, less shares withheld by Lazard to cover certain tax liabilities. The number of shares acquired on vesting and the value realized reflects the shares of restricted stock that became unrestricted on February 10, 2011 in accordance with the vesting schedule of the underlying RSU award in 2011.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U.S. Defined Benefit Pension Plans. </w:t>
      </w:r>
      <w:r>
        <w:rPr>
          <w:rFonts w:ascii="Arial" w:cs="Arial" w:eastAsia="Arial" w:hAnsi="Arial"/>
          <w:sz w:val="16"/>
          <w:szCs w:val="16"/>
          <w:color w:val="auto"/>
        </w:rPr>
        <w:t>The following table provides information with respect to the Lazard Frères &amp; Co. LLC Employees’ Pension Plan,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qualified defined-benefit pension plan, and a related supplemental defined-benefit pension plan. Each of Messrs. Jacobs, Hoffman and Stern has an accrued benefit under the Lazard Frères &amp; Co. LLC Employees’ Pension Plan, and Messrs. Hoffman and Stern have accrued additional benefits under the related supplemental defined-benefit pension plan. The annual benefit under such plans, payable as a single life annuity commencing at age 65, would be $6,447 for Mr. Jacobs, $18,845 for Mr. Hoffman and $12,421 for Mr. Stern. Under the terms of the supplemental defined-benefit pension plan, the benefits are only payable in a single lump sum payment. These benefits accrued in each case prior to the applicable officer’s becoming a managing director of the Company. Benefit accruals under both of these plans were frozen for all participants effective January 31, 2005. For a discussion of the valuation method and all material assumptions applied in quantifying the present value of the current accrued benefit,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17 of Notes to the Company’s Consolidated Financial Statements contained in this Annual Report on Form 10-K. Messrs. Bhutani, Bucaille and Castellano do not participate in any of these plans.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Years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Present Value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2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of Credited Service</w:t>
            </w:r>
          </w:p>
        </w:tc>
        <w:tc>
          <w:tcPr>
            <w:tcW w:w="9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 Accumulated Benefit ($)</w:t>
            </w:r>
          </w:p>
        </w:tc>
        <w:tc>
          <w:tcPr>
            <w:tcW w:w="46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68"/>
        </w:trPr>
        <w:tc>
          <w:tcPr>
            <w:tcW w:w="252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640" w:type="dxa"/>
            <w:vAlign w:val="bottom"/>
            <w:gridSpan w:val="2"/>
          </w:tcPr>
          <w:p>
            <w:pPr>
              <w:ind w:left="580"/>
              <w:spacing w:after="0" w:line="148" w:lineRule="exact"/>
              <w:rPr>
                <w:sz w:val="20"/>
                <w:szCs w:val="20"/>
                <w:color w:val="auto"/>
              </w:rPr>
            </w:pPr>
            <w:r>
              <w:rPr>
                <w:rFonts w:ascii="Arial" w:cs="Arial" w:eastAsia="Arial" w:hAnsi="Arial"/>
                <w:sz w:val="14"/>
                <w:szCs w:val="14"/>
                <w:b w:val="1"/>
                <w:bCs w:val="1"/>
                <w:color w:val="auto"/>
              </w:rPr>
              <w:t>Plan Name</w:t>
            </w:r>
          </w:p>
        </w:tc>
        <w:tc>
          <w:tcPr>
            <w:tcW w:w="1120" w:type="dxa"/>
            <w:vAlign w:val="bottom"/>
          </w:tcPr>
          <w:p>
            <w:pPr>
              <w:jc w:val="right"/>
              <w:ind w:right="400"/>
              <w:spacing w:after="0" w:line="148" w:lineRule="exact"/>
              <w:rPr>
                <w:sz w:val="20"/>
                <w:szCs w:val="20"/>
                <w:color w:val="auto"/>
              </w:rPr>
            </w:pPr>
            <w:r>
              <w:rPr>
                <w:rFonts w:ascii="Arial" w:cs="Arial" w:eastAsia="Arial" w:hAnsi="Arial"/>
                <w:sz w:val="14"/>
                <w:szCs w:val="14"/>
                <w:b w:val="1"/>
                <w:bCs w:val="1"/>
                <w:color w:val="auto"/>
              </w:rPr>
              <w:t>(1)</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598"/>
              <w:spacing w:after="0" w:line="148" w:lineRule="exact"/>
              <w:rPr>
                <w:sz w:val="20"/>
                <w:szCs w:val="20"/>
                <w:color w:val="auto"/>
              </w:rPr>
            </w:pPr>
            <w:r>
              <w:rPr>
                <w:rFonts w:ascii="Arial" w:cs="Arial" w:eastAsia="Arial" w:hAnsi="Arial"/>
                <w:sz w:val="14"/>
                <w:szCs w:val="14"/>
                <w:b w:val="1"/>
                <w:bCs w:val="1"/>
                <w:color w:val="auto"/>
              </w:rPr>
              <w:t>(2)</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4"/>
              </w:rPr>
              <w:t xml:space="preserve">Fiscal Year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Kenneth M. Jacobs</w:t>
            </w:r>
          </w:p>
        </w:tc>
        <w:tc>
          <w:tcPr>
            <w:tcW w:w="9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Lazard Frères &amp; Co. LLC</w:t>
            </w:r>
          </w:p>
        </w:tc>
        <w:tc>
          <w:tcPr>
            <w:tcW w:w="8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Pension Plan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46,297</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520" w:type="dxa"/>
            <w:vAlign w:val="bottom"/>
            <w:gridSpan w:val="3"/>
          </w:tcPr>
          <w:p>
            <w:pPr>
              <w:spacing w:after="0"/>
              <w:rPr>
                <w:sz w:val="20"/>
                <w:szCs w:val="20"/>
                <w:color w:val="auto"/>
              </w:rPr>
            </w:pPr>
            <w:r>
              <w:rPr>
                <w:rFonts w:ascii="Arial" w:cs="Arial" w:eastAsia="Arial" w:hAnsi="Arial"/>
                <w:sz w:val="18"/>
                <w:szCs w:val="18"/>
                <w:color w:val="auto"/>
              </w:rPr>
              <w:t>Scott D. Hoffman</w:t>
            </w:r>
          </w:p>
        </w:tc>
        <w:tc>
          <w:tcPr>
            <w:tcW w:w="8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Employees’ Pension Plan</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1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65,117</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Supplemental Defined-</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Benefit Pension</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1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49,688</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8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Frères &amp; Co. LLC</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Pension Plan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58,874</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Defined-</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Pension Plan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3,120</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325"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Mr. Jacobs has been employed by the Company for 24 years, Mr. Hoffman 18 years and Mr. Stern 16 years. Mr. Jacobs became a managing director of the Company in 1991, Mr. Hoffman in 1999 and Mr. Stern in 2002, at which point they ceased accruing benefits under these plans.</w:t>
      </w:r>
    </w:p>
    <w:p>
      <w:pPr>
        <w:spacing w:after="0" w:line="1" w:lineRule="exact"/>
        <w:rPr>
          <w:rFonts w:ascii="Arial" w:cs="Arial" w:eastAsia="Arial" w:hAnsi="Arial"/>
          <w:sz w:val="16"/>
          <w:szCs w:val="16"/>
          <w:color w:val="auto"/>
        </w:rPr>
      </w:pPr>
    </w:p>
    <w:p>
      <w:pPr>
        <w:ind w:left="460" w:right="60" w:hanging="452"/>
        <w:spacing w:after="0" w:line="312" w:lineRule="auto"/>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calculating the present value of accumulated benefits outlined above, Messrs. Jacobs, Hoffman and Stern are assumed to live to age 65 and subsequently retire. They are also assumed to choose the single life annuity form of benefit under the Lazard Frères &amp; Co. LLC Employees’ Pension Plan and the lump sum form of benefit under the Supplemental Defined-Benefit Pension Plan (for Mr. Hoffman and Mr. Stern only). The interest rate and mortality rate used to determine the Employees’ Pension Plan present value is 4.60% for all years and the RP-2000 Mortality Table (with 19 years improvement) after retirement only. The Supplemental Defined-Benefit Pension Plan assumes that the annuity benefit will be converted to a lump sum at age 65 using a 4.60% interest rate and the mortality outlined in IRS Notice 2008-85 applicable for lump sum payments (projected to the year the participant attains age 65 using Scale AA). A 4.60% discount rate is used to determine the present value of this single payment at age 65 at December 31, 2011.</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As described above, each of our named executive officers (other than Mr. Castellano, due to his retention agreement expiring upon his retirement on March 31, 2011) has entered into a retention agreement with the Company that provides for certain severance benefits in the event of a termination by us other than for “cause” or by such named executive officer for “good reason” prior to March 23, 2013. The level of the severance benefits depends on whether the applicable termination occurs prior to or following a change in control, and, in the case of Mr. Bhutani, a change in control pursuant to which we are acquired by an entity that has an asset management business. For a discussion of the severance benefits provided pursuant to the retention agreements,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“Retention Agreements with Named Executive Officers.”</w:t>
      </w:r>
    </w:p>
    <w:p>
      <w:pPr>
        <w:spacing w:after="0" w:line="1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of Messrs. Jacobs, Bucaille, Bhutani, Hoffman and Stern has received RSUs, and Mr. Bucaille has received restricted stock, pursuant to the 2005 Plan or the 2008 Plan, and Mr. Bhutani has received Lazard Fund Interests. In the event of a change in control, all RSUs and restricted stock granted under the 2005 Plan or the 2008 Plan, and all Lazard Fund Interests, will automatically vest.</w:t>
      </w:r>
    </w:p>
    <w:p>
      <w:pPr>
        <w:spacing w:after="0" w:line="127"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Mr. Castellano retired on March 31, 2011. All equity awards held by Mr. Castellano had vested as of such time, and he did not receive severance or termination pay. Mr. Castellano continues to provide certain post-termination consulting services to the Company and received $875,000 during 2011 in consideration for such services.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shows the potential payments that would be made by the Company to each of our named executive officers assuming that such officers’ employment with the Company terminated, or a change in control occurred (in Mr. Bhutani’s case, a change in control pursuant to which we are acquired by an entity that has an asset management business), on December 31, 2011 under the circumstances outlined in the table. As a result, the RSU awards and Lazard Fund Interests granted in February 2012 (which relate to 2011 performance) are not reflected in the table. For purposes of this table, the price of Lazard Ltd’s Class A common stock is assumed to be $26.11, which was the closing price on December 31, 2011.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6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88"/>
              </w:rPr>
              <w:t>Prior to a Change in Control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80" w:type="dxa"/>
            <w:vAlign w:val="bottom"/>
            <w:gridSpan w:val="8"/>
          </w:tcPr>
          <w:p>
            <w:pPr>
              <w:ind w:left="520"/>
              <w:spacing w:after="0"/>
              <w:rPr>
                <w:sz w:val="20"/>
                <w:szCs w:val="20"/>
                <w:color w:val="auto"/>
              </w:rPr>
            </w:pPr>
            <w:r>
              <w:rPr>
                <w:rFonts w:ascii="Arial" w:cs="Arial" w:eastAsia="Arial" w:hAnsi="Arial"/>
                <w:sz w:val="14"/>
                <w:szCs w:val="14"/>
                <w:b w:val="1"/>
                <w:bCs w:val="1"/>
                <w:color w:val="auto"/>
              </w:rPr>
              <w:t>On or After a Change in Control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Involuntary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“Cause”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Resignation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No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Resignation</w:t>
            </w: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Death 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without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for “Good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Termination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Death or</w:t>
            </w:r>
          </w:p>
        </w:tc>
        <w:tc>
          <w:tcPr>
            <w:tcW w:w="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for “Good</w:t>
            </w:r>
          </w:p>
        </w:tc>
        <w:tc>
          <w:tcPr>
            <w:tcW w:w="0" w:type="dxa"/>
            <w:vAlign w:val="bottom"/>
          </w:tcPr>
          <w:p>
            <w:pPr>
              <w:spacing w:after="0"/>
              <w:rPr>
                <w:sz w:val="1"/>
                <w:szCs w:val="1"/>
                <w:color w:val="auto"/>
              </w:rPr>
            </w:pPr>
          </w:p>
        </w:tc>
      </w:tr>
      <w:tr>
        <w:trPr>
          <w:trHeight w:val="168"/>
        </w:trPr>
        <w:tc>
          <w:tcPr>
            <w:tcW w:w="5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93"/>
              </w:rPr>
              <w:t>Disability</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“Cause”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3"/>
              </w:rPr>
              <w:t>Reason”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Employment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9"/>
              </w:rPr>
              <w:t>Disability</w:t>
            </w:r>
          </w:p>
        </w:tc>
        <w:tc>
          <w:tcPr>
            <w:tcW w:w="60" w:type="dxa"/>
            <w:vAlign w:val="bottom"/>
          </w:tcPr>
          <w:p>
            <w:pPr>
              <w:spacing w:after="0"/>
              <w:rPr>
                <w:sz w:val="14"/>
                <w:szCs w:val="14"/>
                <w:color w:val="auto"/>
              </w:rPr>
            </w:pPr>
          </w:p>
        </w:tc>
        <w:tc>
          <w:tcPr>
            <w:tcW w:w="8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3"/>
              </w:rPr>
              <w:t>Reason”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Kenneth M. Jacobs</w:t>
            </w:r>
          </w:p>
        </w:tc>
        <w:tc>
          <w:tcPr>
            <w:tcW w:w="36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32,658,174</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32,658,174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32,658,174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Vesting (2) (3)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9,949,920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9,949,920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9,949,920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9,949,920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9,949,920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8,050,000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9,986,058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9,986,058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8,050,000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9,986,058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Borders>
              <w:bottom w:val="single" w:sz="8" w:color="auto"/>
            </w:tcBorders>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16,652,632</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Matthieu Bucaille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7,777,130</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7,777,130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11,665,695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RSU and Restricted Share Vesting (2) (3)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4,922,936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4,922,936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4,922,936</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4,922,936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4,922,936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2,650,000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3,138,565</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3,138,565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2,650,000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3,138,565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rPr>
              <w:t>Excise Tax Gross-up Payment (5)</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6,641,686</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Ashish Bhutani</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12,237,500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12,237,500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36,712,500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and Lazard Fund Interest Vesting (2) (3) (6)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10,936,302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10,936,302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10,936,302</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10,936,302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10,936,302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9,150,000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11,487,500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11,487,500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9,150,000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11,487,500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Borders>
              <w:bottom w:val="single" w:sz="8" w:color="auto"/>
            </w:tcBorders>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Scott D. Hoffman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8,150,000</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8,150,000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12,225,000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RSU Vesting (2) (3)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3,286,544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3,286,544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3,286,544</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3,286,544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3,286,544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2,750,000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3,325,000</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3,325,000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2,750,000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rPr>
              <w:t>Excise Tax Gross-up Payment (5)</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6,068,411</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Alexander F. Stern</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Vesting (2) (3)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3,849,606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3,849,606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3,849,606</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3,849,606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3,849,606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4,000,000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Borders>
              <w:bottom w:val="single" w:sz="8" w:color="auto"/>
            </w:tcBorders>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Excise Tax Gross-up Payment (5)</w:t>
            </w: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6,982,056</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40" w:hanging="452"/>
        <w:spacing w:after="0" w:line="325"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addition to the severance payments listed, each of our named executive officers is entitled to receive between one and three years of medical and dental coverage following termination. However, amounts relative to this benefit are immaterial and have not been included in the table.</w:t>
      </w:r>
    </w:p>
    <w:p>
      <w:pPr>
        <w:spacing w:after="0" w:line="1"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Valuation of all RSU and restricted stock awards is based upon the full value underlying Lazard Ltd’s Class A common stock at the close of business on December 31, 2011, without taking into account any discount for the present value of such awards. Upon a change in control, all RSU awards immediately vest in full.</w:t>
      </w:r>
    </w:p>
    <w:p>
      <w:pPr>
        <w:spacing w:after="0" w:line="45"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Upon death, all RSU awards vest upon the earlier of 30 days or the scheduled vesting date, and all restricted stock awards will immediately vest. Upon disability, or a termination without “cause”, the named executive officers, other than Mr. Bhutani, may be immediately taxed on 100% of the shares underlying the RSUs. Accordingly, 50% of the shares underlying the RSUs will be delivered to the executive immediately upon termination to allow payment of taxes, and the remaining 50% will be delivered on the original vesting dates;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executive does not violate his restrictive covenants. Upon disability, or a termination without “cause,” RSU awards held by Mr. Bhutani will continue to vest on the scheduled vesting dates. The scheduled vesting dates for outstanding RSU awards are as follows: (i) RSUs granted on February 10, 2011 will vest 33% on March 1, 2013 and 67% on March 3, 2014; (ii) RSUs granted on February 11, 2010 will vest 33% on March 1, 2012 and 67% on March 1, 2013; (iii) RSUs granted on February 10, 2009 will vest on March 31, 2013 and (iv) RSUs granted on March 25, 2011 to Mr. Bucaille will vest on March 1, 2019. The scheduled vesting dates for the restricted stock awards granted to Mr. Bucaille on July 29, 2010 is as follows: 33% will vest on March 1, 2012 and 67% will vest on March 1, 2013. </w:t>
      </w:r>
      <w:r>
        <w:rPr>
          <w:rFonts w:ascii="Arial" w:cs="Arial" w:eastAsia="Arial" w:hAnsi="Arial"/>
          <w:sz w:val="16"/>
          <w:szCs w:val="16"/>
          <w:i w:val="1"/>
          <w:iCs w:val="1"/>
          <w:color w:val="auto"/>
        </w:rPr>
        <w:t>See</w:t>
      </w:r>
      <w:r>
        <w:rPr>
          <w:rFonts w:ascii="Arial" w:cs="Arial" w:eastAsia="Arial" w:hAnsi="Arial"/>
          <w:sz w:val="16"/>
          <w:szCs w:val="16"/>
          <w:color w:val="auto"/>
        </w:rPr>
        <w:t xml:space="preserve"> Footnote (2) to the “Outstanding Equity Awards at 2011 Fiscal Year-End” table.</w:t>
      </w:r>
    </w:p>
    <w:p>
      <w:pPr>
        <w:spacing w:after="0" w:line="28" w:lineRule="exact"/>
        <w:rPr>
          <w:rFonts w:ascii="Arial" w:cs="Arial" w:eastAsia="Arial" w:hAnsi="Arial"/>
          <w:sz w:val="16"/>
          <w:szCs w:val="16"/>
          <w:color w:val="auto"/>
        </w:rPr>
      </w:pPr>
    </w:p>
    <w:p>
      <w:pPr>
        <w:ind w:left="460" w:right="220" w:hanging="452"/>
        <w:spacing w:after="0" w:line="256"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Under the terms of the 2005 Bonus Plan, upon death or disability, each named executive officer may receive a pro-rated portion of the annual incentive compensation that he would have received in the absence of such termination. Assuming a December 31, 2011 death or disability, all named executive officers were assumed to have received their full incentive compensation award for 2011 (annual cash bonus plus value of RSU award and, in the case of Mr. Bhutani, Lazard Fund Interest award and deferred cash award).</w:t>
      </w:r>
    </w:p>
    <w:p>
      <w:pPr>
        <w:spacing w:after="0" w:line="48" w:lineRule="exact"/>
        <w:rPr>
          <w:rFonts w:ascii="Arial" w:cs="Arial" w:eastAsia="Arial" w:hAnsi="Arial"/>
          <w:sz w:val="18"/>
          <w:szCs w:val="18"/>
          <w:color w:val="auto"/>
        </w:rPr>
      </w:pPr>
    </w:p>
    <w:p>
      <w:pPr>
        <w:ind w:left="460" w:right="40"/>
        <w:spacing w:after="0" w:line="255" w:lineRule="auto"/>
        <w:rPr>
          <w:rFonts w:ascii="Arial" w:cs="Arial" w:eastAsia="Arial" w:hAnsi="Arial"/>
          <w:sz w:val="18"/>
          <w:szCs w:val="18"/>
          <w:color w:val="auto"/>
        </w:rPr>
      </w:pPr>
      <w:r>
        <w:rPr>
          <w:rFonts w:ascii="Arial" w:cs="Arial" w:eastAsia="Arial" w:hAnsi="Arial"/>
          <w:sz w:val="18"/>
          <w:szCs w:val="18"/>
          <w:color w:val="auto"/>
        </w:rPr>
        <w:t>Pursuant to their retention agreements, in the event of an involuntary termination without “cause” or resignation for “good reason”, each of Messrs. Jacobs, Bucaille, Bhutani, Hoffman and Stern is entitled to a pro-rated portion of the average annual bonus (or, to the extent applicable, cash distributions, and including any bonuses paid in the form of equity awards based on the grant date value of such equity awards in accordance with our normal valuation methodology) paid or payable to the executive for the Company’s two completed fiscal years immediately preceding the fiscal year in which the termination occurs.</w:t>
      </w:r>
    </w:p>
    <w:p>
      <w:pPr>
        <w:spacing w:after="0" w:line="48" w:lineRule="exact"/>
        <w:rPr>
          <w:rFonts w:ascii="Arial" w:cs="Arial" w:eastAsia="Arial" w:hAnsi="Arial"/>
          <w:sz w:val="18"/>
          <w:szCs w:val="18"/>
          <w:color w:val="auto"/>
        </w:rPr>
      </w:pPr>
    </w:p>
    <w:p>
      <w:pPr>
        <w:ind w:left="460" w:right="40" w:hanging="452"/>
        <w:spacing w:after="0" w:line="289"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Amounts represent the amount needed to pay each named executive officer (other than Mr. Bhutani, who is not entitled to an excise tax gross-up) in order to provide him with a gross-up for his excise tax obligations under Section 4999 of the Code, which imposes an excise tax on certain payments made in connection with a change in control, and any additional tax cost related to the gross-up payment, assuming that a change in control and a qualifying termination of employment occurred on December 31, 2011. Amounts were determined in accordance with Section 280G of the Code and the regulations issued thereunder, assuming a regular income tax rate ranging from 43.07% to 45.56% based on each named executive officer’s work location and personal residence, each named executive officer’s compensation for the period from 2006-2010 and an interest rate of 0.24% for most payments, but for payments that were, pursuant to their original terms, payable in (i) greater than 3 years but less than 9 years, a rate of 1.52% and (ii) greater than 9 years, a rate of 3.34%.</w:t>
      </w:r>
    </w:p>
    <w:p>
      <w:pPr>
        <w:spacing w:after="0" w:line="23"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death and upon a change in control, all Lazard Fund Interests will immediately vest. Upon disability, or a termination without “cause”, the executive may be immediately taxed on 100% of the Lazard Fund Interests. Accordingly, 50% of the Lazard Fund Interests may be sold, and the remaining 50% will remain subject to restrictive covenants through a limited period. Lazard Fund Interests granted on February 10, 2011 will vest 33% on March 1, 2013 and 67% on March 3, 2014.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named executive officer had voluntarily resigned from the Company on December 31, 2011 without “good reason” or was terminated by the Company for cause, he would not have been entitled to receive any severance payments from the Company, and any unvested RSUs would have been forfeited.</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With respect to a termination for “cause” of a named executive officer, the term “cause” generally means: (i) conviction of, or a guilty plea or plea of </w:t>
      </w:r>
      <w:r>
        <w:rPr>
          <w:rFonts w:ascii="Arial" w:cs="Arial" w:eastAsia="Arial" w:hAnsi="Arial"/>
          <w:sz w:val="16"/>
          <w:szCs w:val="16"/>
          <w:i w:val="1"/>
          <w:iCs w:val="1"/>
          <w:color w:val="auto"/>
        </w:rPr>
        <w:t>nolo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contendere </w:t>
      </w:r>
      <w:r>
        <w:rPr>
          <w:rFonts w:ascii="Arial" w:cs="Arial" w:eastAsia="Arial" w:hAnsi="Arial"/>
          <w:sz w:val="16"/>
          <w:szCs w:val="16"/>
          <w:color w:val="auto"/>
        </w:rPr>
        <w:t>to, a felony, or of any other crime that legally prohibits the named executive officer from working for the Company; (ii) a breach of a regulatory rule</w:t>
      </w:r>
      <w:r>
        <w:rPr>
          <w:rFonts w:ascii="Arial" w:cs="Arial" w:eastAsia="Arial" w:hAnsi="Arial"/>
          <w:sz w:val="16"/>
          <w:szCs w:val="16"/>
          <w:i w:val="1"/>
          <w:iCs w:val="1"/>
          <w:color w:val="auto"/>
        </w:rPr>
        <w:t xml:space="preserve"> </w:t>
      </w:r>
      <w:r>
        <w:rPr>
          <w:rFonts w:ascii="Arial" w:cs="Arial" w:eastAsia="Arial" w:hAnsi="Arial"/>
          <w:sz w:val="16"/>
          <w:szCs w:val="16"/>
          <w:color w:val="auto"/>
        </w:rPr>
        <w:t>that materially adversely affects the named executive officer’s ability to perform his duties for the Company; (iii) willful and deliberate failure on the part of the named executive officer (A) to perform his employment duties in any material respect or (B) to follow specific reasonable directions received from the Company; or (iv) a breach of the covenants contained in the retention agreements that is (individually or combined with other such breaches) demonstrably and materially injurious to the Company or any of its affiliates. Notwithstanding the foregoing, with respect to the events described in clauses (ii) and (iii)(A) of the prior sentence, the named executive officer’s acts or failure to act generally shall not constitute cause to the extent taken (or not taken) based upon, in the case of our named executive officers other than Mr. Jacobs, the direct instructions of the Chief Executive Officer or the Board of Directors or a more senior executive officer of the Company, and, in the case of Mr. Jacobs, the direct instructions of the Board of Directors.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respect to a termination of any of Messrs. Jacobs, Bucaille, Bhutani, Hoffman or Stern for “good reason,” their retention agreements generally define “good reason” as: (i) the assignment of the named executive officer to any duties inconsistent in any material respect with his position (including status, offices, titles and reporting requirements), authority, duties or responsibilities as in effect as of (A) May 7, 2008 with respect to Mr. Hoffman, (B) March 23, 2010 with respect to Messrs. Jacobs and Stern, (C) April 1, 2011 with respect to Mr. Bucaille and (D) August 2, 2011 with respect to Mr. Bhutani, or any other action by the Company which results in a material diminution in such position, authority, duties or responsibilities from the level in effect as of such date; (ii) a material breach by the Company of the terms of the retention agreement; or (iii) any requirement that the named executive officer’s principal place of employment be relocated to a location that increases the executive’s commute from his primary residence by more than 30 miles.</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term “change in control,” as used in the retention agreements, the 2005 Plan and the 2008 Plan, generally means any of the following events: (i) an acquisition (other than directly from the Company) by an individual, entity or a group (excluding the Company or an employee benefit plan of the Company or a corporation controlled by Lazard Ltd’s shareholders) of 20% (30% for purposes of the 2008 Plan) or more of either (A) the then-outstanding shares of Lazard Ltd common stock (treating, for this purpose, the then-outstanding Class II interests of LAZ-MD Holdings (“Class II interests”) as shares of Lazard Ltd common stock on an as-if fully exchanged basis in accordance with the Master Separation Agreement) (the “Outstanding Lazard Ltd Common Stock”), assuming the full exchange of all of the then-outstanding Class II interests for shares of Lazard Ltd common stock in accordance with the Master Separation Agreement or (B) the combined voting power of the then-outstanding voting securities of Lazard Ltd entitled to vote generally in the election of directors (the “Outstanding Lazard Ltd Voting Securities”); (ii) a change in a majority of the current Board of Directors (the “Incumbent Board”) (excluding any persons approved by a vote of at least a majority of the Incumbent Board other than in connection with an actual or a threatened proxy contest); (iii) consummation of a merger, consolidation or sale of all or substantially all of the Company’s assets (collectively, a “Business Combination”) other than a Business Combination in which all or substantially all of the individuals and entities who are the beneficial owners, respectively, of the Outstanding Lazard Ltd Common Stock and Outstanding Lazard Ltd Voting Securities immediately prior to such Business Combination (assuming in each case the full exchange of the Class II interests for shares of Lazard Ltd common stock in accordance with the Master Separation Agreement) will beneficially own, directly or indirectly, more than 50% of, respectively, the outstanding shares of Lazard Ltd common stock, and the combined voting power of the then-outstanding voting securities entitled to vote generally in the election of directors, as the case may be, of the corporation resulting from such Business Combination, at least a majority of the board of directors of the resulting corporation were members of the Incumbent Board, and after which no Person owns 20% (30% for purposes of the 2008 Incentive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Compensation Plan) or more of the stock of the resulting corporation, who did not own such stock immediately before the Business Combination; or (iv) shareholder approval of a complete liquidation or dissolution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2011</w:t>
      </w:r>
    </w:p>
    <w:p>
      <w:pPr>
        <w:spacing w:after="0" w:line="8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Directors who are officers of the Company do not receive any fees for their service as directors. In 2011, our directors’ compensation program provided that each of our non-employee directors would receive an annual cash retainer of $119,250 and an annual award of deferred stock units (“DSUs”) with a grant date value of $145,750. An additional annual retainer is paid to the Lead Director and the chairs of each committee of Lazard Ltd’s Board of Directors as follows: the Lead Director, $40,000; the chair of the Audit Committee, $30,000; the chair of the Nominating &amp; Governance Committee, $20,000; and the chair of the Compensation Committee, $20,000; which, in each case, is paid 45% in cash and 55% in DSUs. The other members of the Audit Committee are paid an additional annual retainer of $20,000, and the other members of the Nominating &amp; Governance Committee and the Compensation Committee are paid an additional annual retainer of $15,000, which, in each case, is paid 45% in cash and 55% in DSUs. Cash compensation is paid out on a quarterly basis (on February 15th, May 15th, August 15th and November 15th), and the DSU awards described above are granted on an annual basis on June 1st of each year, except for initial pro-rated grants made to new directors upon their joining the Board of Directors. The number of DSUs granted is determined based on the closing price of Lazard Ltd’s Class A common stock on the NYSE on the date of grant.</w:t>
      </w:r>
    </w:p>
    <w:p>
      <w:pPr>
        <w:spacing w:after="0" w:line="10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Non-employee directors may elect to receive additional DSUs in lieu of some or all of their cash compensation pursuant to the Directors Fee Deferral Unit Plan, which was approved by the Board of Directors on May 9, 2006. DSUs awarded under this plan are granted on the same quarterly payment dates as cash compensation would have been received, and the number of DSUs is determined based on the closing price of Lazard Ltd’s Class A common stock on the NYSE on the date of grant.</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DSUs awarded under these arrangements are converted to Lazard Ltd Class A common stock on a one-for-one basis and distributed to the director after he or she resigns or otherwise ceases to be a member of the Board of Directors. All DSUs receive dividend equivalents, which are paid in cash, at the same rate and time that dividends are paid on shares of Lazard Ltd Class A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4"/>
              </w:rPr>
              <w:t>Directors</w:t>
            </w:r>
          </w:p>
        </w:tc>
        <w:tc>
          <w:tcPr>
            <w:tcW w:w="4540" w:type="dxa"/>
            <w:vAlign w:val="bottom"/>
            <w:gridSpan w:val="3"/>
          </w:tcPr>
          <w:p>
            <w:pPr>
              <w:jc w:val="center"/>
              <w:ind w:left="2496"/>
              <w:spacing w:after="0"/>
              <w:rPr>
                <w:sz w:val="20"/>
                <w:szCs w:val="20"/>
                <w:color w:val="auto"/>
              </w:rPr>
            </w:pPr>
            <w:r>
              <w:rPr>
                <w:rFonts w:ascii="Arial" w:cs="Arial" w:eastAsia="Arial" w:hAnsi="Arial"/>
                <w:sz w:val="14"/>
                <w:szCs w:val="14"/>
                <w:b w:val="1"/>
                <w:bCs w:val="1"/>
                <w:color w:val="auto"/>
                <w:w w:val="86"/>
              </w:rPr>
              <w:t>Fees Earned or</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All Other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120" w:type="dxa"/>
            <w:vAlign w:val="bottom"/>
          </w:tcPr>
          <w:p>
            <w:pPr>
              <w:spacing w:after="0"/>
              <w:rPr>
                <w:sz w:val="14"/>
                <w:szCs w:val="14"/>
                <w:color w:val="auto"/>
              </w:rPr>
            </w:pPr>
          </w:p>
        </w:tc>
        <w:tc>
          <w:tcPr>
            <w:tcW w:w="14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Paid in Cash</w:t>
            </w:r>
          </w:p>
        </w:tc>
        <w:tc>
          <w:tcPr>
            <w:tcW w:w="12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Awards (1)</w:t>
            </w:r>
          </w:p>
        </w:tc>
        <w:tc>
          <w:tcPr>
            <w:tcW w:w="156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6"/>
              </w:rPr>
              <w:t>Compensation (2)</w:t>
            </w:r>
          </w:p>
        </w:tc>
        <w:tc>
          <w:tcPr>
            <w:tcW w:w="82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Ronald J. Doerfler (3)</w:t>
            </w:r>
          </w:p>
        </w:tc>
        <w:tc>
          <w:tcPr>
            <w:tcW w:w="3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$53,244</w:t>
            </w:r>
          </w:p>
        </w:tc>
        <w:tc>
          <w:tcPr>
            <w:tcW w:w="5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$4,594</w:t>
            </w:r>
          </w:p>
        </w:tc>
        <w:tc>
          <w:tcPr>
            <w:tcW w:w="5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$57,838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Steven J. Heyer (4)</w:t>
            </w:r>
          </w:p>
        </w:tc>
        <w:tc>
          <w:tcPr>
            <w:tcW w:w="3120" w:type="dxa"/>
            <w:vAlign w:val="bottom"/>
          </w:tcPr>
          <w:p>
            <w:pPr>
              <w:spacing w:after="0"/>
              <w:rPr>
                <w:sz w:val="18"/>
                <w:szCs w:val="18"/>
                <w:color w:val="auto"/>
              </w:rPr>
            </w:pPr>
          </w:p>
        </w:tc>
        <w:tc>
          <w:tcPr>
            <w:tcW w:w="14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tcPr>
          <w:p>
            <w:pPr>
              <w:ind w:left="60"/>
              <w:spacing w:after="0"/>
              <w:rPr>
                <w:sz w:val="20"/>
                <w:szCs w:val="20"/>
                <w:color w:val="auto"/>
              </w:rPr>
            </w:pPr>
            <w:r>
              <w:rPr>
                <w:rFonts w:ascii="Arial" w:cs="Arial" w:eastAsia="Arial" w:hAnsi="Arial"/>
                <w:sz w:val="18"/>
                <w:szCs w:val="18"/>
                <w:color w:val="auto"/>
                <w:w w:val="85"/>
              </w:rPr>
              <w:t>$350,530</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$22,684</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$373,214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Sylvia Jay</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$126,625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$162,286</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$300,255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Philip A. Laskawy</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$124,375</w:t>
            </w:r>
          </w:p>
        </w:tc>
        <w:tc>
          <w:tcPr>
            <w:tcW w:w="54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w w:val="85"/>
              </w:rPr>
              <w:t>$162,807</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$8,442</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$295,624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Laurent Mignon (4)</w:t>
            </w:r>
          </w:p>
        </w:tc>
        <w:tc>
          <w:tcPr>
            <w:tcW w:w="3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$258,983</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Hal S. Scott</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$131,125</w:t>
            </w:r>
          </w:p>
        </w:tc>
        <w:tc>
          <w:tcPr>
            <w:tcW w:w="54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w w:val="85"/>
              </w:rPr>
              <w:t>$167,758</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$11,853</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$310,736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Turner</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$126,625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$162,286</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$300,255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90"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value of the DSUs reported in the table above is based on the grant date fair value of awards computed in accordance with FASB ASC Topic 718.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16 of Notes to the Consolidated Financial Statements of this Annual Report on Form 10-K for a discussion of the assumptions used in the valuation of the DSUs. The number and grant date fair value of DSUs granted on June 1, 2011 under FASB ASC Topic 718 (based on the closing price of Lazard Ltd Class A common stock on the NYSE at the time of the grant) were as follows: Mr. Heyer, 5,347, valued at $199,069; Lady Jay, 4,359, valued at $162,286; Mr. Laskawy, 4,373, valued at $162,807; Mr. Mignon, 3,915, valued at $145,755; Mr. Scott, 4,506, valued at $167,758; and Mr. Turner, 4,359, valued at $162,286. The total number of DSUs held by each of our non-employee directors as of December 31, 2011 was as follows: Mr. Heyer, 43,260; Lady Jay, 20,804; Mr. Laskawy, 16,014; Mr. Mignon, 18,064; Mr. Scott, 21,714; and Mr. Turner, 20,804.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cash dividends paid on the DSUs held by each of the directors listed in the table.</w:t>
      </w:r>
    </w:p>
    <w:p>
      <w:pPr>
        <w:spacing w:after="0" w:line="7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Doerfler, who served on our Board of Directors since June 2006, retired from the Board of Directors following the expiration of his term at the 2011 Annual General Meeting of Shareholders.</w:t>
      </w:r>
    </w:p>
    <w:p>
      <w:pPr>
        <w:spacing w:after="0" w:line="37" w:lineRule="exact"/>
        <w:rPr>
          <w:rFonts w:ascii="Arial" w:cs="Arial" w:eastAsia="Arial" w:hAnsi="Arial"/>
          <w:sz w:val="18"/>
          <w:szCs w:val="18"/>
          <w:color w:val="auto"/>
        </w:rPr>
      </w:pPr>
    </w:p>
    <w:p>
      <w:pPr>
        <w:ind w:left="460" w:right="140" w:hanging="452"/>
        <w:spacing w:after="0" w:line="335" w:lineRule="auto"/>
        <w:tabs>
          <w:tab w:leader="none" w:pos="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Messrs. Heyer and Mignon elected to defer their quarterly cash compensation into additional DSUs, pursuant to the terms of the Directors Fee Deferral Unit Plan. The number and grant date fair value of the resulting DSUs granted in lieu of cash (based on the closing price of Lazard Ltd’s Class A common stock on the NYSE on the applicable grant dates) were as follows: Mr. Heyer, 4,689, valued at $151,461; and Mr. Mignon, 3,495, valued at $113,227.</w:t>
      </w:r>
    </w:p>
    <w:p>
      <w:pPr>
        <w:spacing w:after="0" w:line="7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Vernon E. Jordan, Jr. is a member of our Board of Directors and is a Senior Managing Director of the Company. Gary W. Parr is also a member of our Board of Directors and is a Vice Chairman of the Company. Neither Mr. Jordan nor Mr. Parr is an executive officer of the Company, as that term is defined in the rules and regulations promulgated under the Securities Exchange Act of 1934, as amended (the “Exchange Act”). Accordingly, Messrs. Jordan and Parr cannot be named executive officers for purposes of the Summary Compensation Table, above, and are therefore not included in such table. Messrs. Jordan and Parr did not receive any fees for their service as members of the Board of Directors of the Company in 2011. In connection with the recapitalization in May 2005, each of Messrs. Jordan and Parr entered into retention agreements, as amended from time to time, consistent with the form applicable to our pre-IPO managing directors generally.</w:t>
      </w:r>
    </w:p>
    <w:p>
      <w:pPr>
        <w:spacing w:after="0" w:line="13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base salary and incentive compensation paid to Messrs. Jordan and Parr for their performance in 2011 in the manner it was considered by the Compensation Committee.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Incentive Compensation</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RSU or</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6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Annual</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604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Salary</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Cash Bonus</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Stock Award</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Compensation</w:t>
            </w: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Vernon E. Jordan, Jr.</w:t>
            </w:r>
          </w:p>
        </w:tc>
        <w:tc>
          <w:tcPr>
            <w:tcW w:w="4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$500,000</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$620,000</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$1,030,000</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Gary W. Parr</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2011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$750,000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$2,750,000</w:t>
            </w:r>
          </w:p>
        </w:tc>
        <w:tc>
          <w:tcPr>
            <w:tcW w:w="32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$4,000,000</w:t>
            </w:r>
          </w:p>
        </w:tc>
        <w:tc>
          <w:tcPr>
            <w:tcW w:w="960" w:type="dxa"/>
            <w:vAlign w:val="bottom"/>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19"/>
                <w:szCs w:val="19"/>
                <w:color w:val="auto"/>
              </w:rPr>
            </w:pPr>
          </w:p>
        </w:tc>
      </w:tr>
    </w:tbl>
    <w:p>
      <w:pPr>
        <w:spacing w:after="0" w:line="13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presentation differs from the presentation in the table below in the following respects: (i) including the full grant date value of the RSUs and restricted stock awards granted on February 10, 2012, which related to 2011 performance but are not reflected in the table below because they were granted after the end of our 2011 fiscal year and (ii) excluding the full grant date value of the RSUs and restricted stock awards granted on February 10, 2011, which are included in the table below but related to 2010 performance. In addition, the “All Other Compensation” column has been omitted, because it is not tied to the performance of Messrs. Jordan and Parr for 2011.</w:t>
      </w:r>
    </w:p>
    <w:p>
      <w:pPr>
        <w:spacing w:after="0" w:line="12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the compensation for each of Messrs. Jordan and Parr for 2011 as required under SEC rules for director compensation disclosure.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7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8"/>
              </w:rPr>
              <w:t>Name and Principal Position</w:t>
            </w:r>
          </w:p>
        </w:tc>
        <w:tc>
          <w:tcPr>
            <w:tcW w:w="14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Stock</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All Other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104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Awards (1)</w:t>
            </w:r>
          </w:p>
        </w:tc>
        <w:tc>
          <w:tcPr>
            <w:tcW w:w="13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Compensation (2)</w:t>
            </w:r>
          </w:p>
        </w:tc>
        <w:tc>
          <w:tcPr>
            <w:tcW w:w="1020" w:type="dxa"/>
            <w:vAlign w:val="bottom"/>
            <w:gridSpan w:val="2"/>
          </w:tcPr>
          <w:p>
            <w:pPr>
              <w:ind w:lef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Vernon E. Jordan, Jr.</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2011</w:t>
            </w: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$500,000</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$620,000</w:t>
            </w: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$1,270,000</w:t>
            </w: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$523,650</w:t>
            </w: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$2,913,650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Senior Managing Director</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3"/>
          </w:tcPr>
          <w:p>
            <w:pPr>
              <w:spacing w:after="0"/>
              <w:rPr>
                <w:sz w:val="20"/>
                <w:szCs w:val="20"/>
                <w:color w:val="auto"/>
              </w:rPr>
            </w:pPr>
            <w:r>
              <w:rPr>
                <w:rFonts w:ascii="Arial" w:cs="Arial" w:eastAsia="Arial" w:hAnsi="Arial"/>
                <w:sz w:val="18"/>
                <w:szCs w:val="18"/>
                <w:color w:val="auto"/>
              </w:rPr>
              <w:t>Gary W. Parr</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2011</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$750,000</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$2,750,000</w:t>
            </w: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$5,000,000</w:t>
            </w:r>
          </w:p>
        </w:tc>
        <w:tc>
          <w:tcPr>
            <w:tcW w:w="1080" w:type="dxa"/>
            <w:vAlign w:val="bottom"/>
          </w:tcPr>
          <w:p>
            <w:pPr>
              <w:jc w:val="right"/>
              <w:spacing w:after="0"/>
              <w:rPr>
                <w:sz w:val="20"/>
                <w:szCs w:val="20"/>
                <w:color w:val="auto"/>
              </w:rPr>
            </w:pPr>
            <w:r>
              <w:rPr>
                <w:rFonts w:ascii="Arial" w:cs="Arial" w:eastAsia="Arial" w:hAnsi="Arial"/>
                <w:sz w:val="18"/>
                <w:szCs w:val="18"/>
                <w:color w:val="auto"/>
              </w:rPr>
              <w:t>$21,153</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$8,521,153</w:t>
            </w:r>
          </w:p>
        </w:tc>
        <w:tc>
          <w:tcPr>
            <w:tcW w:w="0" w:type="dxa"/>
            <w:vAlign w:val="bottom"/>
          </w:tcPr>
          <w:p>
            <w:pPr>
              <w:spacing w:after="0"/>
              <w:rPr>
                <w:sz w:val="1"/>
                <w:szCs w:val="1"/>
                <w:color w:val="auto"/>
              </w:rPr>
            </w:pPr>
          </w:p>
        </w:tc>
      </w:tr>
      <w:tr>
        <w:trPr>
          <w:trHeight w:val="222"/>
        </w:trPr>
        <w:tc>
          <w:tcPr>
            <w:tcW w:w="4680" w:type="dxa"/>
            <w:vAlign w:val="bottom"/>
            <w:gridSpan w:val="3"/>
          </w:tcPr>
          <w:p>
            <w:pPr>
              <w:spacing w:after="0"/>
              <w:rPr>
                <w:sz w:val="20"/>
                <w:szCs w:val="20"/>
                <w:color w:val="auto"/>
              </w:rPr>
            </w:pPr>
            <w:r>
              <w:rPr>
                <w:rFonts w:ascii="Arial" w:cs="Arial" w:eastAsia="Arial" w:hAnsi="Arial"/>
                <w:sz w:val="18"/>
                <w:szCs w:val="18"/>
                <w:i w:val="1"/>
                <w:iCs w:val="1"/>
                <w:color w:val="auto"/>
              </w:rPr>
              <w:t>Vice Chairman</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40" w:hanging="452"/>
        <w:spacing w:after="0" w:line="256"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value of the RSUs and restricted stock is based on the grant date fair value of awards computed in accordance with FASB ASC Topic 718.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narrative discussion under the heading “Grants of Plan-Based Awards” for a description of the terms and conditions of the February 2011 grants. As of December 31, 2011, Mr. Parr held 1,080,734 RSUs and 54,437 shares of restricted stock. Mr. Jordan, who is currently eligible to retire, had all of his prior RSU awards vest in 2010 pursuant to the RSU Retirement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98" w:lineRule="auto"/>
        <w:rPr>
          <w:sz w:val="20"/>
          <w:szCs w:val="20"/>
          <w:color w:val="auto"/>
        </w:rPr>
      </w:pPr>
      <w:r>
        <w:rPr>
          <w:rFonts w:ascii="Arial" w:cs="Arial" w:eastAsia="Arial" w:hAnsi="Arial"/>
          <w:sz w:val="16"/>
          <w:szCs w:val="16"/>
          <w:color w:val="auto"/>
        </w:rPr>
        <w:t xml:space="preserve">Policy. </w:t>
      </w:r>
      <w:r>
        <w:rPr>
          <w:rFonts w:ascii="Arial" w:cs="Arial" w:eastAsia="Arial" w:hAnsi="Arial"/>
          <w:sz w:val="16"/>
          <w:szCs w:val="16"/>
          <w:i w:val="1"/>
          <w:iCs w:val="1"/>
          <w:color w:val="auto"/>
        </w:rPr>
        <w:t>See</w:t>
      </w:r>
      <w:r>
        <w:rPr>
          <w:rFonts w:ascii="Arial" w:cs="Arial" w:eastAsia="Arial" w:hAnsi="Arial"/>
          <w:sz w:val="16"/>
          <w:szCs w:val="16"/>
          <w:color w:val="auto"/>
        </w:rPr>
        <w:t xml:space="preserve"> “Compensation Discussion and Analysis—Design of Our Compensation Programs—Incentive Compensation” for a discussion of the RSU Retirement Policy. As of December 31, 2011, Mr. Jordan held a total of 47,078 shares of restricted stock that he received upon the vesting of such RSUs and which will remain subject to all restrictive covenants, including continued compliance with the non-compete, non-solicit and other provisions, contained in the original RSU award agreement through the original vesting date of the RSUs.</w:t>
      </w:r>
    </w:p>
    <w:p>
      <w:pPr>
        <w:spacing w:after="0" w:line="18" w:lineRule="exact"/>
        <w:rPr>
          <w:sz w:val="20"/>
          <w:szCs w:val="20"/>
          <w:color w:val="auto"/>
        </w:rPr>
      </w:pPr>
    </w:p>
    <w:p>
      <w:pPr>
        <w:ind w:left="460" w:right="8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Messrs. Jordan and Parr are the beneficiaries of Company provided life insurance, long-term disability insurance and excess liability insurance policies. In addition, the firm pays a portion of each of their health insurance premiums, as it does for all U.S. employees.</w:t>
      </w:r>
    </w:p>
    <w:p>
      <w:pPr>
        <w:spacing w:after="0" w:line="37"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Pursuant to a letter agreement entered into with Mr. Jordan in 1999, and subsequently amended on January 1, 2004, Mr. Jordan is entitled to benefits on the same basis as other managing directors and to use, on a priority basis, a corporate apartment in New York. The incremental cost to the Company of providing Mr. Jordan with use of this apartment was $288,000 in 2011. Mr. Jordan also received a tax gross-up payment of $217,356 as reimbursement for taxes paid on the imputed income from the use of the apartment.</w:t>
      </w:r>
    </w:p>
    <w:p>
      <w:pPr>
        <w:spacing w:after="0" w:line="48" w:lineRule="exact"/>
        <w:rPr>
          <w:rFonts w:ascii="Arial" w:cs="Arial" w:eastAsia="Arial" w:hAnsi="Arial"/>
          <w:sz w:val="18"/>
          <w:szCs w:val="18"/>
          <w:color w:val="auto"/>
        </w:rPr>
      </w:pPr>
    </w:p>
    <w:p>
      <w:pPr>
        <w:ind w:left="460" w:right="140"/>
        <w:spacing w:after="0" w:line="268" w:lineRule="auto"/>
        <w:rPr>
          <w:rFonts w:ascii="Arial" w:cs="Arial" w:eastAsia="Arial" w:hAnsi="Arial"/>
          <w:sz w:val="18"/>
          <w:szCs w:val="18"/>
          <w:color w:val="auto"/>
        </w:rPr>
      </w:pPr>
      <w:r>
        <w:rPr>
          <w:rFonts w:ascii="Arial" w:cs="Arial" w:eastAsia="Arial" w:hAnsi="Arial"/>
          <w:sz w:val="18"/>
          <w:szCs w:val="18"/>
          <w:color w:val="auto"/>
        </w:rPr>
        <w:t>Perquisite compensation for Mr. Parr includes the incremental cost to the Company of providing U.S. tax advice and preparation of year-end personal tax returns.</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Mr. Parr’s retention agreement was supplemented by a letter agreement, dated as of April 21, 2010, which sets forth his right to a guaranteed level of compensation through calendar year 2012. The letter agreement was amended on February 27, 2012 (as described below) to reflect Mr. Parr’s voluntary agreement to reduce his 2011 compensation. The letter agreement (without regard to the amendment) provides that so long as Mr. Parr remains employed by the Company at the end of the relevant year or is terminated without “cause”, he is entitled to receive a guaranteed annual payment of no less than $10 million (the “Annual Payment”), with at least $750,000 payable as annual base salary in accordance with the Company’s normal practices. The cash portion of Mr. Parr’s Annual Payment will be the greater of (i) $5 million and (ii) an amount calculated by multiplying the percentage of the average cash portion of annual total compensation paid to the Company’s Deputy Chairmen who have not yet reached retirement age in the relevant year by the Annual Payment. The remaining portion of the Annual Payment will be granted in RSUs upon the same terms and conditions as grants made to the Company’s Deputy Chairmen in the prior year.</w:t>
      </w:r>
    </w:p>
    <w:p>
      <w:pPr>
        <w:spacing w:after="0" w:line="9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Pursuant to the February 2012 amendment to the letter agreement, Mr. Parr voluntarily agreed to reduce his Annual Payment for 2011 to $7.5 million, which was paid $3.5 million in cash (including base salary and 2011 annual bonus) and the remaining $4 million in RSUs, which were granted on the same terms as applied in the original letter agreement. In addition, under the amended letter agreement, in lieu of the $2.5 million in compensation for 2011 that Mr. Parr would have been entitled to receive under the original letter agreement, Mr. Parr is entitled to the following: (i) 54,745 shares of restricted stock, which were granted on February 27, 2012 and will vest on February 11, 2013 and (ii) 36,496 RSUs, which will be granted on February 11, 2013 and will vest 33% on March 3, 2014 and 67% on March 2, 2015. Vesting of the restricted stock and RSUs is contingent on Mr. Parr’s continued employment until the relevant vesting date, provided that he will also vest if his employment is terminated without cause or due to death or disability. Upon a change in control (as defined in the 2008 Plan) prior to February 11, 2013, each of the awards described in the immediately preceding sentence will, if not granted as of such date, be deemed granted as of such date, and all such awards (both actually granted and deemed granted) will immediately vest.</w:t>
      </w:r>
    </w:p>
    <w:p>
      <w:pPr>
        <w:spacing w:after="0" w:line="10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accordance with a prior letter agreement with Mr. Parr, the letter agreement includes a gross-up payment in connection with any excise tax imposed under Section 4999 of the Code. In the event that Mr. Parr receives any payment made by us under the letter agreement or otherwise that is subject to the excise tax imposed under Section 4999 of the Code, an additional payment will be made to restore him to the after-tax position that he would have been in if the excise tax had not been imposed.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December 31, 2011, approximately 94.8% and 5.2% of our common membership interests are held by wholly-owned subsidiaries of Lazard Ltd and by LAZ-MD Holdings LLC, respectively. Our managing member interests are held by two indirect wholly-owned subsidiaries of Lazard Ltd and our profit participation interests are held by various managing directors.</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corporate governance listing standards of the NYSE, the Board of Directors has adopted standards for determining whether directors have material relationships with Lazard. Under these standards, a director employed by Lazard cannot be deemed to be an “independent director,” and consequently Messrs. Jacobs, Bhutani, Jordan and Parr are not independent directors of Lazard.</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Directors has determined that Messrs. Heyer, Laskawy, Scott and Turner and Lady Jay do not have a material relationship with Lazard under the Board of Directors’ standards for independence and accordingly each is independent under the NYSE corporate governance listing standards. In making its independence determinations, the Board of Directors considered financial advisory engagements of Lazard in 2011, 2010 and 2009 by L’Oreal USA, Inc., a sister company of L’Oreal UK. Lady Jay is Chairman of L’Oreal UK, but is not an executive officer of L’Oreal USA. Lazard provided financial advisory services in the ordinary course of business to L’Oreal USA pursuant to these engagements and the engagements were deemed per se immaterial pursuant to Lazard’s Standards of Director Independence.</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Directors also determined that Mr. Mignon was independent, after giving careful consideration to the relationship between Lazard and Natixis, of which Mr. Mignon is the Chief Executive Officer. Natixis is the successor entity in a merger with IXIS Corporate &amp; Investment Bank, which participated as an investor in the recapitalization transactions in May 2005, purchasing $150 million of Lazard Ltd’s equity security units and 2,000,000 shares of Lazard Ltd’s Class A common stock at the equity public offering price of $25 per share. In May 2008, Natixis acquired 4,999,800 additional shares of Lazard Ltd’s Class A common stock upon the settlement of the purchase contracts comprising a portion of Lazard Ltd’s equity security units. In connection with the original investment by Natixis in May 2005, Lazard agreed to nominate one person designated by Natixis to our Board of Directors, currently Mr. Mignon. Lazard also has a cooperation arrangement with Natixis in France. The cooperation arrangement provides that Lazard Group and Natixis will place and underwrite securities on the French equity primary capital markets under a common brand, “Lazard-Natixis,” and cooperate in their respective origination, syndication and placement activities. In 2011, the cooperation arrangement generated approximately $2.5 million of gross revenue for Natixis and $2.1 million of gross revenue for Lazard. We also received financial advisory fees in 2011, 2010 and 2009 of $4.3 million, $2.5 million and $2.1 million, respectively, with respect to transactions involving Natixis. The Board of Directors determined, in its business judgment, that these relationships were not material, noting that 2011 gross revenue generated pursuant to the cooperation arrangement and other transactions referenced above was less than 1% of Lazard’s gross revenue for 2011 and less than 1% of the annual gross revenue of Natixis for 2011. See “Agreement with Natixis” and “Certain Relationships with Our Directors, Executive Officers and Employees.”</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Related Party Transactions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Board of Directors has adopted a written policy requiring that all “Interested Transactions” (as defined below) be approved or ratified by either the Nominating &amp; Governance Committee of Lazard Ltd or, under certain circumstances, the Chair of the Nominating &amp; Governance Committee of Lazard Ltd. The Nominating &amp; Governance Committee of Lazard Ltd is required to review the material facts of all Interested Transactions that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require the Committee’s approval or ratification and either approve or disapprove of the entry into the Interested Transaction. In determining whether to approve or ratify an Interested Transaction, the Nominating &amp; Governance Committee of Lazard Ltd takes into account, among other factors it deems appropriate, whether the Interested Transaction is on terms no less favorable than terms generally available to an unaffiliated third-party under the same or similar circumstances and the extent of the interest of the “Related Party” (as defined below) in the transaction. In addition, the Board of Directors of Lazard Ltd has delegated to the Chair of the Nominating &amp; Governance Committee of Lazard Ltd the authority to pre-approve or ratify (as applicable) any Interested Transaction with a Related Party in which the aggregate amount involved is expected to be less than $1 million. A report is then made to the Nominating &amp; Governance Committee of Lazard Ltd at its next regularly scheduled meeting of each new Interested Transaction pre-approved by the Chair of the Nominating &amp; Governance Committee of Lazard Ltd. Any director who is a Related Party with respect to an Interested Transaction may not participate in any discussion or approval of such Interested Transaction. An “Interested Transaction” is one in which (i) we are a participant, (ii) the aggregate amount involved will or may be expected to exceed $120,000, (iii) one of our executive officers, directors, director nominees, 5% shareholders, or their family members (each a “Related Party”) has a direct or indirect material interest in the transaction and (iv) the transaction is required to be disclosed in our Proxy Statement or Annual Report on Form 10-K pursuant to the rules and regulations promulgated by the SEC.</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May 10, 2005, as part of Lazard Ltd’s equity public offering, we completed a series of financing transactions, the net proceeds of which were primarily used to redeem the outstanding Lazard Group membership interests of Lazard Group’s historical partners. In the discussions below, we refer to these financing transactions and the equity public offering, collectively, as the “recapitalization.” Concurrently, on May 10, 2005, Lazard Group transferred its capital markets business, which consisted of equity, fixed income and convertibles sales and trading, broking, research and underwriting services, its fund management activities outside of France and specified non-operating assets and liabilities, to LFCM Holdings. In the discussions below, we refer to these businesses, assets and liabilities as the “separated businesses” and these transfers collectively as the “separation.”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Relationship with LAZ-MD Holdings and LFCM Holdings</w:t>
      </w:r>
    </w:p>
    <w:p>
      <w:pPr>
        <w:spacing w:after="0" w:line="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As of December 31, 2011, LAZ-MD Holdings owned approximately 5.2% of the voting power of all shares of Lazard Ltd’s voting stock through its ownership of the Class B common stock of Lazard Ltd. LAZ-MD Holdings’ voting power in Lazard Ltd is intended to mirror its economic interest in Lazard Group, and its voting power will continue to decrease over time in connection with the exchange of the LAZ-MD Holdings exchangeable interests by the current and former working members of Lazard Group for shares of Lazard Ltd’s Class A common stock. The current and former working members of Lazard Group, including our managing directors who held working member interests at the time of the recapitalization, own LAZ-MD Holdings exchangeable interests and, through the LAZ-MD Holdings stockholders’ agreement, have the right to cause LAZ-MD Holdings to vote its Class B common stock on an as-if-exchanged basis.</w:t>
      </w:r>
    </w:p>
    <w:p>
      <w:pPr>
        <w:spacing w:after="0" w:line="13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LFCM Holdings, which is the entity that owns and operates the separated businesses, ceased to be a subsidiary of Lazard Group and LAZ-MD Holdings at the time of the separation. It is owned by current and former managing directors (including certain executive officers), who are members of LAZ-MD Holdings. A managing director of Lazard Frères &amp; Co LLC, a wholly owned subsidiary of Lazard Group, is the chairman of LFCM Holdings. LFCM Holdings shall reimburse us approximately $2.0 million for a portion of his salary and bonus in 2011 for services that he rendered to LFCM Holdings as its chairman. LFCM Holdings shall also reimburse us for services of certain other employees of our business that were rendered to LFCM Holdings during 2011.</w:t>
      </w:r>
    </w:p>
    <w:p>
      <w:pPr>
        <w:spacing w:after="0" w:line="10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entered into several agreements with Lazard Ltd, LAZ-MD Holdings and LFCM Holdings to effect the separation and recapitalization transactions and to define and regulate the relationships of the parties. Except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described in this section, we do not have any material arrangements with LAZ-MD Holdings and LFCM Holdings other than ordinary course business relationships on arm’s length terms.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with LAZ-MD Holdings and LFCM Holdings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provided below summary descriptions of the master separation agreement and the other key related agreements we entered into with Lazard Ltd, LAZ-MD Holdings and LFCM Holdings in connection with the separation and recapitalization transactions, as well as any material amendments thereto. These agreements effected the separation and recapitalization transactions and also provide a framework for our ongoing relationship with LAZ-MD Holdings and LFCM Holdings. These agreements include:</w:t>
      </w:r>
    </w:p>
    <w:p>
      <w:pPr>
        <w:spacing w:after="0" w:line="49"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master separation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license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administrative services agreement;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business alliance agreement.</w:t>
      </w:r>
    </w:p>
    <w:p>
      <w:pPr>
        <w:spacing w:after="0" w:line="10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The descriptions set forth below, which summarize selected terms of these agreements, are not complete. Copies of these agreements have been filed as exhibits to our Annual Report on Form 10-K and are available to the public from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Master Separation Agreement</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10, 2005, Lazard Ltd entered into the master separation agreement with Lazard Group, LAZ-MD Holdings and LFCM Holdings. The master separation agreement contains key provisions relating to the separation and recapitalization transactions and the relationship among the parties after completion of the separation and recapitalization. The master separation agreement identified the assets, liabilities and businesses of Lazard Group that were transferred to LFCM Holdings in connection with the separation and recapitalization and described when and how the separation and recapitalization occurred. In addition, the master separation agreement continues to regulate aspects of the relationship among the parties, including the exchange mechanics of the LAZ-MD Holdings exchangeable interests.</w:t>
      </w:r>
    </w:p>
    <w:p>
      <w:pPr>
        <w:spacing w:after="0" w:line="13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Relationship Among Lazard Ltd, Lazard Group, LAZ-MD Holdings and LFCM Holdings. </w:t>
      </w:r>
      <w:r>
        <w:rPr>
          <w:rFonts w:ascii="Arial" w:cs="Arial" w:eastAsia="Arial" w:hAnsi="Arial"/>
          <w:sz w:val="18"/>
          <w:szCs w:val="18"/>
          <w:color w:val="auto"/>
        </w:rPr>
        <w:t>The master separation agreement contains various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the relationship among Lazard Ltd, Lazard Group, LAZ-MD Holdings and LFCM Holdings after the separation and recapitalization, including with respect to the following matters.</w:t>
      </w:r>
    </w:p>
    <w:p>
      <w:pPr>
        <w:spacing w:after="0" w:line="12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i w:val="1"/>
          <w:iCs w:val="1"/>
          <w:color w:val="auto"/>
        </w:rPr>
        <w:t>Limitation on Scope of LAZ-MD Holdings’ Operations</w:t>
      </w:r>
      <w:r>
        <w:rPr>
          <w:rFonts w:ascii="Arial" w:cs="Arial" w:eastAsia="Arial" w:hAnsi="Arial"/>
          <w:sz w:val="18"/>
          <w:szCs w:val="18"/>
          <w:color w:val="auto"/>
        </w:rPr>
        <w:t>. The master separation agreement provides that LAZ-MD Holdings will not engage in any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other than to act as the holding company for the working members’ interests in Lazard Group and Lazard Ltd’s Class B common stock and actions incidental thereto, except as otherwise agreed by Lazard Ltd.</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Parity of Lazard Group Common Membership Interests and Lazard Ltd’s common stock</w:t>
      </w:r>
      <w:r>
        <w:rPr>
          <w:rFonts w:ascii="Arial" w:cs="Arial" w:eastAsia="Arial" w:hAnsi="Arial"/>
          <w:sz w:val="16"/>
          <w:szCs w:val="16"/>
          <w:color w:val="auto"/>
        </w:rPr>
        <w:t>. The master separation agreement sets forth the intention of</w:t>
      </w:r>
      <w:r>
        <w:rPr>
          <w:rFonts w:ascii="Arial" w:cs="Arial" w:eastAsia="Arial" w:hAnsi="Arial"/>
          <w:sz w:val="16"/>
          <w:szCs w:val="16"/>
          <w:i w:val="1"/>
          <w:iCs w:val="1"/>
          <w:color w:val="auto"/>
        </w:rPr>
        <w:t xml:space="preserve"> </w:t>
      </w:r>
      <w:r>
        <w:rPr>
          <w:rFonts w:ascii="Arial" w:cs="Arial" w:eastAsia="Arial" w:hAnsi="Arial"/>
          <w:sz w:val="16"/>
          <w:szCs w:val="16"/>
          <w:color w:val="auto"/>
        </w:rPr>
        <w:t>Lazard Group and Lazard Ltd that the number of Lazard Group common membership interests held by Lazard Ltd (or its subsidiaries) will at all times be equal in number to the number of outstanding shares of Lazard Ltd’s common stock, subject to customary anti-dilution adjustments.</w:t>
      </w:r>
    </w:p>
    <w:p>
      <w:pPr>
        <w:spacing w:after="0" w:line="9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master separation agreement sets forth the intention of Lazard Group to reimburse Lazard Ltd for its costs and expenses incurred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business.</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 xml:space="preserve">LAZ-MD Holdings Exchangeable Interests. </w:t>
      </w:r>
      <w:r>
        <w:rPr>
          <w:rFonts w:ascii="Arial" w:cs="Arial" w:eastAsia="Arial" w:hAnsi="Arial"/>
          <w:sz w:val="18"/>
          <w:szCs w:val="18"/>
          <w:color w:val="auto"/>
        </w:rPr>
        <w:t>The master separation agreement sets forth the terms and arrangements with respect to the LAZ-MD</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exchangeable interests, including the exchange rate and timing of exchangeability of those interests.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In general, under the master separation agreement, Lazard Group indemnifies LFCM Holdings, LAZ-MD Holdings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and affiliates for any and all losses (including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tax losses) that such persons incur to the extent arising out of or relating to our business (both historically and in the future) and any and all losses that LFCM Holdings, LAZ-MD Holdings and their respective representatives and affiliates incur arising out of or relating to any breach of the master separation agreement by Lazard Group or Lazard Ltd.</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general, under the master separation agreement, LFCM Holdings indemnifies Lazard Ltd, Lazard Group, LAZ-MD Holdings and their respective representatives and affiliates for any and all losses (including tax losses) that such persons incur arising out of or relating to the separated businesses and the businesses conducted by LFCM Holdings (both historically and in the future) and any and all losses that Lazard Ltd, Lazard Group, LAZ-MD Holdings and their respective representatives or affiliates incur arising out of or relating to any breach of the master separation agreement by LFCM Holdings.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under the master separation agreement, LAZ-MD Holdings indemnifies Lazard Ltd, Lazard Group, LFCM Holdings and their respective representatives and affiliates for any and all losses that such persons incur to the extent arising out of or relating to any breach of the master separation agreement by LAZ-MD Holdings.</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Any indemnification amounts are reduced by any insurance proceeds and other offsetting amounts recovered by the indemnitee. The master separation agreement specifies procedures with respect to claims subject to indemnification and related matters.</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The master separation agreement also contains provisions governing the sharing of information between Lazard Ltd and Lazard</w:t>
      </w:r>
      <w:r>
        <w:rPr>
          <w:rFonts w:ascii="Arial" w:cs="Arial" w:eastAsia="Arial" w:hAnsi="Arial"/>
          <w:sz w:val="18"/>
          <w:szCs w:val="18"/>
          <w:i w:val="1"/>
          <w:iCs w:val="1"/>
          <w:color w:val="auto"/>
        </w:rPr>
        <w:t xml:space="preserve"> </w:t>
      </w:r>
      <w:r>
        <w:rPr>
          <w:rFonts w:ascii="Arial" w:cs="Arial" w:eastAsia="Arial" w:hAnsi="Arial"/>
          <w:sz w:val="18"/>
          <w:szCs w:val="18"/>
          <w:color w:val="auto"/>
        </w:rPr>
        <w:t>Group, on the one hand, and LAZ-MD Holdings and LFCM Holdings, on the other hand.</w:t>
      </w:r>
    </w:p>
    <w:p>
      <w:pPr>
        <w:spacing w:after="0" w:line="118"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On November 6, 2006, Lazard Ltd, Lazard Group and LAZ-MD Holdings entered into Amendment No. 1 to the master separation agreement (the “amendment”). The amendment modified the provisions of the master separation agreement relating to the exchange terms of the LAZ-MD Holdings exchangeable interests. The modifications included the following:</w:t>
      </w:r>
    </w:p>
    <w:p>
      <w:pPr>
        <w:spacing w:after="0" w:line="46" w:lineRule="exact"/>
        <w:rPr>
          <w:sz w:val="20"/>
          <w:szCs w:val="20"/>
          <w:color w:val="auto"/>
        </w:rPr>
      </w:pPr>
    </w:p>
    <w:p>
      <w:pPr>
        <w:ind w:left="780" w:right="10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exchange of LAZ-MD Holdings exchangeable interests may be conditioned upon the actual sale of all or any portion (such amount designated by the holder) of the LAZ-MD Holdings exchangeable interests in connection with a registered offering.</w:t>
      </w:r>
    </w:p>
    <w:p>
      <w:pPr>
        <w:spacing w:after="0" w:line="37" w:lineRule="exact"/>
        <w:rPr>
          <w:rFonts w:ascii="Arial" w:cs="Arial" w:eastAsia="Arial" w:hAnsi="Arial"/>
          <w:sz w:val="18"/>
          <w:szCs w:val="18"/>
          <w:color w:val="auto"/>
        </w:rPr>
      </w:pPr>
    </w:p>
    <w:p>
      <w:pPr>
        <w:jc w:val="both"/>
        <w:ind w:left="780" w:right="20" w:hanging="326"/>
        <w:spacing w:after="0" w:line="259"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Holders of LAZ-MD Holdings exchangeable interests that are then exchangeable may exchange these interests not only at annual registration periods, but also in connection with demand and piggy-back registration opportunities and during window periods after the filing of selected Quarterly Reports on Form 10-Q and Annual Reports on Form 10-K by Lazard Ltd.</w:t>
      </w:r>
    </w:p>
    <w:p>
      <w:pPr>
        <w:spacing w:after="0" w:line="45" w:lineRule="exact"/>
        <w:rPr>
          <w:rFonts w:ascii="Arial" w:cs="Arial" w:eastAsia="Arial" w:hAnsi="Arial"/>
          <w:sz w:val="18"/>
          <w:szCs w:val="18"/>
          <w:color w:val="auto"/>
        </w:rPr>
      </w:pPr>
    </w:p>
    <w:p>
      <w:pPr>
        <w:ind w:left="780" w:right="60" w:hanging="326"/>
        <w:spacing w:after="0" w:line="335" w:lineRule="auto"/>
        <w:tabs>
          <w:tab w:leader="none" w:pos="7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 addition to requiring the consent of Lazard Ltd, Lazard Group and LAZ-MD Holdings to amend the exchangeability provisions, any amendment that materially and adversely impacts the rights of any holder thereunder requires the consent of such holder, or it will not apply to such person unless such amendment applies to, and affects the rights of all holders equally, regardless of whether or not such person is providing services to Lazard Ltd.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License Agreement</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logo, trademarks, trade names and service marks of Lazard are currently property of various wholly owned subsidiaries of Lazard Group. Pursuant to the master separation agreement, Lazard Group and those subsidiaries entered into a license agreement with LFCM Holdings that governs the use of the Lazard and LF names by LFCM Holdings in connection with the separated businesses.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general, LFCM Holdings is permitted to use the Lazard and LF names to the extent that the Lazard name was being used at the time of the separation and recapitalization by the separated businesses and is permitted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use the LF name solely for the use of the name LFCM Holdings LLC in its capacity as a holding company for the separated businesses. Under the agreement, LFCM Holdings pays $100,000 per year for the right to license the Lazard name. The license survives with respect to capital markets activities until the expiration or termination of the business alliance provided for in the business alliance agreement that LFCM Holdings entered into with Lazard Group. With respect to alternative investment (including private equity) activities, LFCM Holdings’ license survives until the earlier of the expiration, termination or closing of the options to purchase the North American and European fund management activities, granted in the business alliance agreement, as described in “—Business Alliance Agreement”, or until the business alliance agreement is terminated. The license for the LF name in LFCM Holdings LLC may be terminated by either party for any reason after the license with respect to the capital markets business and the license for the alternative investment activities have both expired or been terminated. Upon termination of either the license with respect to the capital markets business or the license for the alternative investment activities, the license fee for the calendar year following the termination and each year thereafter will be $75,000 per year. If both of those licenses are terminated, the license fee for the calendar year following the termination and each year thereafter will be $25,000 per year.</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entered into an administrative services agreement with LAZ-MD Holdings and LFCM Holdings regarding the provision of administrative and support services after the separation and recapitalization.</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provides selected administrative and support services to LAZ-MD Holdings and LFCM Holdings, such as:</w:t>
      </w:r>
    </w:p>
    <w:p>
      <w:pPr>
        <w:spacing w:after="0" w:line="37"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cash management and debt service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accounting and financing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payroll;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human resources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financial transaction support;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information technology;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public communications;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data processing;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procurement;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real estate management;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general administrative functions.</w:t>
      </w:r>
    </w:p>
    <w:p>
      <w:pPr>
        <w:spacing w:after="0" w:line="18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Lazard Group charges LFCM Holdings for the above services based on Lazard Group’s cost allocation methodology. Notwithstanding Lazard Group’s providing data processing services, Lazard Group does not provide any security administration services, as such services were transferred to LFCM Holdings.</w:t>
      </w:r>
    </w:p>
    <w:p>
      <w:pPr>
        <w:spacing w:after="0" w:line="4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also provides tax services to LAZ-MD Holdings and LFCM Holdings provides security administrative services to Lazard Group.</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services provided by Lazard Group to LFCM Holdings, and by LFCM Holdings to Lazard Group, under the administrative services agreement generally were to be provided until December 31, 2008, and were subject to automatic annual renewal, unless either party gives 180 days’ notice of termination. As of December 31, 2011, neither party has given notice of termination, and the agreement has been automatically renewed for an additional one-year period. LFCM Holdings and Lazard Group have a right to terminate the services earlier if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there is a change of control of either party or the business alliance provided for in the business alliance agreement expires or is terminated. The party receiving a service may also terminate a service earlier upon 180 days’ notice as long as such receiving party pays the service provider an additional 3 months of service fee for the terminated service. The services provided by Lazard Group to LAZ-MD Holdings will generally be provided until December 31, 2014, unless terminated earlier because of a change of control of either party. See Note 20 of Notes to the Consolidated Financial Statements for a discussion of payments made in 2011 under the administrative services agreement.</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in connection with the various agreements entered into in connection with the CP II MgmtCo Spin-Off, Lazard Group agreed to provide certain specified services to LFCM Holdings (which, in turn, LFCM Holdings may provide to CP II MgmtCo) pursuant to the administrative services agreement.</w:t>
      </w:r>
    </w:p>
    <w:p>
      <w:pPr>
        <w:spacing w:after="0" w:line="7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the absence of gross negligence or willful misconduct, the party receiving services under the administrative services agreement waives any rights and claims it may have against the service provider in respect of any services provided under the administrative services agreement.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Alliance Agreement</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Lazard Group and LFCM Holdings entered into a business alliance agreement that provides for the continuation of Lazard Group’s and LFCM Holdings’ business relationships in the areas and on the terms summarized below.</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business alliance agreement provides that Lazard Group will refer to LFCM Holdings selected opportunities for underwriting and distribution of securities. In addition, Lazard Group will provide assistance in the execution of any such referred business. In exchange for this referral obligation and assistance, Lazard Group is entitled to a referral fee from LFCM Holdings equal to approximately half of the revenue obtained by LFCM Holdings in respect of any underwriting or distribution opportunity. In addition, LFCM Holdings will refer opportunities in the Financial Advisory and Asset Management businesses to Lazard Group. In exchange for this referral, LFCM Holdings is entitled to a customary finders’ fee from Lazard Group. In addition, the business alliance agreement further provides that, during the term of the business alliance, Lazard Frères &amp; Co. LLC and Lazard Asset Management Securities LLC will introduce execution and settlement transactions to newly formed broker-dealer entities affiliated with LFCM Holdings. The term of the business alliance is subject to periodic automatic renewal, unless either party elects to terminate in connection with any such renewal or elects to terminate on account of a change of control of either party. As of December 31, 2011, neither party had given notice of termination. See Note 20 of Notes to the Consolidated Financial Statements for a discussion of payments made in 2011 under the business alliance agreement.</w:t>
      </w:r>
    </w:p>
    <w:p>
      <w:pPr>
        <w:spacing w:after="0" w:line="10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the business alliance agreement granted Lazard Group an option to purchase the North American fund management activities of Lazard Alternative Investments Holdings LLC, or “LAI,” the subsidiary of LFCM Holdings that owns and operates LFCM Holdings’ alternative investment activities. This option is currently exercisable at any time prior to May 10, 2014 for a purchase price of $2.5 million. The option price for the North American fund management activities reflects a reduction of $1.5 million due to the payment of a like amount to LFCM Holdings in February 2008 in connection with the initial public offering of Sapphire Industrials Corp., a special purpose acquisition company formed by a subsidiary of Lazard Group and a reduction of $4 million due to the payment of a like amount in February 2009 to LFCM Holdings in connection with the spin-off of Corporate Partners II Limited (“CP II”) to the investment professionals who managed CP II (the “CP II MgmtCo Spin-Off”) and the amendments to the business alliance agreement described below. LAI’s fund management activities initially consisted of fund management and general partner entities that were transferred to LFCM Holdings in connection with the separation. The business alliance agreement provides that, prior to the expiration, termination or exercise of the option, Lazard Group has certain governance rights with respect to LAI, and LFCM Holdings is required to support the business of LAI. Lazard Group may agree to new capital commitments and other obligations with respect to newly formed funds in its sole discretion. Lazard Group may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be entitled to receive from LFCM Holdings all or a portion of payments from the incentive fees attributable to newly established LAI funds less compensation payable to investment professionals who manage these funds. In addition, Lazard Group is obligated to abide by obligations that existed as of the date of the separation and recapitalization with respect to funds existing as of such date. In February 2009, pursuant to agreements entered into by us, a subsidiary of LAI (“LAI North America”), LFCM Holdings and the investment professionals who manage CP II, equity ownership of the management company of CP II (“CP II MgmtCo”) was transferred from LAI North America to the investment professionals who manage CP II. In connection with the CP II MgmtCo Spin-Off, Lazard Group made a $4 million cash payment to LFCM Holdings. In consideration for this payment, the business alliance agreement was amended to remove any restriction on Lazard Group engaging in private equity businesses in North America and to reduce the price of our option to acquire the fund management activities of LAI in North America from $6.5 million to $2.5 million. See Note 20 of Notes to the Company’s Consolidated Financial Statements.</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During the fourth quarter of 2011, the Company determined that it was unlikely to exercise the North American option. See Note 20 of Notes to the Consolidated Financial Statements.</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Pursuant to the business alliance agreement, LFCM Holdings agreed not to compete with any existing Lazard Group businesses until the latest to occur of the termination of the license agreement, the expiration, termination or exercise of the option to purchase the North American merchant banking activities or the expiration or termination of the business alliance.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LAZ-MD Holdings Stockholders’ Agreement</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Members of LAZ-MD Holdings, consisting of the current and former working members of Lazard Group, including our managing directors and certain executive officers, have entered into a stockholders’ agreement with LAZ-MD Holdings and Lazard Ltd that addresses, among other things, LAZ-MD Holdings’ voting of its share of Class B common stock of Lazard Ltd and registration rights in favor of the shareholders who are party to the agreement. Every working member at the time of the separation and recapitalization was offered the opportunity to become a party to the LAZ-MD Holdings stockholders’ agreement.</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LAZ-MD Holdings stockholders’ agreement will continue in effect until all LAZ-MD Holdings exchangeable interests have been exchanged for shares of Lazard Ltd’s common stock, and individual members of LAZ-MD Holdings will cease being party to the LAZ-MD Holdings stockholders’ agreement upon full exchange of his or her LAZ-MD Holdings exchangeable interests and underlying Lazard Group interests for Lazard Ltd’s common stock and such common stock is capable of resale generally under Rule 144 of the Securities Act of 1933, as amended (the “Securities Act”). The LAZ-MD Holdings stockholders’ agreement may be terminated on an earlier date by LAZ-MD Holdings members entitled to vote at least 66 2/3% of the aggregate voting power represented by the LAZ-MD Holdings members who are party to the LAZ-MD Holdings stockholders’ agreement. The LAZ-MD Holdings stockholders’ agreement generally may be amended at any time by a majority of the aggregate voting power represented by LAZ-MD Holdings members who are party to the LAZ-MD Holdings stockholders’ agreement.</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November 6, 2006, Lazard Group delivered to LAZ-MD Holdings an acknowledgement letter (the “acknowledgement letter”) modifying the terms of the retention agreements of persons party to the amended and restated LAZ-MD stockholders’ agreement who were at that time current managing directors. The modifications include Lazard Group’s agreement that, in the event that any such person shall become entitled to exchangeability immediately following the third anniversary of the initial equity public offering, or May 10, 2008, of his or her LAZ-MD Holdings exchangeable interests, that person will not forfeit the right to early exchangeability with respect to the first tranche of his or her LAZ-MD Holdings exchangeable interests if he or she breaches the restrictive covenants (</w:t>
      </w:r>
      <w:r>
        <w:rPr>
          <w:rFonts w:ascii="Arial" w:cs="Arial" w:eastAsia="Arial" w:hAnsi="Arial"/>
          <w:sz w:val="16"/>
          <w:szCs w:val="16"/>
          <w:i w:val="1"/>
          <w:iCs w:val="1"/>
          <w:color w:val="auto"/>
        </w:rPr>
        <w:t>i.e.</w:t>
      </w:r>
      <w:r>
        <w:rPr>
          <w:rFonts w:ascii="Arial" w:cs="Arial" w:eastAsia="Arial" w:hAnsi="Arial"/>
          <w:sz w:val="16"/>
          <w:szCs w:val="16"/>
          <w:color w:val="auto"/>
        </w:rPr>
        <w:t>, non-compete and non-solicitation provisions) in the retention agreement of such individual (although shares in the second and third tranches that would otherwise become exchangeable would not be exchangeable until the eighth anniversary of our equity public offering (May 10, 2013) in such an instance). The terms of the acknowledgement letter were approved by our Board of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u w:val="single" w:color="auto"/>
          <w:color w:val="auto"/>
        </w:rPr>
        <w:t>Registration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6, 2006, the LAZ-MD Holdings stockholders’ agreement was amended and restated. The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agreement modified in certain respects the terms of the registration rights granted to holders of the LAZ-MD Holdings exchangeable interests who are party to that agreement.</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amended and restated LAZ-MD Holdings stockholders’ agreement provides that the holders of shares of Lazard Ltd’s common stock already issued or to be issued upon exchange of the LAZ-MD Holdings exchangeable interests or the Lazard Group common membership interests currently held by LAZ-MD Holdings will be granted registration rights. These shares we refer to as “registrable securities,” and the holders of these registrable securities we refer to as “holders.” The holders are third-party beneficiaries for that purpose under the amended and restated LAZ-MD Holdings stockholders’ agreement, meaning that they will have the right to request LAZ-MD Holdings to compel Lazard Ltd to honor those obligations under the amended and restated LAZ-MD Holdings stockholders’ agreement.</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amended and restated LAZ-MD Holdings stockholders’ agreement provides that, after exchange for shares of Lazard Ltd’s common stock, each holder is entitled to unlimited “piggyback” registration rights, meaning that each holder can include his or her registrable securities in registration statements filed by Lazard Ltd, subject to certain limitations. Holders also have “demand” registration rights, meaning that, subject to certain limitations, after exchange for shares of Lazard Ltd’s common stock, they may require us to register the registrable securities held by them, provided that the minimum number of registrable securities necessary to effect a “demand” registration is the lesser of (1) the number of shares having a market value in excess of $50 million at such time (or $20 million after the ninth anniversary of our equity public offering (May 10, 2014)) or (2) 2,000,000 shares of our common stock. Lazard Ltd will pay the costs associated with all such registrations. Moreover, Lazard Ltd also will use its reasonable best efforts to file and make effective a registration statement on the third through the ninth anniversaries of the separation and recapitalization, in order to register registrable securities that were issued on those anniversaries or otherwise subject to continuing volume or transfer restrictions under Rule 144 of the Securities Act upon the exchange of the LAZ-MD Holdings exchangeable interests and the Lazard Group common membership interests, provided that the amount of registrable securities subject to such registration constitutes at least $50 million of shares of Lazard Ltd’s outstanding common stock.</w:t>
      </w:r>
    </w:p>
    <w:p>
      <w:pPr>
        <w:spacing w:after="0" w:line="11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Shares of Lazard Ltd’s common stock will cease to be registrable securities upon the consummation of any sale of such shares pursuant to an effective registration statement or under Rule 144 of the Securities Act or when they become eligible for sale under Rule 144 of the Securities Act. However, any holder who has shares that would have been registrable securities but for their eligibility for sale under Rule 144 and who holds, in the aggregate, an amount of registrable securities with a market value in excess of $25 million of Lazard Ltd’s outstanding common stock will be entitled to continued demand, annual registration and piggyback registration rights as described above.</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amendments to the registration rights provisions of the amended and restated stockholders’ agreement shall require the affirmative approval of holders holding two-thirds of the shares of Lazard Ltd common stock covered under the amended and restated stockholders’ agreement in addition to the consent of Lazard Ltd and LAZ-MD Holdings, and any amendment that materially and adversely impacts the rights of any holder under the amended and restated stockholders’ agreement will also require the consent of such holder or it will not apply to such person unless such amendment applies to and affects the rights of all holders equally, regardless of whether or not such person is providing services to Lazard Ltd.</w:t>
      </w:r>
    </w:p>
    <w:p>
      <w:pPr>
        <w:spacing w:after="0" w:line="10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Each holder of registrable securities party to the amended and restated stockholders’ agreement may enforce his or her registration rights directly against Lazard Ltd, although LAZ-MD Holdings may elect to assume, seek and conduct the enforcement of any claims itself on behalf of such holder.</w:t>
      </w:r>
    </w:p>
    <w:p>
      <w:pPr>
        <w:spacing w:after="0" w:line="7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expect that substantially all of Lazard Ltd’s common stock to be issued upon exchange of the LAZ-MD Holdings exchangeable interests will have the foregoing registration rights.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u w:val="single" w:color="auto"/>
          <w:color w:val="auto"/>
        </w:rPr>
        <w:t>Voting Rights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any vote of the shareholders of Lazard Ltd, the LAZ-MD Holdings stockholders’ agreement requires a separate, preliminary vote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members of LAZ-MD Holdings who are party to the LAZ-MD Holdings stockholders’ agreement (either by a meeting or by proxy or written instruction of the members of LAZ-MD Holdings) on each matter upon which a vote of the shareholders is proposed to be taken. Pursuant to the LAZ-MD Holdings stockholders’ agreement, members of LAZ-MD Holdings holding LAZ-MD Holdings exchangeable interests who are party to that agreement are individually entitled to direct LAZ-MD Holdings how to vote their proportionate interest in Lazard Ltd’s Class B common stock on an as-if-exchanged basis. For example, if a current or former working member’s LAZ-MD Holdings exchangeable interests were exchangeable for 1,000 shares of Lazard Ltd’s common stock, that working member would be able to instruct LAZ-MD Holdings how to vote 1,000 of the votes represented by the Class B common stock of Lazard Ltd. However, the LAZ-MD Holdings Board of Directors has the ability to vote the voting interest represented by the Class B common stock of Lazard Ltd in its discretion if the LAZ-MD Holdings Board of Directors determines that it is in the best interests of LAZ-MD Holdings.</w:t>
      </w:r>
    </w:p>
    <w:p>
      <w:pPr>
        <w:spacing w:after="0" w:line="106"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The votes under the Class B common stock of Lazard Ltd that are associated with any current or former working member who does not direct LAZ-MD Holdings how to vote on a particular matter will be abstained from voting. The terms of the LAZ-MD Holdings stockholders’ agreement with respect to voting continue to apply to any party to the LAZ-MD Holdings stockholders’ agreement who receives Lazard Group common membership interests upon exchange of his or her LAZ-MD Holdings exchangeable interests, until such time as that holder exchanges all of his or her Lazard Group common membership interests for shares of Lazard Ltd’s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with Our Directors, Executive Officers and Employees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Laurent Mignon, a member of our Board of Directors, is the Chief Executive Officer of Natixis. In April 2004, Lazard Group and Natixis (as the successor to IXIS Corporate &amp; Investment Bank) entered into a cooperation arrangement to place and underwrite securities on the French capital markets under a common brand, “Lazard-Natixis” (formerly “Lazard-Ixis”), and cooperate in their respective origination, syndication, placement and other activities. This cooperation covers French listed companies exceeding a market capitalization of €500 million. On March 15, 2005, Lazard Group and Natixis expanded this arrangement into an exclusive arrangement within France. The cooperation arrangement was renewed on July 8, 2010 and will continue for an additional two year term until July 8, 2012. In 2011, the cooperation arrangement generated approximately $2.1 million of gross revenue for Lazard.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the fiscal years ended December 31, 2011 and 2010, fees for services provided by Deloitte &amp; Touche LLP, the member firms of Deloitte Touche Tohmatsu and their respective affiliates were as follows (in thousands of dollars):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964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5"/>
                <w:szCs w:val="15"/>
                <w:color w:val="auto"/>
              </w:rPr>
            </w:pPr>
          </w:p>
        </w:tc>
        <w:tc>
          <w:tcPr>
            <w:tcW w:w="6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r>
      <w:tr>
        <w:trPr>
          <w:trHeight w:val="181"/>
        </w:trPr>
        <w:tc>
          <w:tcPr>
            <w:tcW w:w="99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0"/>
              </w:rPr>
              <w:t xml:space="preserve">Audit Fees </w:t>
            </w:r>
            <w:r>
              <w:rPr>
                <w:rFonts w:ascii="Arial" w:cs="Arial" w:eastAsia="Arial" w:hAnsi="Arial"/>
                <w:sz w:val="18"/>
                <w:szCs w:val="18"/>
                <w:color w:val="auto"/>
                <w:w w:val="90"/>
              </w:rPr>
              <w:t>for the audit of Lazard’s annual financial statements, the audit of the effectiveness of Lazard’s controls over financial reporting</w:t>
            </w: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9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and reviews of the financial statements included in Lazard’s quarterly reports on Form 10-Q, including services in connection with</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and regulatory filings or engagements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6,544</w:t>
            </w:r>
          </w:p>
        </w:tc>
      </w:tr>
      <w:tr>
        <w:trPr>
          <w:trHeight w:val="208"/>
        </w:trPr>
        <w:tc>
          <w:tcPr>
            <w:tcW w:w="9920" w:type="dxa"/>
            <w:vAlign w:val="bottom"/>
            <w:gridSpan w:val="2"/>
          </w:tcPr>
          <w:p>
            <w:pPr>
              <w:spacing w:after="0"/>
              <w:rPr>
                <w:sz w:val="20"/>
                <w:szCs w:val="20"/>
                <w:color w:val="auto"/>
              </w:rPr>
            </w:pPr>
            <w:r>
              <w:rPr>
                <w:rFonts w:ascii="Arial" w:cs="Arial" w:eastAsia="Arial" w:hAnsi="Arial"/>
                <w:sz w:val="18"/>
                <w:szCs w:val="18"/>
                <w:b w:val="1"/>
                <w:bCs w:val="1"/>
                <w:color w:val="auto"/>
                <w:w w:val="95"/>
              </w:rPr>
              <w:t>Audit-Related Fees</w:t>
            </w:r>
            <w:r>
              <w:rPr>
                <w:rFonts w:ascii="Arial" w:cs="Arial" w:eastAsia="Arial" w:hAnsi="Arial"/>
                <w:sz w:val="18"/>
                <w:szCs w:val="18"/>
                <w:color w:val="auto"/>
                <w:w w:val="95"/>
              </w:rPr>
              <w:t>, including fees for audits of employee benefit plans, computer and control related audit services, agreed-upon</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920" w:type="dxa"/>
            <w:vAlign w:val="bottom"/>
            <w:gridSpan w:val="2"/>
          </w:tcPr>
          <w:p>
            <w:pPr>
              <w:ind w:left="220"/>
              <w:spacing w:after="0"/>
              <w:rPr>
                <w:sz w:val="20"/>
                <w:szCs w:val="20"/>
                <w:color w:val="auto"/>
              </w:rPr>
            </w:pPr>
            <w:r>
              <w:rPr>
                <w:rFonts w:ascii="Arial" w:cs="Arial" w:eastAsia="Arial" w:hAnsi="Arial"/>
                <w:sz w:val="18"/>
                <w:szCs w:val="18"/>
                <w:color w:val="auto"/>
                <w:w w:val="89"/>
              </w:rPr>
              <w:t>procedures, merger and acquisition assistance, regulatory and compliance reviews, fund audits and other accounting research services</w:t>
            </w:r>
          </w:p>
        </w:tc>
        <w:tc>
          <w:tcPr>
            <w:tcW w:w="580" w:type="dxa"/>
            <w:vAlign w:val="bottom"/>
          </w:tcPr>
          <w:p>
            <w:pPr>
              <w:jc w:val="right"/>
              <w:spacing w:after="0"/>
              <w:rPr>
                <w:sz w:val="20"/>
                <w:szCs w:val="20"/>
                <w:color w:val="auto"/>
              </w:rPr>
            </w:pPr>
            <w:r>
              <w:rPr>
                <w:rFonts w:ascii="Arial" w:cs="Arial" w:eastAsia="Arial" w:hAnsi="Arial"/>
                <w:sz w:val="18"/>
                <w:szCs w:val="18"/>
                <w:color w:val="auto"/>
              </w:rPr>
              <w:t>$1,378</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r>
      <w:tr>
        <w:trPr>
          <w:trHeight w:val="218"/>
        </w:trPr>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for tax consulting and compliance services not related to the audit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r>
      <w:tr>
        <w:trPr>
          <w:trHeight w:val="228"/>
        </w:trPr>
        <w:tc>
          <w:tcPr>
            <w:tcW w:w="9920" w:type="dxa"/>
            <w:vAlign w:val="bottom"/>
            <w:gridSpan w:val="2"/>
          </w:tcPr>
          <w:p>
            <w:pPr>
              <w:spacing w:after="0"/>
              <w:rPr>
                <w:sz w:val="20"/>
                <w:szCs w:val="20"/>
                <w:color w:val="auto"/>
              </w:rPr>
            </w:pPr>
            <w:r>
              <w:rPr>
                <w:rFonts w:ascii="Arial" w:cs="Arial" w:eastAsia="Arial" w:hAnsi="Arial"/>
                <w:sz w:val="18"/>
                <w:szCs w:val="18"/>
                <w:b w:val="1"/>
                <w:bCs w:val="1"/>
                <w:color w:val="auto"/>
              </w:rPr>
              <w:t>All Other Fees</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350"/>
        </w:trPr>
        <w:tc>
          <w:tcPr>
            <w:tcW w:w="9920" w:type="dxa"/>
            <w:vAlign w:val="bottom"/>
            <w:gridSpan w:val="2"/>
          </w:tcPr>
          <w:p>
            <w:pPr>
              <w:ind w:left="5580"/>
              <w:spacing w:after="0"/>
              <w:rPr>
                <w:sz w:val="20"/>
                <w:szCs w:val="20"/>
                <w:color w:val="auto"/>
              </w:rPr>
            </w:pPr>
            <w:r>
              <w:rPr>
                <w:rFonts w:ascii="Arial" w:cs="Arial" w:eastAsia="Arial" w:hAnsi="Arial"/>
                <w:sz w:val="18"/>
                <w:szCs w:val="18"/>
                <w:color w:val="auto"/>
              </w:rPr>
              <w:t>165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 Ltd’s Audit Committee has adopted a policy regarding pre-approval of audit and non-audit services provided by Deloitte &amp; Touche LLP to Lazard and its subsidiaries. The policy provides the guidelines necessary to adhere to Lazard’s commitment to auditor independence and compliance with relevant laws, regulations and guidelines relating to auditor independence. The policy sets forth four categories of permitted services (Audit, Audit-Related, Tax and Other), listing the types of permitted services in each category. All of the permitted services require pre-approval by the Audit Committee. In lieu of Audit Committee pre-approval on an engagement-by-engagement basis, each category of permitted services, with reasonable detail as to the types of services contemplated, is pre-approved as part of the annual budget approval by the Audit Committee. Permitted services not contemplated during the budget process must be presented to the Audit Committee for approval prior to the commencement of the relevant engagement. The Audit Committee chair, or, if he is not available, any other member of the Committee, may grant approval for any such engagement if approval is required prior to the next scheduled meeting of the Committee. The Audit Committee is periodically presented with a report showing amounts billed by the independent auditor compared to the budget approvals for each of the categories of permitted services.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77"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76" w:lineRule="exact"/>
        <w:rPr>
          <w:rFonts w:ascii="Arial" w:cs="Arial" w:eastAsia="Arial" w:hAnsi="Arial"/>
          <w:sz w:val="18"/>
          <w:szCs w:val="18"/>
          <w:b w:val="1"/>
          <w:bCs w:val="1"/>
          <w:color w:val="auto"/>
        </w:rPr>
      </w:pPr>
    </w:p>
    <w:p>
      <w:pPr>
        <w:ind w:left="900" w:hanging="446"/>
        <w:spacing w:after="0"/>
        <w:tabs>
          <w:tab w:leader="none" w:pos="90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82" w:lineRule="exact"/>
        <w:rPr>
          <w:rFonts w:ascii="Arial" w:cs="Arial" w:eastAsia="Arial" w:hAnsi="Arial"/>
          <w:sz w:val="18"/>
          <w:szCs w:val="18"/>
          <w:b w:val="1"/>
          <w:bCs w:val="1"/>
          <w:color w:val="auto"/>
        </w:rPr>
      </w:pPr>
    </w:p>
    <w:p>
      <w:pPr>
        <w:ind w:left="90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12" w:lineRule="exact"/>
        <w:rPr>
          <w:rFonts w:ascii="Arial" w:cs="Arial" w:eastAsia="Arial" w:hAnsi="Arial"/>
          <w:sz w:val="18"/>
          <w:szCs w:val="18"/>
          <w:b w:val="1"/>
          <w:bCs w:val="1"/>
          <w:color w:val="auto"/>
        </w:rPr>
      </w:pPr>
    </w:p>
    <w:p>
      <w:pPr>
        <w:ind w:left="900" w:hanging="446"/>
        <w:spacing w:after="0"/>
        <w:tabs>
          <w:tab w:leader="none" w:pos="90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82" w:lineRule="exact"/>
        <w:rPr>
          <w:rFonts w:ascii="Arial" w:cs="Arial" w:eastAsia="Arial" w:hAnsi="Arial"/>
          <w:sz w:val="18"/>
          <w:szCs w:val="18"/>
          <w:b w:val="1"/>
          <w:bCs w:val="1"/>
          <w:color w:val="auto"/>
        </w:rPr>
      </w:pPr>
    </w:p>
    <w:p>
      <w:pPr>
        <w:ind w:left="9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F-8 hereof.</w:t>
      </w:r>
    </w:p>
    <w:p>
      <w:pPr>
        <w:spacing w:after="0" w:line="112" w:lineRule="exact"/>
        <w:rPr>
          <w:rFonts w:ascii="Arial" w:cs="Arial" w:eastAsia="Arial" w:hAnsi="Arial"/>
          <w:sz w:val="18"/>
          <w:szCs w:val="18"/>
          <w:b w:val="1"/>
          <w:bCs w:val="1"/>
          <w:color w:val="auto"/>
        </w:rPr>
      </w:pPr>
    </w:p>
    <w:p>
      <w:pPr>
        <w:ind w:left="900" w:hanging="446"/>
        <w:spacing w:after="0"/>
        <w:tabs>
          <w:tab w:leader="none" w:pos="90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3.1</w:t>
            </w: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3.2</w:t>
            </w:r>
          </w:p>
        </w:tc>
        <w:tc>
          <w:tcPr>
            <w:tcW w:w="10480" w:type="dxa"/>
            <w:vAlign w:val="bottom"/>
          </w:tcPr>
          <w:p>
            <w:pPr>
              <w:ind w:left="48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3.3</w:t>
            </w:r>
          </w:p>
        </w:tc>
        <w:tc>
          <w:tcPr>
            <w:tcW w:w="10480" w:type="dxa"/>
            <w:vAlign w:val="bottom"/>
          </w:tcPr>
          <w:p>
            <w:pPr>
              <w:ind w:left="48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3.4</w:t>
            </w: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3.5</w:t>
            </w: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Amendment No. 2, dated as of May 7, 2008, to the Operating Agreement of Lazard Group LLC, dated as of May 10, 2005 (incorporated by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3.6</w:t>
            </w:r>
          </w:p>
        </w:tc>
        <w:tc>
          <w:tcPr>
            <w:tcW w:w="10480" w:type="dxa"/>
            <w:vAlign w:val="bottom"/>
          </w:tcPr>
          <w:p>
            <w:pPr>
              <w:ind w:left="480"/>
              <w:spacing w:after="0"/>
              <w:rPr>
                <w:sz w:val="20"/>
                <w:szCs w:val="20"/>
                <w:color w:val="auto"/>
              </w:rPr>
            </w:pPr>
            <w:r>
              <w:rPr>
                <w:rFonts w:ascii="Arial" w:cs="Arial" w:eastAsia="Arial" w:hAnsi="Arial"/>
                <w:sz w:val="18"/>
                <w:szCs w:val="18"/>
                <w:color w:val="auto"/>
                <w:w w:val="89"/>
              </w:rPr>
              <w:t>Amendment No. 3, dated as of April 27, 2010, to the Operating Agreement of Lazard Group LLC, dated as of May 10, 2005 (incorporated by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10480" w:type="dxa"/>
            <w:vAlign w:val="bottom"/>
          </w:tcPr>
          <w:p>
            <w:pPr>
              <w:ind w:left="48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4.2</w:t>
            </w:r>
          </w:p>
        </w:tc>
        <w:tc>
          <w:tcPr>
            <w:tcW w:w="10480" w:type="dxa"/>
            <w:vAlign w:val="bottom"/>
          </w:tcPr>
          <w:p>
            <w:pPr>
              <w:ind w:left="480"/>
              <w:spacing w:after="0"/>
              <w:rPr>
                <w:sz w:val="20"/>
                <w:szCs w:val="20"/>
                <w:color w:val="auto"/>
              </w:rPr>
            </w:pPr>
            <w:r>
              <w:rPr>
                <w:rFonts w:ascii="Arial" w:cs="Arial" w:eastAsia="Arial" w:hAnsi="Arial"/>
                <w:sz w:val="18"/>
                <w:szCs w:val="18"/>
                <w:color w:val="auto"/>
                <w:w w:val="87"/>
              </w:rPr>
              <w:t>Amended and Restated Third Supplemental Indenture, dated as of May 15, 2008, by and among the Registrant and The Bank of New York, as</w:t>
            </w:r>
          </w:p>
        </w:tc>
      </w:tr>
      <w:tr>
        <w:trPr>
          <w:trHeight w:val="216"/>
        </w:trPr>
        <w:tc>
          <w:tcPr>
            <w:tcW w:w="68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89"/>
              </w:rPr>
              <w:t>trustee (and incorporated by reference to Exhibit 4.1 to the Registrants’ Current Report on Form 8-K (Commission File No. 333-126751) filed</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on May 16,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4.3</w:t>
            </w:r>
          </w:p>
        </w:tc>
        <w:tc>
          <w:tcPr>
            <w:tcW w:w="10480" w:type="dxa"/>
            <w:vAlign w:val="bottom"/>
          </w:tcPr>
          <w:p>
            <w:pPr>
              <w:ind w:left="48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24"/>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4.4</w:t>
            </w:r>
          </w:p>
        </w:tc>
        <w:tc>
          <w:tcPr>
            <w:tcW w:w="1048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4.2).</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4.5</w:t>
            </w:r>
          </w:p>
        </w:tc>
        <w:tc>
          <w:tcPr>
            <w:tcW w:w="10480" w:type="dxa"/>
            <w:vAlign w:val="bottom"/>
          </w:tcPr>
          <w:p>
            <w:pPr>
              <w:ind w:left="480"/>
              <w:spacing w:after="0"/>
              <w:rPr>
                <w:sz w:val="20"/>
                <w:szCs w:val="20"/>
                <w:color w:val="auto"/>
              </w:rPr>
            </w:pPr>
            <w:r>
              <w:rPr>
                <w:rFonts w:ascii="Arial" w:cs="Arial" w:eastAsia="Arial" w:hAnsi="Arial"/>
                <w:sz w:val="18"/>
                <w:szCs w:val="18"/>
                <w:color w:val="auto"/>
                <w:w w:val="89"/>
              </w:rPr>
              <w:t>$546 million, 7.125% Senior Notes Due 2015, issued by the Registrant (incorporated by reference to Exhibit 4.5 to the Registrant’s Quarterly</w:t>
            </w:r>
          </w:p>
        </w:tc>
      </w:tr>
      <w:tr>
        <w:trPr>
          <w:trHeight w:val="222"/>
        </w:trPr>
        <w:tc>
          <w:tcPr>
            <w:tcW w:w="68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Report (File No. 333-126751) on Form 10-Q filed on November 14, 2005).</w:t>
            </w:r>
          </w:p>
        </w:tc>
      </w:tr>
      <w:tr>
        <w:trPr>
          <w:trHeight w:val="365"/>
        </w:trPr>
        <w:tc>
          <w:tcPr>
            <w:tcW w:w="680" w:type="dxa"/>
            <w:vAlign w:val="bottom"/>
          </w:tcPr>
          <w:p>
            <w:pPr>
              <w:spacing w:after="0"/>
              <w:rPr>
                <w:sz w:val="24"/>
                <w:szCs w:val="24"/>
                <w:color w:val="auto"/>
              </w:rPr>
            </w:pPr>
          </w:p>
        </w:tc>
        <w:tc>
          <w:tcPr>
            <w:tcW w:w="10480" w:type="dxa"/>
            <w:vAlign w:val="bottom"/>
          </w:tcPr>
          <w:p>
            <w:pPr>
              <w:ind w:left="4800"/>
              <w:spacing w:after="0"/>
              <w:rPr>
                <w:sz w:val="20"/>
                <w:szCs w:val="20"/>
                <w:color w:val="auto"/>
              </w:rPr>
            </w:pPr>
            <w:r>
              <w:rPr>
                <w:rFonts w:ascii="Arial" w:cs="Arial" w:eastAsia="Arial" w:hAnsi="Arial"/>
                <w:sz w:val="18"/>
                <w:szCs w:val="18"/>
                <w:color w:val="auto"/>
              </w:rPr>
              <w:t>167</w:t>
            </w:r>
          </w:p>
        </w:tc>
      </w:tr>
    </w:tbl>
    <w:p>
      <w:pPr>
        <w:sectPr>
          <w:pgSz w:w="11900" w:h="16838" w:orient="portrait"/>
          <w:cols w:equalWidth="0" w:num="1">
            <w:col w:w="11260"/>
          </w:cols>
          <w:pgMar w:left="240" w:top="460" w:right="3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Master Separation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Holdings LLC (incorporated by reference to Exhibit 2.1 to Lazard Ltd’s Quarterly Report (File No. 001-32492) on Form 10-Q filed on June 16,</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42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dated as of May 10, 2005, by and among the Registrant, Lazard Ltd and LAZ-MD Holdings LLC (incorporated by reference to Exhibit 10.2 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the Registrant’s Quarterly Report (File No. 333-126751) on Form 10-Q filed on November 7, 2006).</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Second Amendment, dated as of May 7, 2008, to the Master Separation Agreement, dated as of May 10, 2005, as amended, by and among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Registrant, Lazard Ltd and LAZ-MD Holdings LLC (incorporated by reference to Exhibit 2.1 to the Registrant’s Current Report on Form 8-K</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(File No. 333-126751)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Amended and Restated Stockholders’ Agreement, dated as of November 6, 2006, by and among LAZ-MD Holdings LLC, Lazard Ltd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certain members of LAZ-MD Holdings LLC (incorporated by reference to Exhibit 10.4 to the Registrant’s Quarterly Report (File No. 333-</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10.6 to the Registrant’s Quarterly Report (File No. 333-126751)</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Employee Benefits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Holdings LLC (incorporated by reference to Exhibit 10.4 to Lazard Ltd’s Quarterly Report (File No. 001-32492) on Form 10-Q filed on</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420"/>
              <w:spacing w:after="0"/>
              <w:rPr>
                <w:sz w:val="20"/>
                <w:szCs w:val="20"/>
                <w:color w:val="auto"/>
              </w:rPr>
            </w:pPr>
            <w:r>
              <w:rPr>
                <w:rFonts w:ascii="Arial" w:cs="Arial" w:eastAsia="Arial" w:hAnsi="Arial"/>
                <w:sz w:val="18"/>
                <w:szCs w:val="18"/>
                <w:color w:val="auto"/>
                <w:w w:val="97"/>
              </w:rPr>
              <w:t>Administrative Services Agreement, dated as of May 10, 2005, by and among LAZ-MD Holdings LLC, LFCM Holdings LLC and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Registrant (incorporated by reference to Exhibit 10.7 to Lazard Ltd’s Quarterly Report (File No. 001-32492) on Form 10-Q filed on June 16,</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Business Alliance Agreement, dated as of May 10, 2005, by and between the Registrant and LFCM Holdings LLC (incorporated by reference 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10.8 to Lazard Ltd’s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Amendment and Consent, dated February 9, 2009, to the Business Alliance Agreement, dated as of May 10, 2005, by and between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Registrant and LFCM Holdings LLC (incorporated by reference to Exhibit 10.12 to Lazard Ltd’s Annual Report (File No. 001-32492) on Form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8"/>
                <w:szCs w:val="18"/>
                <w:color w:val="auto"/>
              </w:rPr>
              <w:t>168</w:t>
            </w:r>
          </w:p>
        </w:tc>
      </w:tr>
    </w:tbl>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10.15 to the Registrant’s Quarterly Report (File No. 333-126751)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Lazard Ltd’s Registration Statement (File No. 333-121407) on Form 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Burford (Stratton) Limited, Lazard &amp; Co., Limited and Lazard LLC (incorporated by reference to Exhibit 10.21 to Lazard Ltd’s Registration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2005 Equity Incentive Plan (incorporated by reference to Exhibit 10.21 to Lazard Ltd’s Registration Statement (File No. 333-</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Lazard Ltd’s 2008 Incentive Compensation Plan (incorporated by reference to Annex B to Lazard Ltd’s Definitive Proxy Statement on Schedule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Lazard Ltd’s 2005 Bonus Plan (incorporated by reference to Exhibit 10.23 to Lazard Ltd’s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Schedule I for each of Michael J. Castellano and Scott D. Hoffman (incorporated by reference to Exhibit 10.26 to Lazard Ltd’s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on Form 8-K (File No. 333-126751)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of May 4, 2005 (as amended from time to time), for Michael J. Castellano (incorporated by reference to Exhibit 10.26 to Registrant’s Annual</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333-126751)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10.24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Relating to Retention and Noncompetition and Other Covenants (incorporated by reference to Exhibit 10.27 to Lazard Ltd’s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Alexander F. Stern (incorporated by reference to Exhibit 10.28 to Registrant’s Annual Report (File No. 333-126751) on Form 10-K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169</w:t>
            </w: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 No. 333-126751)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the Registrant and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Kenneth M. Jacobs (incorporated by reference to Exhibit 10.29 to the Registrant’s Annual Report on Form 10-K (File No. 333-126751)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 No. 333-126751)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Matthieu Bucaille (incorporated by reference to Exhibit 10.30 to the Registrant’s Quarterly Report (File No. 333-126751) on Form 10-Q filed</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October 4, 2004, between the Registrant and Matthieu Bucaille (incorporated by reference to Exhibit 10.31 to the Registrant’s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 No. 333-126751)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10.28 to Lazard Ltd’s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Acknowledgement Letter, dated as of November 6, 2006 from the Registrant to certain managing directors of the Registrant modifying the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terms of the retention agreements of persons party to the Amended and Restated Stockholders’ Agreement, dated as of November 6, 2006</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(incorporated by reference to Exhibit 10.23 to the Registrant’s Quarterly Report (File No. 333-126751) on Form 10-Q filed on November 7,</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reference to Exhibit 10.27 to Lazard Ltd’s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Registration Rights Agreement, dated as of May 10, 2005, by and among Lazard Group Finance LLC, the Registrant, Lazard Ltd and IXIS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Corporate and Investment Bank (incorporated by reference to Exhibit 10.30 to Lazard Ltd’s Quarterly Report (File No. 001-32492) on Form 10-</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Description of Non-Executive Director Compensation (incorporated by reference to Exhibit 10.33 to Lazard Ltd’s Quarterly Report (File No.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Units to Executive Officers under the 2005 Equity Incentive Plan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10.41 to Lazard Ltd’s Annual Report (File No. 001-32492) on Form 10-K filed on March 2, 2009).</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170</w:t>
            </w:r>
          </w:p>
        </w:tc>
      </w:tr>
    </w:tbl>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10.42 to Lazard Ltd’s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Directors’ Fee Deferral Unit Plan (incorporated by reference to Exhibit 10.39 to Lazard Ltd’s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First Amended Form of Agreement evidencing a grant of Restricted Stock Units to Executive Officers under the 2005 Equity Incentive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10.43 to Lazard Ltd’s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Asset Management Limited (incorporated by reference to Exhibit 2.1 to Lazard Ltd’s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Senior Revolving Credit Agreement, dated as of April 29, 2010, among the Registrant, the Banks from time to time parties thereto,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Citibank, N.A., as Administrative Agent (incorporated by reference to Exhibit 10.50 to the Registrant’s Quarterly Report (File No. 333-126751)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Form10-Q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the Registrant,</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the Banks from time to time parties thereto, and Citibank, N.A., as Administrative Agent (incorporated by reference to Exhibit 10.47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Annual Report (File No. 333-126751) on Form 10-K filed on February 28,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Amendment No. 2, dated as of December 17, 2010, to the Senior Revolving Credit Agreement, dated as of April 29, 2010, among the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Registrant, the Banks from time to time parties thereto, and Citibank, N.A., as Administrative Agent (incorporated by reference to Exhibit 10.48</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to the Registrant’s Annual Report (File No. 333-126751) on Form 10-K filed on February 28,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March 15, 2005, between the Registrant and Ashish Bhutani (incorporated by reference to Exhibit 10.55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333-126751) on Form 10-Q filed on August 4, 2011).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10540" w:type="dxa"/>
            <w:vAlign w:val="bottom"/>
          </w:tcPr>
          <w:p>
            <w:pPr>
              <w:ind w:left="3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10540" w:type="dxa"/>
            <w:vAlign w:val="bottom"/>
          </w:tcPr>
          <w:p>
            <w:pPr>
              <w:ind w:left="380"/>
              <w:spacing w:after="0"/>
              <w:rPr>
                <w:sz w:val="20"/>
                <w:szCs w:val="20"/>
                <w:color w:val="auto"/>
              </w:rPr>
            </w:pPr>
            <w:r>
              <w:rPr>
                <w:rFonts w:ascii="Arial" w:cs="Arial" w:eastAsia="Arial" w:hAnsi="Arial"/>
                <w:sz w:val="18"/>
                <w:szCs w:val="18"/>
                <w:color w:val="auto"/>
              </w:rPr>
              <w:t>Subsidiaries of Registrant.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540" w:type="dxa"/>
            <w:vAlign w:val="bottom"/>
          </w:tcPr>
          <w:p>
            <w:pPr>
              <w:ind w:left="3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38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38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38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380"/>
              <w:spacing w:after="0"/>
              <w:rPr>
                <w:sz w:val="20"/>
                <w:szCs w:val="20"/>
                <w:color w:val="auto"/>
              </w:rPr>
            </w:pPr>
            <w:r>
              <w:rPr>
                <w:rFonts w:ascii="Arial" w:cs="Arial" w:eastAsia="Arial" w:hAnsi="Arial"/>
                <w:sz w:val="18"/>
                <w:szCs w:val="18"/>
                <w:color w:val="auto"/>
              </w:rPr>
              <w:t>Section 1350 Certification for Matthieu Bucaille.</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171</w:t>
            </w: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300"/>
              <w:spacing w:after="0"/>
              <w:rPr>
                <w:sz w:val="20"/>
                <w:szCs w:val="20"/>
                <w:color w:val="auto"/>
              </w:rPr>
            </w:pPr>
            <w:r>
              <w:rPr>
                <w:rFonts w:ascii="Arial" w:cs="Arial" w:eastAsia="Arial" w:hAnsi="Arial"/>
                <w:sz w:val="18"/>
                <w:szCs w:val="18"/>
                <w:color w:val="auto"/>
                <w:w w:val="92"/>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300"/>
              <w:spacing w:after="0"/>
              <w:rPr>
                <w:sz w:val="20"/>
                <w:szCs w:val="20"/>
                <w:color w:val="auto"/>
              </w:rPr>
            </w:pPr>
            <w:r>
              <w:rPr>
                <w:rFonts w:ascii="Arial" w:cs="Arial" w:eastAsia="Arial" w:hAnsi="Arial"/>
                <w:sz w:val="18"/>
                <w:szCs w:val="18"/>
                <w:color w:val="auto"/>
                <w:w w:val="95"/>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300"/>
              <w:spacing w:after="0"/>
              <w:rPr>
                <w:sz w:val="20"/>
                <w:szCs w:val="20"/>
                <w:color w:val="auto"/>
              </w:rPr>
            </w:pPr>
            <w:r>
              <w:rPr>
                <w:rFonts w:ascii="Arial" w:cs="Arial" w:eastAsia="Arial" w:hAnsi="Arial"/>
                <w:sz w:val="18"/>
                <w:szCs w:val="18"/>
                <w:color w:val="auto"/>
                <w:w w:val="89"/>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219"/>
          </w:cols>
          <w:pgMar w:left="240" w:top="460" w:right="1440"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7"/>
            <w:vMerge w:val="restart"/>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Management’s Report on Internal Control Over Financial Reporting</w:t>
              </w:r>
            </w:hyperlink>
          </w:p>
        </w:tc>
        <w:tc>
          <w:tcPr>
            <w:tcW w:w="6020" w:type="dxa"/>
            <w:vAlign w:val="bottom"/>
            <w:gridSpan w:val="9"/>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7"/>
            <w:vMerge w:val="continue"/>
          </w:tcPr>
          <w:p>
            <w:pPr>
              <w:spacing w:after="0"/>
              <w:rPr>
                <w:sz w:val="13"/>
                <w:szCs w:val="13"/>
                <w:color w:val="auto"/>
              </w:rPr>
            </w:pPr>
          </w:p>
        </w:tc>
        <w:tc>
          <w:tcPr>
            <w:tcW w:w="6020" w:type="dxa"/>
            <w:vAlign w:val="bottom"/>
            <w:gridSpan w:val="9"/>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Reports of Independent Registered Public Accounting Firm</w:t>
              </w:r>
            </w:hyperlink>
          </w:p>
        </w:tc>
        <w:tc>
          <w:tcPr>
            <w:tcW w:w="6620" w:type="dxa"/>
            <w:vAlign w:val="bottom"/>
            <w:gridSpan w:val="10"/>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7"/>
              </w:rPr>
              <w:t>Consolidated Statements of Financial Condition as of December 31, 2011 and 2010</w:t>
            </w:r>
          </w:p>
        </w:tc>
        <w:tc>
          <w:tcPr>
            <w:tcW w:w="4940" w:type="dxa"/>
            <w:vAlign w:val="bottom"/>
            <w:gridSpan w:val="8"/>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4"/>
        </w:trPr>
        <w:tc>
          <w:tcPr>
            <w:tcW w:w="10820" w:type="dxa"/>
            <w:vAlign w:val="bottom"/>
            <w:gridSpan w:val="16"/>
          </w:tcPr>
          <w:p>
            <w:pPr>
              <w:spacing w:after="0"/>
              <w:rPr>
                <w:sz w:val="20"/>
                <w:szCs w:val="20"/>
                <w:color w:val="auto"/>
              </w:rPr>
            </w:pPr>
            <w:r>
              <w:rPr>
                <w:rFonts w:ascii="Arial" w:cs="Arial" w:eastAsia="Arial" w:hAnsi="Arial"/>
                <w:sz w:val="18"/>
                <w:szCs w:val="18"/>
                <w:color w:val="0000EE"/>
              </w:rPr>
              <w:t>Consolidated Statements of Operations for the years ended December 31, 2011, 2010 and 2009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6"/>
              </w:rPr>
              <w:t>Consolidated Statements of Cash Flows for the years ended December 31, 2011, 2010 and 2009</w:t>
            </w:r>
          </w:p>
        </w:tc>
        <w:tc>
          <w:tcPr>
            <w:tcW w:w="4080" w:type="dxa"/>
            <w:vAlign w:val="bottom"/>
            <w:gridSpan w:val="5"/>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4"/>
        </w:trPr>
        <w:tc>
          <w:tcPr>
            <w:tcW w:w="10820" w:type="dxa"/>
            <w:vAlign w:val="bottom"/>
            <w:gridSpan w:val="16"/>
          </w:tcPr>
          <w:p>
            <w:pPr>
              <w:spacing w:after="0"/>
              <w:rPr>
                <w:sz w:val="20"/>
                <w:szCs w:val="20"/>
                <w:color w:val="auto"/>
              </w:rPr>
            </w:pPr>
            <w:r>
              <w:rPr>
                <w:rFonts w:ascii="Arial" w:cs="Arial" w:eastAsia="Arial" w:hAnsi="Arial"/>
                <w:sz w:val="18"/>
                <w:szCs w:val="18"/>
                <w:color w:val="0000EE"/>
              </w:rPr>
              <w:t>Consolidated Statements of Changes in Members’ Equity for the years ended December 31, 2011, 2010 and 2009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4"/>
        </w:trPr>
        <w:tc>
          <w:tcPr>
            <w:tcW w:w="802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Notes to Consolidated Financial Statements</w:t>
            </w:r>
          </w:p>
        </w:tc>
        <w:tc>
          <w:tcPr>
            <w:tcW w:w="2800" w:type="dxa"/>
            <w:vAlign w:val="bottom"/>
            <w:gridSpan w:val="2"/>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Supplemental Financial Information</w:t>
              </w:r>
            </w:hyperlink>
          </w:p>
        </w:tc>
        <w:tc>
          <w:tcPr>
            <w:tcW w:w="774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3"/>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Quarterly Results</w:t>
              </w:r>
            </w:hyperlink>
          </w:p>
        </w:tc>
        <w:tc>
          <w:tcPr>
            <w:tcW w:w="8080" w:type="dxa"/>
            <w:vAlign w:val="bottom"/>
            <w:gridSpan w:val="13"/>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6"/>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57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76">
              <w:r>
                <w:rPr>
                  <w:rFonts w:ascii="Arial" w:cs="Arial" w:eastAsia="Arial" w:hAnsi="Arial"/>
                  <w:sz w:val="18"/>
                  <w:szCs w:val="18"/>
                  <w:color w:val="0000EE"/>
                  <w:w w:val="87"/>
                </w:rPr>
                <w:t>Condensed Statements of Financial Condition as of December 31, 2011 and 2010</w:t>
              </w:r>
            </w:hyperlink>
          </w:p>
        </w:tc>
        <w:tc>
          <w:tcPr>
            <w:tcW w:w="4660" w:type="dxa"/>
            <w:vAlign w:val="bottom"/>
            <w:gridSpan w:val="7"/>
          </w:tcPr>
          <w:p>
            <w:pPr>
              <w:spacing w:after="0"/>
              <w:rPr>
                <w:sz w:val="21"/>
                <w:szCs w:val="21"/>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5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6"/>
              </w:rPr>
              <w:t>Condensed Statements of Operations for the years ended December 31, 2011, 2010 and 2009</w:t>
            </w:r>
          </w:p>
        </w:tc>
        <w:tc>
          <w:tcPr>
            <w:tcW w:w="3840" w:type="dxa"/>
            <w:vAlign w:val="bottom"/>
            <w:gridSpan w:val="4"/>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380" w:type="dxa"/>
            <w:vAlign w:val="bottom"/>
            <w:gridSpan w:val="15"/>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Condensed Statements of Cash Flows for the years ended December 31, 2011, 2010 and 2009</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3660" w:type="dxa"/>
            <w:vAlign w:val="bottom"/>
            <w:gridSpan w:val="8"/>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10380" w:type="dxa"/>
            <w:vAlign w:val="bottom"/>
            <w:gridSpan w:val="15"/>
          </w:tcPr>
          <w:p>
            <w:pPr>
              <w:spacing w:after="0"/>
              <w:rPr>
                <w:sz w:val="20"/>
                <w:szCs w:val="20"/>
                <w:color w:val="auto"/>
              </w:rPr>
            </w:pPr>
            <w:r>
              <w:rPr>
                <w:rFonts w:ascii="Arial" w:cs="Arial" w:eastAsia="Arial" w:hAnsi="Arial"/>
                <w:sz w:val="18"/>
                <w:szCs w:val="18"/>
                <w:color w:val="0000EE"/>
              </w:rPr>
              <w:t>Condensed Statements of Changes in Members’ Equity for the years ended December 31, 2011, 2010 and 2009</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7860" w:type="dxa"/>
            <w:vAlign w:val="bottom"/>
            <w:tcBorders>
              <w:top w:val="single" w:sz="8" w:color="0000EE"/>
            </w:tcBorders>
            <w:gridSpan w:val="14"/>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Notes to Condensed Financial Statements</w:t>
              </w:r>
            </w:hyperlink>
          </w:p>
        </w:tc>
        <w:tc>
          <w:tcPr>
            <w:tcW w:w="2520" w:type="dxa"/>
            <w:vAlign w:val="bottom"/>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60"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80,979</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subsidiaries, equity method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1,292,454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1,253,896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from subsidiaries of Lazard Ltd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517,299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Intangible assets-net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1,967,086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1,924,470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subsidiaries of Lazard Ltd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1,352,742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1,554,905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(79,252)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1,967,086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1,924,470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6"/>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8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7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Equity in earnings of subsidiaries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$398,933</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$475,100</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$ 200,938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14,778</w:t>
            </w:r>
          </w:p>
        </w:tc>
        <w:tc>
          <w:tcPr>
            <w:tcW w:w="0" w:type="dxa"/>
            <w:vAlign w:val="bottom"/>
          </w:tcPr>
          <w:p>
            <w:pPr>
              <w:spacing w:after="0"/>
              <w:rPr>
                <w:sz w:val="1"/>
                <w:szCs w:val="1"/>
                <w:color w:val="auto"/>
              </w:rPr>
            </w:pPr>
          </w:p>
        </w:tc>
      </w:tr>
      <w:tr>
        <w:trPr>
          <w:trHeight w:val="223"/>
        </w:trPr>
        <w:tc>
          <w:tcPr>
            <w:tcW w:w="8360" w:type="dxa"/>
            <w:vAlign w:val="bottom"/>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4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419,965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497,748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233,802</w:t>
            </w:r>
          </w:p>
        </w:tc>
        <w:tc>
          <w:tcPr>
            <w:tcW w:w="0" w:type="dxa"/>
            <w:vAlign w:val="bottom"/>
          </w:tcPr>
          <w:p>
            <w:pPr>
              <w:spacing w:after="0"/>
              <w:rPr>
                <w:sz w:val="1"/>
                <w:szCs w:val="1"/>
                <w:color w:val="auto"/>
              </w:rPr>
            </w:pPr>
          </w:p>
        </w:tc>
      </w:tr>
      <w:tr>
        <w:trPr>
          <w:trHeight w:val="223"/>
        </w:trPr>
        <w:tc>
          <w:tcPr>
            <w:tcW w:w="836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86,352</w:t>
            </w:r>
          </w:p>
        </w:tc>
        <w:tc>
          <w:tcPr>
            <w:tcW w:w="4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335,622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411,396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142,586</w:t>
            </w:r>
          </w:p>
        </w:tc>
        <w:tc>
          <w:tcPr>
            <w:tcW w:w="0" w:type="dxa"/>
            <w:vAlign w:val="bottom"/>
          </w:tcPr>
          <w:p>
            <w:pPr>
              <w:spacing w:after="0"/>
              <w:rPr>
                <w:sz w:val="1"/>
                <w:szCs w:val="1"/>
                <w:color w:val="auto"/>
              </w:rPr>
            </w:pPr>
          </w:p>
        </w:tc>
      </w:tr>
      <w:tr>
        <w:trPr>
          <w:trHeight w:val="398"/>
        </w:trPr>
        <w:tc>
          <w:tcPr>
            <w:tcW w:w="8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120,324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194,179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339,795</w:t>
            </w: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Professional services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3,306</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8,463</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23"/>
        </w:trPr>
        <w:tc>
          <w:tcPr>
            <w:tcW w:w="8360" w:type="dxa"/>
            <w:vAlign w:val="bottom"/>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6,586</w:t>
            </w:r>
          </w:p>
        </w:tc>
        <w:tc>
          <w:tcPr>
            <w:tcW w:w="4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128,144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210,165</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207,478</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201,231</w:t>
            </w:r>
          </w:p>
        </w:tc>
        <w:tc>
          <w:tcPr>
            <w:tcW w:w="4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(215,888)</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(benefit) for incomes taxes</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210,705</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194,544</w:t>
            </w:r>
          </w:p>
        </w:tc>
        <w:tc>
          <w:tcPr>
            <w:tcW w:w="4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(216,547)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$210,705</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$194,544</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8"/>
              </w:rPr>
              <w:t>$(216,547)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Noncash items included in net income (loss):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Equity in earnings of subsidiaries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(398,933)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(475,100)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rPr>
              <w:t>Deferred tax benefit</w:t>
            </w:r>
          </w:p>
        </w:tc>
        <w:tc>
          <w:tcPr>
            <w:tcW w:w="720" w:type="dxa"/>
            <w:vAlign w:val="bottom"/>
          </w:tcPr>
          <w:p>
            <w:pPr>
              <w:jc w:val="right"/>
              <w:spacing w:after="0"/>
              <w:rPr>
                <w:sz w:val="20"/>
                <w:szCs w:val="20"/>
                <w:color w:val="auto"/>
              </w:rPr>
            </w:pPr>
            <w:r>
              <w:rPr>
                <w:rFonts w:ascii="Arial" w:cs="Arial" w:eastAsia="Arial" w:hAnsi="Arial"/>
                <w:sz w:val="18"/>
                <w:szCs w:val="18"/>
                <w:color w:val="auto"/>
              </w:rPr>
              <w:t>(3,791)</w:t>
            </w:r>
          </w:p>
        </w:tc>
        <w:tc>
          <w:tcPr>
            <w:tcW w:w="3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(Gains) losses on extinguishment of debt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rPr>
              <w:t>Investment gains</w:t>
            </w: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(5,636)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1"/>
              </w:rPr>
              <w:t>Amortization of deferred expenses, share-based incentive compensation and interest rate hedge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282,897</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313,974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rPr>
              <w:t>Depreciation and amortization of property</w:t>
            </w:r>
          </w:p>
        </w:tc>
        <w:tc>
          <w:tcPr>
            <w:tcW w:w="720" w:type="dxa"/>
            <w:vAlign w:val="bottom"/>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intangible assets related to acquisitions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Dividends received from subsidiaries</w:t>
            </w:r>
          </w:p>
        </w:tc>
        <w:tc>
          <w:tcPr>
            <w:tcW w:w="720" w:type="dxa"/>
            <w:vAlign w:val="bottom"/>
          </w:tcPr>
          <w:p>
            <w:pPr>
              <w:jc w:val="right"/>
              <w:spacing w:after="0"/>
              <w:rPr>
                <w:sz w:val="20"/>
                <w:szCs w:val="20"/>
                <w:color w:val="auto"/>
              </w:rPr>
            </w:pPr>
            <w:r>
              <w:rPr>
                <w:rFonts w:ascii="Arial" w:cs="Arial" w:eastAsia="Arial" w:hAnsi="Arial"/>
                <w:sz w:val="18"/>
                <w:szCs w:val="18"/>
                <w:color w:val="auto"/>
              </w:rPr>
              <w:t>598,877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370,780</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due to/from subsidiaries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(10,494)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(211,973)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Changes in other operating assets and liabilities</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w w:val="98"/>
              </w:rPr>
              <w:t>(100,796)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(5,546)</w:t>
            </w:r>
          </w:p>
        </w:tc>
        <w:tc>
          <w:tcPr>
            <w:tcW w:w="880" w:type="dxa"/>
            <w:vAlign w:val="bottom"/>
          </w:tcPr>
          <w:p>
            <w:pPr>
              <w:jc w:val="right"/>
              <w:spacing w:after="0"/>
              <w:rPr>
                <w:sz w:val="20"/>
                <w:szCs w:val="20"/>
                <w:color w:val="auto"/>
              </w:rPr>
            </w:pPr>
            <w:r>
              <w:rPr>
                <w:rFonts w:ascii="Arial" w:cs="Arial" w:eastAsia="Arial" w:hAnsi="Arial"/>
                <w:sz w:val="18"/>
                <w:szCs w:val="18"/>
                <w:color w:val="auto"/>
              </w:rPr>
              <w:t>143,552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579,646</w:t>
            </w: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182,404</w:t>
            </w:r>
          </w:p>
        </w:tc>
        <w:tc>
          <w:tcPr>
            <w:tcW w:w="3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in 2009</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Purchase of held-to-maturity securities</w:t>
            </w: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held-to-maturity securities</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Addition to property</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(20,079)</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to subsidiaries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(224,012)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(49,174)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w w:val="98"/>
              </w:rPr>
              <w:t>(244,091)</w:t>
            </w:r>
          </w:p>
        </w:tc>
        <w:tc>
          <w:tcPr>
            <w:tcW w:w="740" w:type="dxa"/>
            <w:vAlign w:val="bottom"/>
          </w:tcPr>
          <w:p>
            <w:pPr>
              <w:jc w:val="right"/>
              <w:spacing w:after="0"/>
              <w:rPr>
                <w:sz w:val="20"/>
                <w:szCs w:val="20"/>
                <w:color w:val="auto"/>
              </w:rPr>
            </w:pPr>
            <w:r>
              <w:rPr>
                <w:rFonts w:ascii="Arial" w:cs="Arial" w:eastAsia="Arial" w:hAnsi="Arial"/>
                <w:sz w:val="18"/>
                <w:szCs w:val="18"/>
                <w:color w:val="auto"/>
              </w:rPr>
              <w:t>83,035</w:t>
            </w: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(206,584)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debt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(42)</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members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(92,454)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(122,000)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(93,750)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(57,576)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(794)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w w:val="98"/>
              </w:rPr>
              <w:t>(172,864)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(149,981)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(203)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w w:val="98"/>
              </w:rPr>
              <w:t>(358,721)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(347,303)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(196,043)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(23,166)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(81,864)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104,145</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186,009</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December 31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$80,979</w:t>
            </w: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104,145</w:t>
            </w: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STATEMENTS OF CHANGES IN MEMBERS’ EQUITY FOR THE YEARS ENDED DECEMBER 31, 2011, 2010 AND 2009—(Continued)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318"/>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58"/>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29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Members’</w:t>
            </w:r>
          </w:p>
        </w:tc>
        <w:tc>
          <w:tcPr>
            <w:tcW w:w="160" w:type="dxa"/>
            <w:vAlign w:val="bottom"/>
          </w:tcPr>
          <w:p>
            <w:pPr>
              <w:spacing w:after="0"/>
              <w:rPr>
                <w:sz w:val="12"/>
                <w:szCs w:val="12"/>
                <w:color w:val="auto"/>
              </w:rPr>
            </w:pPr>
          </w:p>
        </w:tc>
        <w:tc>
          <w:tcPr>
            <w:tcW w:w="1320" w:type="dxa"/>
            <w:vAlign w:val="bottom"/>
            <w:gridSpan w:val="3"/>
          </w:tcPr>
          <w:p>
            <w:pPr>
              <w:jc w:val="center"/>
              <w:ind w:right="318"/>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1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Lazard Group</w:t>
            </w: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88"/>
              </w:rPr>
              <w:t>Net of Tax</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Members’ Equity</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2009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$ 227,036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(121,407)</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(216,547)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(216,547)</w:t>
            </w: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62,992</w:t>
            </w: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8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27,612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27,612</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Prior service costs</w:t>
            </w: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(15,152)</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(15,152)</w:t>
            </w:r>
          </w:p>
        </w:tc>
      </w:tr>
      <w:tr>
        <w:trPr>
          <w:trHeight w:val="216"/>
        </w:trPr>
        <w:tc>
          <w:tcPr>
            <w:tcW w:w="20" w:type="dxa"/>
            <w:vAlign w:val="bottom"/>
          </w:tcPr>
          <w:p>
            <w:pPr>
              <w:spacing w:after="0"/>
              <w:rPr>
                <w:sz w:val="18"/>
                <w:szCs w:val="18"/>
                <w:color w:val="auto"/>
              </w:rPr>
            </w:pPr>
          </w:p>
        </w:tc>
        <w:tc>
          <w:tcPr>
            <w:tcW w:w="7840" w:type="dxa"/>
            <w:vAlign w:val="bottom"/>
          </w:tcPr>
          <w:p>
            <w:pPr>
              <w:ind w:left="1280"/>
              <w:spacing w:after="0"/>
              <w:rPr>
                <w:sz w:val="20"/>
                <w:szCs w:val="20"/>
                <w:color w:val="auto"/>
              </w:rPr>
            </w:pPr>
            <w:r>
              <w:rPr>
                <w:rFonts w:ascii="Arial" w:cs="Arial" w:eastAsia="Arial" w:hAnsi="Arial"/>
                <w:sz w:val="18"/>
                <w:szCs w:val="18"/>
                <w:color w:val="auto"/>
              </w:rPr>
              <w:t>Net actuarial loss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58"/>
              <w:spacing w:after="0"/>
              <w:rPr>
                <w:sz w:val="20"/>
                <w:szCs w:val="20"/>
                <w:color w:val="auto"/>
              </w:rPr>
            </w:pPr>
            <w:r>
              <w:rPr>
                <w:rFonts w:ascii="Arial" w:cs="Arial" w:eastAsia="Arial" w:hAnsi="Arial"/>
                <w:sz w:val="18"/>
                <w:szCs w:val="18"/>
                <w:color w:val="auto"/>
              </w:rPr>
              <w:t>(18,215)</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(18,215)</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Comprehensive loss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(153,932)</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(118,214)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(118,214)</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(50,479)</w:t>
            </w: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6"/>
              </w:rPr>
              <w:t>Delivery of Lazard Ltd Class A common stock in connection with share-based incentive compensation</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(13,220)</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(13,285)</w:t>
            </w: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720" w:type="dxa"/>
            <w:vAlign w:val="bottom"/>
          </w:tcPr>
          <w:p>
            <w:pPr>
              <w:jc w:val="right"/>
              <w:spacing w:after="0"/>
              <w:rPr>
                <w:sz w:val="20"/>
                <w:szCs w:val="20"/>
                <w:color w:val="auto"/>
              </w:rPr>
            </w:pPr>
            <w:r>
              <w:rPr>
                <w:rFonts w:ascii="Arial" w:cs="Arial" w:eastAsia="Arial" w:hAnsi="Arial"/>
                <w:sz w:val="18"/>
                <w:szCs w:val="18"/>
                <w:color w:val="auto"/>
              </w:rPr>
              <w:t>32,384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32,384</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noncontrolling interests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w:t>
            </w: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Adjustments related to business acquisitions and related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10,778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10,778</w:t>
            </w: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2009(*)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$ 214,163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(58,792</w:t>
            </w:r>
          </w:p>
        </w:tc>
        <w:tc>
          <w:tcPr>
            <w:tcW w:w="400" w:type="dxa"/>
            <w:vAlign w:val="bottom"/>
          </w:tcPr>
          <w:p>
            <w:pPr>
              <w:jc w:val="right"/>
              <w:ind w:right="258"/>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155,371</w:t>
            </w:r>
          </w:p>
        </w:tc>
        <w:tc>
          <w:tcPr>
            <w:tcW w:w="10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7840" w:type="dxa"/>
            <w:vAlign w:val="bottom"/>
          </w:tcPr>
          <w:p>
            <w:pPr>
              <w:ind w:left="5580"/>
              <w:spacing w:after="0"/>
              <w:rPr>
                <w:sz w:val="20"/>
                <w:szCs w:val="20"/>
                <w:color w:val="auto"/>
              </w:rPr>
            </w:pPr>
            <w:r>
              <w:rPr>
                <w:rFonts w:ascii="Arial" w:cs="Arial" w:eastAsia="Arial" w:hAnsi="Arial"/>
                <w:sz w:val="18"/>
                <w:szCs w:val="18"/>
                <w:color w:val="auto"/>
              </w:rPr>
              <w:t>F-5</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STATEMENTS OF CHANGES IN MEMBERS’ EQUITY FOR THE YEARS ENDED DECEMBER 31, 2011, 2010 AND 2009—(Continued)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Accumulated Other</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90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Members’</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Total Lazard</w:t>
            </w:r>
          </w:p>
        </w:tc>
      </w:tr>
      <w:tr>
        <w:trPr>
          <w:trHeight w:val="161"/>
        </w:trPr>
        <w:tc>
          <w:tcPr>
            <w:tcW w:w="69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Equity</w:t>
            </w: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Net of Tax</w:t>
            </w:r>
          </w:p>
        </w:tc>
        <w:tc>
          <w:tcPr>
            <w:tcW w:w="1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Group Members’ Equity</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$214,163</w:t>
            </w:r>
          </w:p>
        </w:tc>
        <w:tc>
          <w:tcPr>
            <w:tcW w:w="5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5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194,544</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194,544</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(9,508)</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r>
      <w:tr>
        <w:trPr>
          <w:trHeight w:val="216"/>
        </w:trPr>
        <w:tc>
          <w:tcPr>
            <w:tcW w:w="6900" w:type="dxa"/>
            <w:vAlign w:val="bottom"/>
          </w:tcPr>
          <w:p>
            <w:pPr>
              <w:ind w:left="66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1,163</w:t>
            </w:r>
          </w:p>
        </w:tc>
        <w:tc>
          <w:tcPr>
            <w:tcW w:w="5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08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3,129</w:t>
            </w:r>
          </w:p>
        </w:tc>
        <w:tc>
          <w:tcPr>
            <w:tcW w:w="5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r>
      <w:tr>
        <w:trPr>
          <w:trHeight w:val="216"/>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Adjustment for items reclassified to earnings</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5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r>
      <w:tr>
        <w:trPr>
          <w:trHeight w:val="216"/>
        </w:trPr>
        <w:tc>
          <w:tcPr>
            <w:tcW w:w="6900" w:type="dxa"/>
            <w:vAlign w:val="bottom"/>
          </w:tcPr>
          <w:p>
            <w:pPr>
              <w:ind w:left="66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actuarial gain</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5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r>
      <w:tr>
        <w:trPr>
          <w:trHeight w:val="223"/>
        </w:trPr>
        <w:tc>
          <w:tcPr>
            <w:tcW w:w="6900" w:type="dxa"/>
            <w:vAlign w:val="bottom"/>
          </w:tcPr>
          <w:p>
            <w:pPr>
              <w:ind w:left="1080"/>
              <w:spacing w:after="0"/>
              <w:rPr>
                <w:sz w:val="20"/>
                <w:szCs w:val="20"/>
                <w:color w:val="auto"/>
              </w:rPr>
            </w:pPr>
            <w:r>
              <w:rPr>
                <w:rFonts w:ascii="Arial" w:cs="Arial" w:eastAsia="Arial" w:hAnsi="Arial"/>
                <w:sz w:val="18"/>
                <w:szCs w:val="18"/>
                <w:color w:val="auto"/>
              </w:rPr>
              <w:t>Adjustment for items reclassified to earnings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1,643</w:t>
            </w:r>
          </w:p>
        </w:tc>
        <w:tc>
          <w:tcPr>
            <w:tcW w:w="5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218,313</w:t>
            </w:r>
          </w:p>
        </w:tc>
        <w:tc>
          <w:tcPr>
            <w:tcW w:w="100" w:type="dxa"/>
            <w:vAlign w:val="bottom"/>
            <w:shd w:val="clear" w:color="auto" w:fill="CCEEFF"/>
          </w:tcPr>
          <w:p>
            <w:pPr>
              <w:spacing w:after="0"/>
              <w:rPr>
                <w:sz w:val="18"/>
                <w:szCs w:val="18"/>
                <w:color w:val="auto"/>
              </w:rPr>
            </w:pPr>
          </w:p>
        </w:tc>
      </w:tr>
      <w:tr>
        <w:trPr>
          <w:trHeight w:val="221"/>
        </w:trPr>
        <w:tc>
          <w:tcPr>
            <w:tcW w:w="6900" w:type="dxa"/>
            <w:vAlign w:val="bottom"/>
          </w:tcPr>
          <w:p>
            <w:pPr>
              <w:spacing w:after="0"/>
              <w:rPr>
                <w:sz w:val="20"/>
                <w:szCs w:val="20"/>
                <w:color w:val="auto"/>
              </w:rPr>
            </w:pPr>
            <w:r>
              <w:rPr>
                <w:rFonts w:ascii="Arial" w:cs="Arial" w:eastAsia="Arial" w:hAnsi="Arial"/>
                <w:sz w:val="18"/>
                <w:szCs w:val="18"/>
                <w:color w:val="auto"/>
              </w:rPr>
              <w:t>Amortization of share-based incentive compensation</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305,303</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305,303</w:t>
            </w: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(122,000)</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(149,981)</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(149,981)</w:t>
            </w:r>
          </w:p>
        </w:tc>
      </w:tr>
      <w:tr>
        <w:trPr>
          <w:trHeight w:val="20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9"/>
              </w:rPr>
              <w:t>Delivery of Lazard Ltd Class A common stock in connection with share-based incentive</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(57,576)</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(57,576)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(7,248)</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(7,248)</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20,804</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20,804</w:t>
            </w:r>
          </w:p>
        </w:tc>
      </w:tr>
      <w:tr>
        <w:trPr>
          <w:trHeight w:val="208"/>
        </w:trPr>
        <w:tc>
          <w:tcPr>
            <w:tcW w:w="6900" w:type="dxa"/>
            <w:vAlign w:val="bottom"/>
          </w:tcPr>
          <w:p>
            <w:pPr>
              <w:spacing w:after="0"/>
              <w:rPr>
                <w:sz w:val="20"/>
                <w:szCs w:val="20"/>
                <w:color w:val="auto"/>
              </w:rPr>
            </w:pPr>
            <w:r>
              <w:rPr>
                <w:rFonts w:ascii="Arial" w:cs="Arial" w:eastAsia="Arial" w:hAnsi="Arial"/>
                <w:sz w:val="18"/>
                <w:szCs w:val="18"/>
                <w:color w:val="auto"/>
              </w:rPr>
              <w:t>Lazard Ltd Class A common stock issued / issuable in connection with business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900" w:type="dxa"/>
            <w:vAlign w:val="bottom"/>
          </w:tcPr>
          <w:p>
            <w:pPr>
              <w:ind w:left="220"/>
              <w:spacing w:after="0"/>
              <w:rPr>
                <w:sz w:val="20"/>
                <w:szCs w:val="20"/>
                <w:color w:val="auto"/>
              </w:rPr>
            </w:pPr>
            <w:r>
              <w:rPr>
                <w:rFonts w:ascii="Arial" w:cs="Arial" w:eastAsia="Arial" w:hAnsi="Arial"/>
                <w:sz w:val="18"/>
                <w:szCs w:val="18"/>
                <w:color w:val="auto"/>
              </w:rPr>
              <w:t>acquisitions and LAM Merger and related amortization</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6,701</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6,701</w:t>
            </w: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22"/>
        </w:trPr>
        <w:tc>
          <w:tcPr>
            <w:tcW w:w="6900" w:type="dxa"/>
            <w:vAlign w:val="bottom"/>
          </w:tcPr>
          <w:p>
            <w:pPr>
              <w:spacing w:after="0"/>
              <w:rPr>
                <w:sz w:val="20"/>
                <w:szCs w:val="20"/>
                <w:color w:val="auto"/>
              </w:rPr>
            </w:pPr>
            <w:r>
              <w:rPr>
                <w:rFonts w:ascii="Arial" w:cs="Arial" w:eastAsia="Arial" w:hAnsi="Arial"/>
                <w:sz w:val="18"/>
                <w:szCs w:val="18"/>
                <w:b w:val="1"/>
                <w:bCs w:val="1"/>
                <w:color w:val="auto"/>
              </w:rPr>
              <w:t>Balance–December 31, 2010(*)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404,588</w:t>
            </w:r>
          </w:p>
        </w:tc>
        <w:tc>
          <w:tcPr>
            <w:tcW w:w="5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$(35,023)</w:t>
            </w:r>
          </w:p>
        </w:tc>
        <w:tc>
          <w:tcPr>
            <w:tcW w:w="5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$369,565</w:t>
            </w:r>
          </w:p>
        </w:tc>
        <w:tc>
          <w:tcPr>
            <w:tcW w:w="100" w:type="dxa"/>
            <w:vAlign w:val="bottom"/>
          </w:tcPr>
          <w:p>
            <w:pPr>
              <w:spacing w:after="0"/>
              <w:rPr>
                <w:sz w:val="19"/>
                <w:szCs w:val="19"/>
                <w:color w:val="auto"/>
              </w:rPr>
            </w:pPr>
          </w:p>
        </w:tc>
      </w:tr>
      <w:tr>
        <w:trPr>
          <w:trHeight w:val="371"/>
        </w:trPr>
        <w:tc>
          <w:tcPr>
            <w:tcW w:w="6900" w:type="dxa"/>
            <w:vAlign w:val="bottom"/>
          </w:tcPr>
          <w:p>
            <w:pPr>
              <w:ind w:left="5600"/>
              <w:spacing w:after="0"/>
              <w:rPr>
                <w:sz w:val="20"/>
                <w:szCs w:val="20"/>
                <w:color w:val="auto"/>
              </w:rPr>
            </w:pPr>
            <w:r>
              <w:rPr>
                <w:rFonts w:ascii="Arial" w:cs="Arial" w:eastAsia="Arial" w:hAnsi="Arial"/>
                <w:sz w:val="18"/>
                <w:szCs w:val="18"/>
                <w:color w:val="auto"/>
              </w:rPr>
              <w:t>F-6</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STATEMENTS OF CHANGES IN MEMBERS’ EQUITY FOR THE YEARS ENDED DECEMBER 31, 2011, 2010 AND 2009—(Continued)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 Other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 Lazard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Members’</w:t>
            </w: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Group Members’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 of Tax</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$404,588</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84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210,705</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210,705</w:t>
            </w: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(9,241)</w:t>
            </w: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1,054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640"/>
              <w:spacing w:after="0"/>
              <w:rPr>
                <w:sz w:val="20"/>
                <w:szCs w:val="20"/>
                <w:color w:val="auto"/>
              </w:rPr>
            </w:pPr>
            <w:r>
              <w:rPr>
                <w:rFonts w:ascii="Arial" w:cs="Arial" w:eastAsia="Arial" w:hAnsi="Arial"/>
                <w:sz w:val="18"/>
                <w:szCs w:val="18"/>
                <w:color w:val="auto"/>
              </w:rPr>
              <w:t>Net actuarial loss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(38,248)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(38,248)</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275,142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275,142</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Distributions to members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(92,454)</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(92,454)</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(172,864)</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(172,864)</w:t>
            </w:r>
          </w:p>
        </w:tc>
      </w:tr>
      <w:tr>
        <w:trPr>
          <w:trHeight w:val="208"/>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w w:val="92"/>
              </w:rPr>
              <w:t>Delivery of Lazard Ltd Class A common stock in connection with share-based incentive compensation and</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related tax benefit of $972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(92,778)</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(92,778)</w:t>
            </w:r>
          </w:p>
        </w:tc>
      </w:tr>
      <w:tr>
        <w:trPr>
          <w:trHeight w:val="218"/>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720" w:type="dxa"/>
            <w:vAlign w:val="bottom"/>
          </w:tcPr>
          <w:p>
            <w:pPr>
              <w:jc w:val="right"/>
              <w:spacing w:after="0"/>
              <w:rPr>
                <w:sz w:val="20"/>
                <w:szCs w:val="20"/>
                <w:color w:val="auto"/>
              </w:rPr>
            </w:pPr>
            <w:r>
              <w:rPr>
                <w:rFonts w:ascii="Arial" w:cs="Arial" w:eastAsia="Arial" w:hAnsi="Arial"/>
                <w:sz w:val="18"/>
                <w:szCs w:val="18"/>
                <w:color w:val="auto"/>
              </w:rPr>
              <w:t>53,486</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53,486</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Delivery of Lazard Ltd Class A common stock in connection with business acquisitions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103,567</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103,567</w:t>
            </w:r>
          </w:p>
        </w:tc>
      </w:tr>
      <w:tr>
        <w:trPr>
          <w:trHeight w:val="208"/>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w w:val="92"/>
              </w:rPr>
              <w:t>Lazard Ltd Class A common stock issuable in connection with business acquisitions and LAM Merger and</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related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5,201</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5,201</w:t>
            </w:r>
          </w:p>
        </w:tc>
      </w:tr>
      <w:tr>
        <w:trPr>
          <w:trHeight w:val="218"/>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r>
      <w:tr>
        <w:trPr>
          <w:trHeight w:val="223"/>
        </w:trPr>
        <w:tc>
          <w:tcPr>
            <w:tcW w:w="7840" w:type="dxa"/>
            <w:vAlign w:val="bottom"/>
            <w:gridSpan w:val="3"/>
          </w:tcPr>
          <w:p>
            <w:pPr>
              <w:spacing w:after="0"/>
              <w:rPr>
                <w:sz w:val="20"/>
                <w:szCs w:val="20"/>
                <w:color w:val="auto"/>
              </w:rPr>
            </w:pPr>
            <w:r>
              <w:rPr>
                <w:rFonts w:ascii="Arial" w:cs="Arial" w:eastAsia="Arial" w:hAnsi="Arial"/>
                <w:sz w:val="18"/>
                <w:szCs w:val="18"/>
                <w:b w:val="1"/>
                <w:bCs w:val="1"/>
                <w:color w:val="auto"/>
              </w:rPr>
              <w:t>Balance–December 31, 2011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693,596</w:t>
            </w: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$(79,252)</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$614,344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123,686,338, 127,350,561 and 129,766,090 common membership interests at December 31, 2009, 2010 and 2011,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7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2011 and 2010, and for each of the three years in the period ended December 31, 2011,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2012</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Capacity</w:t>
            </w:r>
          </w:p>
        </w:tc>
        <w:tc>
          <w:tcPr>
            <w:tcW w:w="3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spacing w:after="0"/>
              <w:rPr>
                <w:sz w:val="14"/>
                <w:szCs w:val="14"/>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8"/>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2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Matthieu Bucaille</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8"/>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Matthieu Bucaille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Richard J. Hittner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Richard J. Hittner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Vernon E. Jordan, Jr.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w w:val="96"/>
              </w:rPr>
              <w:t>Vernon E. Jordan, Jr.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Gary W. Parr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Gary W. Parr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II-1</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83" w:name="page184"/>
    <w:bookmarkEnd w:id="183"/>
    <w:p>
      <w:pPr>
        <w:ind w:left="10520"/>
        <w:spacing w:after="0"/>
        <w:rPr>
          <w:sz w:val="20"/>
          <w:szCs w:val="20"/>
          <w:color w:val="auto"/>
        </w:rPr>
      </w:pPr>
      <w:r>
        <w:rPr>
          <w:rFonts w:ascii="Arial" w:cs="Arial" w:eastAsia="Arial" w:hAnsi="Arial"/>
          <w:sz w:val="16"/>
          <w:szCs w:val="16"/>
          <w:b w:val="1"/>
          <w:bCs w:val="1"/>
          <w:color w:val="auto"/>
        </w:rPr>
        <w:t>Exhibit 12.1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241,791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$246,809</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(181,988)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$436,064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114,998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121,656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132,785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161,665</w:t>
            </w: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154,790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fixed charges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356,789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368,465</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(49,203)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203,694</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590,854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94,211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$102,249</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113,280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141,413</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$136,529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20,787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19,407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19,505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20,252</w:t>
            </w: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114,998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121,656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132,785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161,665</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154,790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3.03(d)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 (e)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1.26(f)</w:t>
            </w:r>
          </w:p>
        </w:tc>
        <w:tc>
          <w:tcPr>
            <w:tcW w:w="6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5"/>
              </w:rPr>
              <w:t>Deficiency in the coverage of operating income (loss) before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181,988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earnings for the years presented represent income before income taxes and fixed charges,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and (ii) a charge of</w:t>
      </w:r>
    </w:p>
    <w:p>
      <w:pPr>
        <w:spacing w:after="0" w:line="38" w:lineRule="exact"/>
        <w:rPr>
          <w:rFonts w:ascii="Arial" w:cs="Arial" w:eastAsia="Arial" w:hAnsi="Arial"/>
          <w:sz w:val="16"/>
          <w:szCs w:val="16"/>
          <w:color w:val="auto"/>
        </w:rPr>
      </w:pPr>
    </w:p>
    <w:p>
      <w:pPr>
        <w:ind w:left="460" w:right="420"/>
        <w:spacing w:after="0" w:line="321" w:lineRule="auto"/>
        <w:rPr>
          <w:rFonts w:ascii="Arial" w:cs="Arial" w:eastAsia="Arial" w:hAnsi="Arial"/>
          <w:sz w:val="16"/>
          <w:szCs w:val="16"/>
          <w:color w:val="auto"/>
        </w:rPr>
      </w:pPr>
      <w:r>
        <w:rPr>
          <w:rFonts w:ascii="Arial" w:cs="Arial" w:eastAsia="Arial" w:hAnsi="Arial"/>
          <w:sz w:val="16"/>
          <w:szCs w:val="16"/>
          <w:color w:val="auto"/>
        </w:rPr>
        <w:t>$24,860 relating to the amendment of Lazard’s retirement policy with respect to RSU awards (see Notes 16 and 18 of Notes to Consolidated Financial Statements). Excluding the impact of such items, the ratio of earnings to fixed charges would have been 3.95.</w:t>
      </w:r>
    </w:p>
    <w:p>
      <w:pPr>
        <w:spacing w:after="0" w:line="1"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Operating income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(see Notes 16 and 18 of Notes to Consolidated Financial Statements). Excluding the impact of such items, the ratio of earnings to fixed charges would have been 1.21.</w:t>
      </w:r>
    </w:p>
    <w:p>
      <w:pPr>
        <w:spacing w:after="0" w:line="48"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2008 is presented after giving effect to a charge of $199,550 relating to the LAM Merger (see Note 8 of Notes to Consolidated Financial Statements).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41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Lazard International</w:t>
            </w:r>
          </w:p>
        </w:tc>
        <w:tc>
          <w:tcPr>
            <w:tcW w:w="2040" w:type="dxa"/>
            <w:vAlign w:val="bottom"/>
          </w:tcPr>
          <w:p>
            <w:pPr>
              <w:spacing w:after="0" w:line="188" w:lineRule="exact"/>
              <w:rPr>
                <w:sz w:val="20"/>
                <w:szCs w:val="20"/>
                <w:color w:val="auto"/>
              </w:rPr>
            </w:pPr>
            <w:r>
              <w:rPr>
                <w:rFonts w:ascii="Arial" w:cs="Arial" w:eastAsia="Arial" w:hAnsi="Arial"/>
                <w:sz w:val="18"/>
                <w:szCs w:val="18"/>
                <w:color w:val="auto"/>
              </w:rPr>
              <w:t>Holdings, Inc.</w:t>
            </w: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Funding Limited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 333-174547 on Form S-3 of our reports dated February 28, 2012, relating to the consolidated financial statements and financial statement schedule of Lazard Group LLC, and the effectiveness of Lazard Group LLC’s internal control over financial reporting appearing in this Annual Report on Form 10-K of Lazard Group LLC for the year ended December 31,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420"/>
          </w:cols>
          <w:pgMar w:left="240" w:top="12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2012</w:t>
      </w:r>
    </w:p>
    <w:p>
      <w:pPr>
        <w:spacing w:after="0" w:line="200" w:lineRule="exact"/>
        <w:rPr>
          <w:sz w:val="20"/>
          <w:szCs w:val="20"/>
          <w:color w:val="auto"/>
        </w:rPr>
      </w:pPr>
    </w:p>
    <w:p>
      <w:pPr>
        <w:spacing w:after="0" w:line="26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58"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2012</w:t>
      </w:r>
    </w:p>
    <w:p>
      <w:pPr>
        <w:spacing w:after="0" w:line="200" w:lineRule="exact"/>
        <w:rPr>
          <w:sz w:val="20"/>
          <w:szCs w:val="20"/>
          <w:color w:val="auto"/>
        </w:rPr>
      </w:pPr>
    </w:p>
    <w:p>
      <w:pPr>
        <w:spacing w:after="0" w:line="26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4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4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lowerLetter"/>
      <w:start w:val="3"/>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lowerRoman"/>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lowerLetter"/>
      <w:start w:val="1"/>
    </w:lvl>
  </w:abstractNum>
  <w:abstractNum w:abstractNumId="24">
    <w:nsid w:val="275AC794"/>
    <w:multiLevelType w:val="hybridMultilevel"/>
    <w:lvl w:ilvl="0">
      <w:lvlJc w:val="left"/>
      <w:lvlText w:val="(%1)"/>
      <w:numFmt w:val="lowerLetter"/>
      <w:start w:val="1"/>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lowerLetter"/>
      <w:start w:val="1"/>
    </w:lvl>
  </w:abstractNum>
  <w:abstractNum w:abstractNumId="27">
    <w:nsid w:val="180115BE"/>
    <w:multiLevelType w:val="hybridMultilevel"/>
    <w:lvl w:ilvl="0">
      <w:lvlJc w:val="left"/>
      <w:lvlText w:val="(%1)"/>
      <w:numFmt w:val="lowerLetter"/>
      <w:start w:val="1"/>
    </w:lvl>
  </w:abstractNum>
  <w:abstractNum w:abstractNumId="28">
    <w:nsid w:val="235BA861"/>
    <w:multiLevelType w:val="hybridMultilevel"/>
    <w:lvl w:ilvl="0">
      <w:lvlJc w:val="left"/>
      <w:lvlText w:val="(%1)"/>
      <w:numFmt w:val="lowerLetter"/>
      <w:start w:val="1"/>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1)"/>
      <w:numFmt w:val="lowerLetter"/>
      <w:start w:val="1"/>
    </w:lvl>
  </w:abstractNum>
  <w:abstractNum w:abstractNumId="31">
    <w:nsid w:val="15B5AF5C"/>
    <w:multiLevelType w:val="hybridMultilevel"/>
    <w:lvl w:ilvl="0">
      <w:lvlJc w:val="left"/>
      <w:lvlText w:val="(%1)"/>
      <w:numFmt w:val="lowerLetter"/>
      <w:start w:val="2"/>
    </w:lvl>
  </w:abstractNum>
  <w:abstractNum w:abstractNumId="32">
    <w:nsid w:val="741226BB"/>
    <w:multiLevelType w:val="hybridMultilevel"/>
    <w:lvl w:ilvl="0">
      <w:lvlJc w:val="left"/>
      <w:lvlText w:val="(%1)"/>
      <w:numFmt w:val="lowerLetter"/>
      <w:start w:val="3"/>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4"/>
    </w:lvl>
  </w:abstractNum>
  <w:abstractNum w:abstractNumId="38">
    <w:nsid w:val="77AE35EB"/>
    <w:multiLevelType w:val="hybridMultilevel"/>
    <w:lvl w:ilvl="0">
      <w:lvlJc w:val="left"/>
      <w:lvlText w:val="(%1)"/>
      <w:numFmt w:val="lowerLetter"/>
      <w:start w:val="6"/>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lvl w:ilvl="1">
      <w:lvlJc w:val="left"/>
      <w:lvlText w:val="•"/>
      <w:numFmt w:val="bullet"/>
      <w:start w:val="1"/>
    </w:lvl>
  </w:abstractNum>
  <w:abstractNum w:abstractNumId="60">
    <w:nsid w:val="5DC79EA8"/>
    <w:multiLevelType w:val="hybridMultilevel"/>
    <w:lvl w:ilvl="0">
      <w:lvlJc w:val="left"/>
      <w:lvlText w:val="(%1)"/>
      <w:numFmt w:val="lowerRoman"/>
      <w:start w:val="3"/>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lowerRoman"/>
      <w:start w:val="2"/>
    </w:lvl>
  </w:abstractNum>
  <w:abstractNum w:abstractNumId="65">
    <w:nsid w:val="BF72B14"/>
    <w:multiLevelType w:val="hybridMultilevel"/>
    <w:lvl w:ilvl="0">
      <w:lvlJc w:val="left"/>
      <w:lvlText w:val="(%1)"/>
      <w:numFmt w:val="lowerRoman"/>
      <w:start w:val="2"/>
    </w:lvl>
  </w:abstractNum>
  <w:abstractNum w:abstractNumId="66">
    <w:nsid w:val="11447B73"/>
    <w:multiLevelType w:val="hybridMultilevel"/>
    <w:lvl w:ilvl="0">
      <w:lvlJc w:val="left"/>
      <w:lvlText w:val="(%1)"/>
      <w:numFmt w:val="lowerRoman"/>
      <w:start w:val="2"/>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Letter"/>
      <w:start w:val="3"/>
    </w:lvl>
  </w:abstractNum>
  <w:abstractNum w:abstractNumId="69">
    <w:nsid w:val="8F2B15E"/>
    <w:multiLevelType w:val="hybridMultilevel"/>
    <w:lvl w:ilvl="0">
      <w:lvlJc w:val="left"/>
      <w:lvlText w:val="(%1)"/>
      <w:numFmt w:val="lowerRoman"/>
      <w:start w:val="3"/>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2"/>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decimal"/>
      <w:start w:val="2"/>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lowerLetter"/>
      <w:start w:val="1"/>
    </w:lvl>
    <w:lvl w:ilvl="1">
      <w:lvlJc w:val="left"/>
      <w:lvlText w:val="%2."/>
      <w:numFmt w:val="decimal"/>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1)"/>
      <w:numFmt w:val="lowerLetter"/>
      <w:start w:val="1"/>
    </w:lvl>
    <w:lvl w:ilvl="1">
      <w:lvlJc w:val="left"/>
      <w:lvlText w:val="•"/>
      <w:numFmt w:val="bullet"/>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2019-12-09T17:06:18Z</dcterms:created>
  <dcterms:modified xsi:type="dcterms:W3CDTF">2019-12-09T17:06:18Z</dcterms:modified>
</cp:coreProperties>
</file>