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1620" w:type="dxa"/>
        <w:tblCellMar>
          <w:top w:w="0" w:type="dxa"/>
          <w:left w:w="0" w:type="dxa"/>
          <w:bottom w:w="0" w:type="dxa"/>
          <w:right w:w="0" w:type="dxa"/>
        </w:tblCellMar>
      </w:tblPr>
      <w:tr>
        <w:trPr>
          <w:trHeight w:val="22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51"/>
        </w:trPr>
        <w:tc>
          <w:tcPr>
            <w:tcW w:w="5960" w:type="dxa"/>
            <w:vAlign w:val="bottom"/>
            <w:gridSpan w:val="3"/>
          </w:tcPr>
          <w:p>
            <w:pPr>
              <w:jc w:val="center"/>
              <w:ind w:right="336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9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 w:firstLine="342"/>
        <w:spacing w:after="0" w:line="268" w:lineRule="auto"/>
        <w:rPr>
          <w:sz w:val="20"/>
          <w:szCs w:val="20"/>
          <w:color w:val="auto"/>
        </w:rPr>
      </w:pPr>
      <w:r>
        <w:rPr>
          <w:rFonts w:ascii="Arial" w:cs="Arial" w:eastAsia="Arial" w:hAnsi="Arial"/>
          <w:sz w:val="18"/>
          <w:szCs w:val="18"/>
          <w:color w:val="auto"/>
        </w:rPr>
        <w:t>As of April 24, 2012,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 has no material operating assets other than indirect ownership as of March 31, 2012 of approximately 94.9% of the common membership interests in Lazard Group. Lazard Ltd controls Lazard Group through two of its indirect wholly-owned subsidiaries who are co-managing members of Lazard Group.</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Lazard Group’s current and former managing directors.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65">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140" w:type="dxa"/>
            <w:vAlign w:val="bottom"/>
            <w:gridSpan w:val="5"/>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9"/>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1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March 31, 2012 and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1"/>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58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2011</w:t>
              </w:r>
            </w:hyperlink>
          </w:p>
        </w:tc>
        <w:tc>
          <w:tcPr>
            <w:tcW w:w="50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Condensed Consolidated Statements of Operations for the three month periods ended</w:t>
              </w:r>
            </w:hyperlink>
          </w:p>
        </w:tc>
        <w:tc>
          <w:tcPr>
            <w:tcW w:w="504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8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2012 and 2011</w:t>
              </w:r>
            </w:hyperlink>
          </w:p>
        </w:tc>
        <w:tc>
          <w:tcPr>
            <w:tcW w:w="89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9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periods ended</w:t>
              </w:r>
            </w:hyperlink>
          </w:p>
        </w:tc>
        <w:tc>
          <w:tcPr>
            <w:tcW w:w="41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March 31, 2012 and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 periods ended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March 31, 2012 and 2011</w:t>
              </w:r>
            </w:hyperlink>
          </w:p>
        </w:tc>
        <w:tc>
          <w:tcPr>
            <w:tcW w:w="3960" w:type="dxa"/>
            <w:vAlign w:val="bottom"/>
            <w:tcBorders>
              <w:top w:val="single" w:sz="8" w:color="0000EE"/>
            </w:tcBorders>
            <w:gridSpan w:val="3"/>
          </w:tcPr>
          <w:p>
            <w:pPr>
              <w:spacing w:after="0"/>
              <w:rPr>
                <w:sz w:val="17"/>
                <w:szCs w:val="17"/>
                <w:color w:val="auto"/>
              </w:rPr>
            </w:pPr>
          </w:p>
        </w:tc>
        <w:tc>
          <w:tcPr>
            <w:tcW w:w="50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91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Condensed Consolidated Statements of Changes in Members’ Equity for the three month periods ended March 31, 2012 and 2011</w:t>
              </w:r>
            </w:hyperlink>
          </w:p>
        </w:tc>
        <w:tc>
          <w:tcPr>
            <w:tcW w:w="1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4"/>
          </w:tcPr>
          <w:p>
            <w:pPr>
              <w:spacing w:after="0"/>
              <w:rPr>
                <w:sz w:val="24"/>
                <w:szCs w:val="24"/>
                <w:color w:val="auto"/>
              </w:rPr>
            </w:pPr>
          </w:p>
        </w:tc>
        <w:tc>
          <w:tcPr>
            <w:tcW w:w="21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676,459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74,502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75,506</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8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3"/>
              </w:rPr>
              <w:t>Receivables (net of allowance for doubtful accounts of $21,172 and $19,450 at March 31, 2012 and December 31, 2011,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Fees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436,201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207,446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714,799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367,578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355,510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w w:val="90"/>
              </w:rPr>
              <w:t>Property (net of accumulated amortization and depreciation of $265,223 and $266,673 at March 31, 2012 and 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2011,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190,080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168,429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5"/>
              </w:rPr>
              <w:t>Goodwill and other intangible assets (net of accumulated amortization of $28,040 and $26,922 at March 31, 2012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395,962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393,099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298,647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2,975,712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3,037,453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6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March 31,</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9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271,553</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222,840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2,233,104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2,319,186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w w:val="91"/>
              </w:rPr>
              <w:t>Members’ equity (net of 1,108,723 and 2,174,573 shares of Lazard Ltd Class A common stock, at a cost of $34,687,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00" w:type="dxa"/>
            <w:vAlign w:val="bottom"/>
          </w:tcPr>
          <w:p>
            <w:pPr>
              <w:ind w:left="640"/>
              <w:spacing w:after="0"/>
              <w:rPr>
                <w:sz w:val="20"/>
                <w:szCs w:val="20"/>
                <w:color w:val="auto"/>
              </w:rPr>
            </w:pPr>
            <w:r>
              <w:rPr>
                <w:rFonts w:ascii="Arial" w:cs="Arial" w:eastAsia="Arial" w:hAnsi="Arial"/>
                <w:sz w:val="18"/>
                <w:szCs w:val="18"/>
                <w:color w:val="auto"/>
              </w:rPr>
              <w:t>and $72,410 at March 31, 2012 and December 31, 2011, respectively)</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713,686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Total Lazard Group members’ equity</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654,437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Total members’ equity</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742,608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2,975,712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3,037,453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335"/>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273,541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220,327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management fees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204,561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214,692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4,729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20,317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503,148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462,537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22,620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86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480,528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438,213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338,303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269,996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Occupancy and equipment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26,277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Marketing and business development</w:t>
            </w: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28,267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information services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20,393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9,097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13,451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11,044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2"/>
              </w:rPr>
              <w:t>447,950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364,317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32,578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4,834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27,744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LESS—NET INCOME ATTRIBUTABLE TO NONCONTROLLING INTERESTS</w:t>
            </w:r>
          </w:p>
        </w:tc>
        <w:tc>
          <w:tcPr>
            <w:tcW w:w="24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2,179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GROUP</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25,565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27,744</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21,589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6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680" w:type="dxa"/>
            <w:vAlign w:val="bottom"/>
          </w:tcPr>
          <w:p>
            <w:pPr>
              <w:ind w:left="860"/>
              <w:spacing w:after="0"/>
              <w:rPr>
                <w:sz w:val="20"/>
                <w:szCs w:val="20"/>
                <w:color w:val="auto"/>
              </w:rPr>
            </w:pPr>
            <w:r>
              <w:rPr>
                <w:rFonts w:ascii="Arial" w:cs="Arial" w:eastAsia="Arial" w:hAnsi="Arial"/>
                <w:sz w:val="18"/>
                <w:szCs w:val="18"/>
                <w:color w:val="auto"/>
                <w:w w:val="98"/>
              </w:rPr>
              <w:t>Net actuarial loss (net of tax benefit of $1,282 and $1,935 for the three months ended March 31, 2012 and 2011,</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respectively)</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(2,597)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 for items reclassified to earnings (net of tax expense of $297 and $255 for the three months ended</w:t>
            </w: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March 31, 2012 and 2011, respectively)</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20,071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20,865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47,815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84,372</w:t>
            </w:r>
          </w:p>
        </w:tc>
        <w:tc>
          <w:tcPr>
            <w:tcW w:w="0" w:type="dxa"/>
            <w:vAlign w:val="bottom"/>
          </w:tcPr>
          <w:p>
            <w:pPr>
              <w:spacing w:after="0"/>
              <w:rPr>
                <w:sz w:val="1"/>
                <w:szCs w:val="1"/>
                <w:color w:val="auto"/>
              </w:rPr>
            </w:pPr>
          </w:p>
        </w:tc>
      </w:tr>
      <w:tr>
        <w:trPr>
          <w:trHeight w:val="3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LESS - COMPREHENSIVE INCOME ATTRIBUTABLE TO NONCONTROLLING INTERESTS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2,247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GROUP</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45,568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27,744</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and interest rate hedge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93,902</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Loss on sale of intercompany receivable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5,638</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36,866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(17,429)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(52,849)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(19,680)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(174,783)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(305,150)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(99,003)</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(26,848)</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(25,239)</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Sale of intercompany receivable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81,105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(18,703)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Repurchase of common membership interests from members of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LAZ-MD Holdings</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(45,236)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members</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(20,245)</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(24,925)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(28,278)</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(144,525)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(176,138)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820,984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EQUIVALENTS—March 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676,459</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848,654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Accumulated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2"/>
              </w:rPr>
              <w:t>Total 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1"/>
              </w:rPr>
              <w:t>Members’</w:t>
            </w: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Group Members’</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Net of Tax</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Interests</w:t>
            </w:r>
          </w:p>
        </w:tc>
        <w:tc>
          <w:tcPr>
            <w:tcW w:w="2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2011 (*)</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$404,588</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(35,023)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369,565</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120,882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490,447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62,265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1,242</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 net of tax:</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Currency translation adjustments</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23,720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860"/>
              <w:spacing w:after="0"/>
              <w:rPr>
                <w:sz w:val="20"/>
                <w:szCs w:val="20"/>
                <w:color w:val="auto"/>
              </w:rPr>
            </w:pPr>
            <w:r>
              <w:rPr>
                <w:rFonts w:ascii="Arial" w:cs="Arial" w:eastAsia="Arial" w:hAnsi="Arial"/>
                <w:sz w:val="18"/>
                <w:szCs w:val="18"/>
                <w:color w:val="auto"/>
              </w:rPr>
              <w:t>Amortization of interest rate hedge</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Employee benefit plans:</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Net actuarial loss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(3,685)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(3,685)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for items</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reclassified to earnings</w:t>
            </w: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w:t>
            </w: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5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Comprehensive income</w:t>
            </w: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83,112</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1,260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93,557</w:t>
            </w: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(15,070)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(15,070)</w:t>
            </w:r>
          </w:p>
        </w:tc>
        <w:tc>
          <w:tcPr>
            <w:tcW w:w="1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(1,051)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(32,689)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(32,689)</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Delivery of Lazard Ltd Class A common stock in connection</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with share-based</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incentive compensation</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(83,016)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(83,016)</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(83,016)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common membership interests from LAZ-MD</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Holdings</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Lazard Ltd Class A common stock issuable (including</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related amortization)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March 31, 2011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431,399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(14,176)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417,223</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121,091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538,314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127,350,561 and 127,331,529 common membership interests at January 1, 2011 and March 31, 2011, respectively. Also includes profit participation interests and two managing member interests at each such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88"/>
              </w:rPr>
              <w:t>Accumulated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jc w:val="center"/>
              <w:ind w:right="19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Total Lazard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Members’</w:t>
            </w:r>
          </w:p>
        </w:tc>
        <w:tc>
          <w:tcPr>
            <w:tcW w:w="1260" w:type="dxa"/>
            <w:vAlign w:val="bottom"/>
            <w:gridSpan w:val="3"/>
          </w:tcPr>
          <w:p>
            <w:pPr>
              <w:jc w:val="center"/>
              <w:ind w:right="19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2"/>
                <w:szCs w:val="12"/>
                <w:color w:val="auto"/>
              </w:rPr>
            </w:pPr>
          </w:p>
        </w:tc>
        <w:tc>
          <w:tcPr>
            <w:tcW w:w="15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Group Members’</w:t>
            </w:r>
          </w:p>
        </w:tc>
        <w:tc>
          <w:tcPr>
            <w:tcW w:w="14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Noncontrolling</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Total 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540" w:type="dxa"/>
            <w:vAlign w:val="bottom"/>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of Tax</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Equity</w:t>
            </w: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Interests</w:t>
            </w: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2012 (*)</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$693,596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(79,252)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614,344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103,923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718,267</w:t>
            </w:r>
          </w:p>
        </w:tc>
        <w:tc>
          <w:tcPr>
            <w:tcW w:w="0" w:type="dxa"/>
            <w:vAlign w:val="bottom"/>
          </w:tcPr>
          <w:p>
            <w:pPr>
              <w:spacing w:after="0"/>
              <w:rPr>
                <w:sz w:val="1"/>
                <w:szCs w:val="1"/>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25,565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25,565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Other comprehensive income (loss) -</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net of tax:</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21,521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640"/>
              <w:spacing w:after="0"/>
              <w:rPr>
                <w:sz w:val="20"/>
                <w:szCs w:val="20"/>
                <w:color w:val="auto"/>
              </w:rPr>
            </w:pPr>
            <w:r>
              <w:rPr>
                <w:rFonts w:ascii="Arial" w:cs="Arial" w:eastAsia="Arial" w:hAnsi="Arial"/>
                <w:sz w:val="18"/>
                <w:szCs w:val="18"/>
                <w:color w:val="auto"/>
              </w:rPr>
              <w:t>Amortization of interest rate hedge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benefit plans: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060"/>
              <w:spacing w:after="0"/>
              <w:rPr>
                <w:sz w:val="20"/>
                <w:szCs w:val="20"/>
                <w:color w:val="auto"/>
              </w:rPr>
            </w:pPr>
            <w:r>
              <w:rPr>
                <w:rFonts w:ascii="Arial" w:cs="Arial" w:eastAsia="Arial" w:hAnsi="Arial"/>
                <w:sz w:val="18"/>
                <w:szCs w:val="18"/>
                <w:color w:val="auto"/>
              </w:rPr>
              <w:t>Net actuarial loss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58"/>
              <w:spacing w:after="0"/>
              <w:rPr>
                <w:sz w:val="20"/>
                <w:szCs w:val="20"/>
                <w:color w:val="auto"/>
              </w:rPr>
            </w:pPr>
            <w:r>
              <w:rPr>
                <w:rFonts w:ascii="Arial" w:cs="Arial" w:eastAsia="Arial" w:hAnsi="Arial"/>
                <w:sz w:val="18"/>
                <w:szCs w:val="18"/>
                <w:color w:val="auto"/>
              </w:rPr>
              <w:t>(2,597)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(2,597)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Adjustments for items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reclassified to earnings</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vMerge w:val="restart"/>
          </w:tcPr>
          <w:p>
            <w:pPr>
              <w:ind w:left="200"/>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45,568</w:t>
            </w:r>
          </w:p>
        </w:tc>
        <w:tc>
          <w:tcPr>
            <w:tcW w:w="14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2,247</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47,815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86,136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86,136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80" w:type="dxa"/>
            <w:vAlign w:val="bottom"/>
            <w:gridSpan w:val="5"/>
          </w:tcPr>
          <w:p>
            <w:pPr>
              <w:jc w:val="right"/>
              <w:ind w:right="440"/>
              <w:spacing w:after="0"/>
              <w:rPr>
                <w:sz w:val="20"/>
                <w:szCs w:val="20"/>
                <w:color w:val="auto"/>
              </w:rPr>
            </w:pPr>
            <w:r>
              <w:rPr>
                <w:rFonts w:ascii="Arial" w:cs="Arial" w:eastAsia="Arial" w:hAnsi="Arial"/>
                <w:sz w:val="18"/>
                <w:szCs w:val="18"/>
                <w:color w:val="auto"/>
              </w:rPr>
              <w:t>(20,245)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(20,245)</w:t>
            </w:r>
          </w:p>
        </w:tc>
        <w:tc>
          <w:tcPr>
            <w:tcW w:w="1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(17,999)</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8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(45,236)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(45,236)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Delivery of Lazard Ltd Class A common stock in</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w w:val="96"/>
              </w:rPr>
              <w:t>connection with share-based incentive compensation and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related tax expense of $972</w:t>
            </w:r>
          </w:p>
        </w:tc>
        <w:tc>
          <w:tcPr>
            <w:tcW w:w="1180" w:type="dxa"/>
            <w:vAlign w:val="bottom"/>
            <w:gridSpan w:val="5"/>
          </w:tcPr>
          <w:p>
            <w:pPr>
              <w:jc w:val="right"/>
              <w:ind w:right="440"/>
              <w:spacing w:after="0"/>
              <w:rPr>
                <w:sz w:val="20"/>
                <w:szCs w:val="20"/>
                <w:color w:val="auto"/>
              </w:rPr>
            </w:pPr>
            <w:r>
              <w:rPr>
                <w:rFonts w:ascii="Arial" w:cs="Arial" w:eastAsia="Arial" w:hAnsi="Arial"/>
                <w:sz w:val="18"/>
                <w:szCs w:val="18"/>
                <w:color w:val="auto"/>
              </w:rPr>
              <w:t>(25,897)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(25,897)</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(25,897)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Balance – March 31, 2012 (*)</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713,686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(59,249</w:t>
            </w:r>
          </w:p>
        </w:tc>
        <w:tc>
          <w:tcPr>
            <w:tcW w:w="300" w:type="dxa"/>
            <w:vAlign w:val="bottom"/>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654,437</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88,171</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Includes 129,766,090 common membership interests at both January 1, 2012 and March 31, 2012. Also includes profit participation interests and two managing member interests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Lazard Ltd, a Bermuda holding company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Lazard Ltd indirectly held approximately 94.9% and 94.8% of all outstanding Lazard Group common membership interests as of March 31, 2012 and December 31, 2011, respectively. Lazard Ltd, through its control of the managing members of Lazard Group, controls Lazard Group. LAZ-MD Holdings LLC (“LAZ-MD Holdings”), an entity owned by Lazard Group’s current and former managing directors, held approximately 5.1% and 5.2% of the outstanding Lazard Group common membership interests as of March 31, 2012 and December 31, 2011, respectively. Additionally, LAZ-MD Holdings was the sole owner of the one issued and outstanding share of Lazard Ltd’s Class B common stock (the “Class B common stock”) which provided LAZ-MD Holdings with approximately 5.1% and 5.2% of the voting power but no economic rights in Lazard Ltd as of March 31, 2012 and December 31, 2011, respectively. Subject to certain limitations, LAZ-MD Holdings’ interests in Lazard Group are exchangeable for Lazard Ltd Class A common stock, par value $0.01 per share (“Class A common stock”).</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LFB is a registered bank regulated by the Autoritè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Group have been prepared pursuant to the rules and regulations of the U.S. Securities and Exchange Commission (the “SEC”) regarding interim financial reporting. Accordingly, they do not include all of the information and notes required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2011 (the “Form 10-K”). The accompanying December 31, 2011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period ended March 31, 2012 are not necessarily indicative of the results to be expected for any future interim or annual period.</w:t>
      </w:r>
    </w:p>
    <w:p>
      <w:pPr>
        <w:spacing w:after="0" w:line="4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an English private limited company (“LCH”), together with their jointly owned affiliates and subsidiaries.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2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—In the first quarter of 2012, the Company adopted the amended fair value measurement guidance issued by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(the “FASB”), which the FASB stated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are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became effective for interim and annual periods beginning after December 15, 2011 and is applied prospectively. The adoption of the amended fair value measurement guidance did not have a material impact on the Company’s consolidated financial statements, primarily because substantially all Level 3 assets are carried at net asset value (“NAV”) or its equivalent.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Other Comprehensive Income</w:t>
      </w:r>
      <w:r>
        <w:rPr>
          <w:rFonts w:ascii="Arial" w:cs="Arial" w:eastAsia="Arial" w:hAnsi="Arial"/>
          <w:sz w:val="18"/>
          <w:szCs w:val="18"/>
          <w:color w:val="auto"/>
        </w:rPr>
        <w:t>—In the first quarter of 2012, the Company adopted the FASB’s amended guidance regarding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the FASB stated was designed to improve comparability, consistency and transparency. The amendment required that all changes in comprehensive income be presented either in (i) a single continuous statement of comprehensive income or in (ii) two separate but consecutive statements. The amendment was to be applied retrospectively and is effective with interim and annual periods beginning after December 15, 2011, with early adoption permitted. The Company elected the two-statement method.</w:t>
      </w:r>
    </w:p>
    <w:p>
      <w:pPr>
        <w:spacing w:after="0" w:line="26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 - 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Receivables are stated net of an estimated allowance for doubtful accounts of $21,172 and $19,450 at March 31, 2012 and December 31, 2011, respectively, for past due amounts and for specific accounts deemed uncollectible, which may include situations where a fee is in dispute. The Company recorded bad debt expense of $1,281 and $967 for the three month periods ended March 31, 2012 and 2011, respectively. In addition, the Company recorded charge-offs, foreign currency translation and other adjustments, which resulted in a net increase (decrease) to the allowance for doubtful accounts of $441 and $(487) for the three month periods ended March 31, 2012 and 2011, respectively. At March 31, 2012 and December 31, 2011, the Company had receivables deemed past due or uncollectible of $21,615 and $22,785 respectively.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March 31,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Equities (a)</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170,438</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37,851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116,563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187,991</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175,389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367,578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 (included in “debt” above)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353,299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1,952</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Equities, interests in alternative asset management funds and fixed income funds include investments with fair values of $22,224, $3,619 and $5,056, respectively, at March 31, 2012 and $19,857, $2,256 and $5,212, respectively, at December 31, 2011,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12 of Notes to Condensed Consolidated Financial Statements).</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Debt securities included in the table above are categorized as “trading” securities. Debt securities primarily relate to Asset Management seed investments and U.S. government debt securities and, at December 31, 2011, non-U.S. government securities which matured during the first quarter of 2012.</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Equities primarily relate to the Company’s seed investments in Asset Management products, which in turn invest in marketable equity securities of large-, mid- and small-cap domestic, international and global companies and include investments in public and private asset management funds managed both by LAM and third-party asset managers.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Interests in alternative asset management funds represent general partner (“GP”) interests in various Lazard-managed alternative asset management funds.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income funds primarily consist of amounts seeding products of our Asset Management business.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(iii) Lazard Senior Housing Partners LP (“Senior Housing”), which targets controlling interests in companies and assets in the senior housing, extended-stay hotel and shopping center sectors, (iv) Edgewater Growth Capital Partners III, L.P. (“EGCP III”), a private equity fund primarily making equity and buyout investments in lower middle market companies and (v) Lazard Australia Corporate Opportunities Fund 2 (“COF 2”), a Lazard-managed Australian private equity fund.</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Private equity investments consolidated but not owned by Lazard relate to the economic interests that are owned by the leadership team and other investors in the Edgewater Funds (“Edgewater”) which aggregated $22,059 and $18,502 at March 31, 2012 and December 31, 2011, respectively.</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three month periods ended March 31, 2012 and 2011, the Company recognized gross investment gains and losses in “revenue-other” on its condensed consolidated statements of operations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8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8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center"/>
              <w:ind w:left="300"/>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r>
      <w:tr>
        <w:trPr>
          <w:trHeight w:val="210"/>
        </w:trPr>
        <w:tc>
          <w:tcPr>
            <w:tcW w:w="8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$26,478</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$5,756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520</w:t>
            </w:r>
          </w:p>
        </w:tc>
        <w:tc>
          <w:tcPr>
            <w:tcW w:w="880" w:type="dxa"/>
            <w:vAlign w:val="bottom"/>
            <w:gridSpan w:val="3"/>
          </w:tcPr>
          <w:p>
            <w:pPr>
              <w:jc w:val="center"/>
              <w:ind w:left="300"/>
              <w:spacing w:after="0"/>
              <w:rPr>
                <w:sz w:val="20"/>
                <w:szCs w:val="20"/>
                <w:color w:val="auto"/>
              </w:rPr>
            </w:pPr>
            <w:r>
              <w:rPr>
                <w:rFonts w:ascii="Arial" w:cs="Arial" w:eastAsia="Arial" w:hAnsi="Arial"/>
                <w:sz w:val="18"/>
                <w:szCs w:val="18"/>
                <w:color w:val="auto"/>
                <w:w w:val="90"/>
              </w:rPr>
              <w:t>$1,016</w:t>
            </w:r>
          </w:p>
        </w:tc>
        <w:tc>
          <w:tcPr>
            <w:tcW w:w="100" w:type="dxa"/>
            <w:vAlign w:val="bottom"/>
          </w:tcPr>
          <w:p>
            <w:pPr>
              <w:spacing w:after="0"/>
              <w:rPr>
                <w:sz w:val="19"/>
                <w:szCs w:val="19"/>
                <w:color w:val="auto"/>
              </w:rPr>
            </w:pPr>
          </w:p>
        </w:tc>
      </w:tr>
      <w:tr>
        <w:trPr>
          <w:trHeight w:val="410"/>
        </w:trPr>
        <w:tc>
          <w:tcPr>
            <w:tcW w:w="8900" w:type="dxa"/>
            <w:vAlign w:val="bottom"/>
          </w:tcPr>
          <w:p>
            <w:pPr>
              <w:ind w:left="440"/>
              <w:spacing w:after="0"/>
              <w:rPr>
                <w:sz w:val="20"/>
                <w:szCs w:val="20"/>
                <w:color w:val="auto"/>
              </w:rPr>
            </w:pPr>
            <w:r>
              <w:rPr>
                <w:rFonts w:ascii="Arial" w:cs="Arial" w:eastAsia="Arial" w:hAnsi="Arial"/>
                <w:sz w:val="18"/>
                <w:szCs w:val="18"/>
                <w:color w:val="auto"/>
                <w:w w:val="92"/>
              </w:rPr>
              <w:t>The table above includes gross unrealized investment gains and losses pertaining to “trading” securities as follows: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0"/>
        </w:trPr>
        <w:tc>
          <w:tcPr>
            <w:tcW w:w="8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10"/>
          </w:tcPr>
          <w:p>
            <w:pPr>
              <w:jc w:val="center"/>
              <w:ind w:right="66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8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6"/>
          </w:tcPr>
          <w:p>
            <w:pPr>
              <w:jc w:val="center"/>
              <w:ind w:left="244"/>
              <w:spacing w:after="0"/>
              <w:rPr>
                <w:sz w:val="20"/>
                <w:szCs w:val="20"/>
                <w:color w:val="auto"/>
              </w:rPr>
            </w:pPr>
            <w:r>
              <w:rPr>
                <w:rFonts w:ascii="Arial" w:cs="Arial" w:eastAsia="Arial" w:hAnsi="Arial"/>
                <w:sz w:val="14"/>
                <w:szCs w:val="14"/>
                <w:b w:val="1"/>
                <w:bCs w:val="1"/>
                <w:color w:val="auto"/>
                <w:w w:val="92"/>
              </w:rPr>
              <w:t>March 31,</w:t>
            </w: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3"/>
              </w:rPr>
              <w:t>2012</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4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assets valued based on NAV or its equivalent redeemable at the measurement date or within the near term without redemption restrictions, or inputs other than quoted prices that are directly observable or derived principally from, or corroborated by, market data.</w:t>
      </w:r>
    </w:p>
    <w:p>
      <w:pPr>
        <w:spacing w:after="0" w:line="62" w:lineRule="exact"/>
        <w:rPr>
          <w:sz w:val="20"/>
          <w:szCs w:val="20"/>
          <w:color w:val="auto"/>
        </w:rPr>
      </w:pPr>
    </w:p>
    <w:p>
      <w:pPr>
        <w:ind w:left="920" w:right="2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20" w:right="260"/>
        <w:spacing w:after="0" w:line="256" w:lineRule="auto"/>
        <w:rPr>
          <w:sz w:val="20"/>
          <w:szCs w:val="20"/>
          <w:color w:val="auto"/>
        </w:rPr>
      </w:pPr>
      <w:r>
        <w:rPr>
          <w:rFonts w:ascii="Arial" w:cs="Arial" w:eastAsia="Arial" w:hAnsi="Arial"/>
          <w:sz w:val="18"/>
          <w:szCs w:val="18"/>
          <w:color w:val="auto"/>
        </w:rPr>
        <w:t>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not redeemable within the near term.</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Company’s investments in U.S. Government and agency debt securities as well as in non-U.S. Government and other debt securities are considered Level 1 assets when their respective fair values are based on unadjusted quoted prices in active markets and are considered Level 2 assets when their fair values are primarily based on broker quotes as provided by external pricing services.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fair value of equities is principally classified as Level 1, Level 2 or Level 3 as follows: marketable equity securities are classified as Level 1 and are valued based on the last trade price on the primary exchange for that security; public asset management funds are classified as Level 1 and are valued based on the reported closing price for the fund; investments in private asset management funds are classified as Level 2 and are primarily valued based on information provided by fund managers and, secondarily, from external pricing services to the extent managed by LAM; and Level 3 represents equities valued based on NAV and are not redeemable within the near term.</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 and is based on information provided by external pricing services.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investments in fixed income funds are considered Level 1 assets when the fair values are based on the reported closing price for the fund or Level 2 assets when the fair values are primarily based on broker quotes as provided by external pricing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private equity investments is classified as Level 3, and is primarily based on NAV. Such investments are not redeemable within the near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65"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and the fair values of interest rate swaps are based on the interest rate yield curve.</w:t>
      </w:r>
    </w:p>
    <w:p>
      <w:pPr>
        <w:spacing w:after="0" w:line="9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March 31, 2012 and December 31, 2011 into the three-level fair value hierarchy in accordance with fair value measurement disclosure requirements: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March 31, 2012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118,154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52,057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170,438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31,946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37,851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19,141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22,256</w:t>
            </w: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116,563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116,563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138,904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93,154</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122,695</w:t>
            </w:r>
          </w:p>
        </w:tc>
        <w:tc>
          <w:tcPr>
            <w:tcW w:w="2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354,753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96,092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96,092</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1,952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96,092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98,044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2011</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Investments: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115,380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37,332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156,053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Interest in alternative asset management funds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17,689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21,008</w:t>
            </w:r>
          </w:p>
        </w:tc>
        <w:tc>
          <w:tcPr>
            <w:tcW w:w="0" w:type="dxa"/>
            <w:vAlign w:val="bottom"/>
          </w:tcPr>
          <w:p>
            <w:pPr>
              <w:spacing w:after="0"/>
              <w:rPr>
                <w:sz w:val="1"/>
                <w:szCs w:val="1"/>
                <w:color w:val="auto"/>
              </w:rPr>
            </w:pPr>
          </w:p>
        </w:tc>
      </w:tr>
      <w:tr>
        <w:trPr>
          <w:trHeight w:val="216"/>
        </w:trPr>
        <w:tc>
          <w:tcPr>
            <w:tcW w:w="488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122,718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150,179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65,475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133,100</w:t>
            </w:r>
          </w:p>
        </w:tc>
        <w:tc>
          <w:tcPr>
            <w:tcW w:w="2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348,754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30,572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20" w:type="dxa"/>
            <w:vAlign w:val="bottom"/>
            <w:vMerge w:val="restart"/>
          </w:tcPr>
          <w:p>
            <w:pPr>
              <w:jc w:val="right"/>
              <w:ind w:right="15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2012 and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periods ended March 31,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0"/>
              </w:rPr>
              <w:t>Three Months Ended March 31, 2012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Realized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Beginning</w:t>
            </w:r>
          </w:p>
        </w:tc>
        <w:tc>
          <w:tcPr>
            <w:tcW w:w="120" w:type="dxa"/>
            <w:vAlign w:val="bottom"/>
          </w:tcPr>
          <w:p>
            <w:pPr>
              <w:spacing w:after="0"/>
              <w:rPr>
                <w:sz w:val="12"/>
                <w:szCs w:val="12"/>
                <w:color w:val="auto"/>
              </w:rPr>
            </w:pPr>
          </w:p>
        </w:tc>
        <w:tc>
          <w:tcPr>
            <w:tcW w:w="9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Included In</w:t>
            </w:r>
          </w:p>
        </w:tc>
        <w:tc>
          <w:tcPr>
            <w:tcW w:w="4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Sales/</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4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Balance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Revenue-Other (a)</w:t>
            </w: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3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3,341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 alternative asset management funds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7,041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2,696</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(17,872)</w:t>
            </w: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1,457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116,563</w:t>
            </w:r>
          </w:p>
        </w:tc>
        <w:tc>
          <w:tcPr>
            <w:tcW w:w="100" w:type="dxa"/>
            <w:vAlign w:val="bottom"/>
          </w:tcPr>
          <w:p>
            <w:pPr>
              <w:spacing w:after="0"/>
              <w:rPr>
                <w:sz w:val="18"/>
                <w:szCs w:val="18"/>
                <w:color w:val="auto"/>
              </w:rPr>
            </w:pPr>
          </w:p>
        </w:tc>
      </w:tr>
      <w:tr>
        <w:trPr>
          <w:trHeight w:val="27"/>
        </w:trPr>
        <w:tc>
          <w:tcPr>
            <w:tcW w:w="4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133,100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(22,265)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122,695</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w w:val="95"/>
              </w:rPr>
              <w:t>Three Months Ended March 31, 2011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Realized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Included In</w:t>
            </w:r>
          </w:p>
        </w:tc>
        <w:tc>
          <w:tcPr>
            <w:tcW w:w="4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Purchases/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Sales/</w:t>
            </w: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Balance</w:t>
            </w: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Revenue-Other (a)</w:t>
            </w:r>
          </w:p>
        </w:tc>
        <w:tc>
          <w:tcPr>
            <w:tcW w:w="4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3"/>
              </w:rPr>
              <w:t>Acquisitions</w:t>
            </w:r>
          </w:p>
        </w:tc>
        <w:tc>
          <w:tcPr>
            <w:tcW w:w="4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2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12,153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279</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12,153</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(7,303)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2,689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64"/>
        <w:spacing w:after="0" w:line="268"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periods ended March 31, 2012 and 2011 include net unrealized gains of $6,080 and $279, respectively, pertaining to investments outstanding at the end of each respective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March 31, 2012 and December 31, 2011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an NAV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March 31, 2012</w:t>
            </w: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0" w:type="dxa"/>
            <w:vAlign w:val="bottom"/>
            <w:gridSpan w:val="6"/>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6"/>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4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Unfunded</w:t>
            </w: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Next</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Interests in alternative asset management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funds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37,851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equity funds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115,200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35,883</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208,376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35,883</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w w:val="85"/>
              </w:rPr>
              <w:t>December 31, 2011</w:t>
            </w: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vMerge w:val="continue"/>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0" w:type="dxa"/>
            <w:vAlign w:val="bottom"/>
            <w:gridSpan w:val="6"/>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 of</w:t>
            </w:r>
          </w:p>
        </w:tc>
        <w:tc>
          <w:tcPr>
            <w:tcW w:w="280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6"/>
              </w:rPr>
              <w:t>Investments Not Redeemable</w:t>
            </w: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Investments Redeemable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t>
            </w:r>
          </w:p>
        </w:tc>
        <w:tc>
          <w:tcPr>
            <w:tcW w:w="4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Unfunded</w:t>
            </w:r>
          </w:p>
        </w:tc>
        <w:tc>
          <w:tcPr>
            <w:tcW w:w="3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Next</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5-10</w:t>
            </w:r>
          </w:p>
        </w:tc>
        <w:tc>
          <w:tcPr>
            <w:tcW w:w="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Redeemable</w:t>
            </w: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4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2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5"/>
              </w:rPr>
              <w:t>Interests in alternative asset management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funds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Private equity funds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121,276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185,707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March 31, 2012, the current maximum unfunded commitments by the Company for capital contributions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investment funds related to (i) CP II, amounting to $2,124 for potential “follow-on investments” and/or for fund expenses through the earlier of February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or the liquidation of the fund, (ii) EGCP III, amounting to $25,673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and/or expenses (with a portion of the undrawn amount of such commitment as of that date remaining committed until October 12, 2023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“follow-on investments” and/or fund expenses) or the liquidation of the fund and (iii) COF 2, amounting to $8,086, through the earlier of November 11,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 as of that date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committed until November 11, 2019 in respect of “follow-on investments” and/or fund expenses) or the liquidation of the fund.</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commitment regarding EGCP III described above reflects a March 1, 2012 reduction of approximately $17,400 from the original commitment of $50,000 that an investor group agreed to acquire from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as well as gains and losses on derivative instruments accounted for as fair value hedges, are included in “interest income” and “interest expense”, respectively, or “revenue-other”, depending on the nature of the underlying item, on the consolidated statements of operations. Furthermore, with respect to derivative instruments designated as fair value hedges, the hedged item is required to be adjusted for changes in fair value of the risk being hedged, with such adjustment accounted for in the consolidated statements of operations.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the underlying investments owned, which is reported in “revenue-other” in the consolidated statements of operations.</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table below represents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reported within “accrued compensation and benefits” (see Note 12 of Notes to Condensed Consolidated Financial Statements) on the accompanying condensed consolidated statements of financial condition as of March 31, 2012 and December 31, 2011: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March</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8"/>
              <w:spacing w:after="0"/>
              <w:rPr>
                <w:sz w:val="20"/>
                <w:szCs w:val="20"/>
                <w:color w:val="auto"/>
              </w:rPr>
            </w:pPr>
            <w:r>
              <w:rPr>
                <w:rFonts w:ascii="Arial" w:cs="Arial" w:eastAsia="Arial" w:hAnsi="Arial"/>
                <w:sz w:val="14"/>
                <w:szCs w:val="14"/>
                <w:b w:val="1"/>
                <w:bCs w:val="1"/>
                <w:color w:val="auto"/>
              </w:rPr>
              <w:t>31,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1,403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and fixed income swaps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1,454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9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1,478</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and fixed income swaps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640"/>
              <w:spacing w:after="0"/>
              <w:rPr>
                <w:sz w:val="20"/>
                <w:szCs w:val="20"/>
                <w:color w:val="auto"/>
              </w:rPr>
            </w:pPr>
            <w:r>
              <w:rPr>
                <w:rFonts w:ascii="Arial" w:cs="Arial" w:eastAsia="Arial" w:hAnsi="Arial"/>
                <w:sz w:val="18"/>
                <w:szCs w:val="18"/>
                <w:color w:val="auto"/>
              </w:rPr>
              <w:t>(see Note 12)</w:t>
            </w: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90,286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96,092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jc w:val="right"/>
              <w:ind w:right="353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gains (losses) with respect to derivative instruments not designated as hedging instruments (predominantly reflected in “revenue-other”) and the Company’s derivative liabilities relating to its obligations pertaining to Lazard Fund Interests and other similar deferred compensation arrangements (reported in “compensation and benefits” expense, which equally offsets corresponding amounts reported in “revenue-other” as described above) as reflected on the accompanying condensed consolidated statements of operations for the three month periods ended March 31, 2012 and 2011, by type of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9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(1,922)</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Equity and fixed income swaps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(9,857)</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(2,262)</w:t>
            </w:r>
          </w:p>
        </w:tc>
      </w:t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(2,767)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6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(14,546)</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(8,520)</w:t>
            </w:r>
          </w:p>
        </w:tc>
      </w:tr>
      <w:tr>
        <w:trPr>
          <w:trHeight w:val="20"/>
        </w:trPr>
        <w:tc>
          <w:tcPr>
            <w:tcW w:w="9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 Edgewater’s activities are recorded in the Company’s Asset Management segment.</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On December 30, 2011, 285,715 Initial Shares and 57,287 Earnout Shares became unrestricted or were otherwise delivered.</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prior years, the Company made certain other business acquisitions. These purchases were effected through an exchange of a combination of cash, Class A common stock, and by Lazard Ltd issuing shares of non-participating convertible Series A and Series B preferred stock, which were each convertible into Class A common stock. In connection with such acquisitions, as of both March 31, 2012 and December 31, 2011, 47,474 shares of Class A common stock were issuable on a non-contingent basis. At March 31, 2012, no shares of Series A preferred stock were convertible into shares of Class A common stock on a contingent or a non-contingent basis.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connection with Lazard Group’s prior year business acquisitions, Lazard Group recorded related party payables of $3,695 at both March 31, 2012 and December 31, 2011 to subsidiaries of Lazard Ltd (see Note 15 of Notes to the Condensed Consolidated Financial statements). Such amount will become members’ equity as the related shares of Class A common stock are issued.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components of goodwill and other intangible assets at March 31, 2012 and December 31, 2011 are presented below:</w:t>
      </w:r>
    </w:p>
    <w:p>
      <w:pPr>
        <w:spacing w:after="0" w:line="230"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March 31,</w:t>
      </w:r>
    </w:p>
    <w:p>
      <w:pPr>
        <w:jc w:val="center"/>
        <w:ind w:left="8060"/>
        <w:spacing w:after="0"/>
        <w:rPr>
          <w:sz w:val="20"/>
          <w:szCs w:val="20"/>
          <w:color w:val="auto"/>
        </w:rPr>
      </w:pP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2011</w:t>
      </w:r>
    </w:p>
    <w:p>
      <w:pPr>
        <w:spacing w:after="0" w:line="1" w:lineRule="exact"/>
        <w:rPr>
          <w:sz w:val="20"/>
          <w:szCs w:val="20"/>
          <w:color w:val="auto"/>
        </w:rPr>
      </w:pPr>
    </w:p>
    <w:p>
      <w:pPr>
        <w:sectPr>
          <w:pgSz w:w="11900" w:h="16838" w:orient="portrait"/>
          <w:cols w:equalWidth="0" w:num="2">
            <w:col w:w="9120" w:space="280"/>
            <w:col w:w="2020"/>
          </w:cols>
          <w:pgMar w:left="240" w:top="459" w:right="239" w:bottom="1440" w:gutter="0" w:footer="0" w:header="0"/>
        </w:sectPr>
      </w:pPr>
    </w:p>
    <w:tbl>
      <w:tblPr>
        <w:tblLayout w:type="fixed"/>
        <w:tblInd w:w="11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$360,638</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356,657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35,324</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395,962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393,099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At March 31, 2012 and December 31, 2011, goodwill of $296,097 and $292,116, respectively, was attributable to the Company’s Financial Advisory segment and, at such respective dates, $64,541 of goodwill was attributable to the Company’s Asset Management segment.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three month periods ended March 31, 2012, and 2011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360,638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316,101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March 31, 2012 and December 31, 2011,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2012</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5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32,624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20,918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11,706</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63,364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35,324</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63,364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Amortization expense of intangible assets for the three month periods ended March 31, 2012 and 2011 was $1,118 and $1,474, respectively. Estimated future amortization expense is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Future</w:t>
            </w:r>
          </w:p>
        </w:tc>
        <w:tc>
          <w:tcPr>
            <w:tcW w:w="0" w:type="dxa"/>
            <w:vAlign w:val="bottom"/>
          </w:tcPr>
          <w:p>
            <w:pPr>
              <w:spacing w:after="0"/>
              <w:rPr>
                <w:sz w:val="1"/>
                <w:szCs w:val="1"/>
                <w:color w:val="auto"/>
              </w:rPr>
            </w:pPr>
          </w:p>
        </w:tc>
      </w:tr>
      <w:tr>
        <w:trPr>
          <w:trHeight w:val="149"/>
        </w:trPr>
        <w:tc>
          <w:tcPr>
            <w:tcW w:w="84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84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3"/>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82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2012 (April 1 through December 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2015</w:t>
            </w:r>
          </w:p>
        </w:tc>
        <w:tc>
          <w:tcPr>
            <w:tcW w:w="7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40" w:type="dxa"/>
            <w:vAlign w:val="bottom"/>
            <w:shd w:val="clear" w:color="auto" w:fill="CCEEFF"/>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4"/>
          </w:tcPr>
          <w:p>
            <w:pPr>
              <w:ind w:left="220"/>
              <w:spacing w:after="0"/>
              <w:rPr>
                <w:sz w:val="20"/>
                <w:szCs w:val="20"/>
                <w:color w:val="auto"/>
              </w:rPr>
            </w:pPr>
            <w:r>
              <w:rPr>
                <w:rFonts w:ascii="Arial" w:cs="Arial" w:eastAsia="Arial" w:hAnsi="Arial"/>
                <w:sz w:val="18"/>
                <w:szCs w:val="18"/>
                <w:color w:val="auto"/>
              </w:rPr>
              <w:t>Total amortization expense</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Approximately 46%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2012 and December 31, 2011: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Initial</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88"/>
              </w:rPr>
              <w:t>Annual</w:t>
            </w: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76"/>
              <w:spacing w:after="0"/>
              <w:rPr>
                <w:sz w:val="20"/>
                <w:szCs w:val="20"/>
                <w:color w:val="auto"/>
              </w:rPr>
            </w:pPr>
            <w:r>
              <w:rPr>
                <w:rFonts w:ascii="Arial" w:cs="Arial" w:eastAsia="Arial" w:hAnsi="Arial"/>
                <w:sz w:val="14"/>
                <w:szCs w:val="14"/>
                <w:b w:val="1"/>
                <w:bCs w:val="1"/>
                <w:color w:val="auto"/>
              </w:rPr>
              <w:t>Outstanding As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9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Principal</w:t>
            </w: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Maturity</w:t>
            </w: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4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5/15/15</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7.125%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680" w:type="dxa"/>
            <w:vAlign w:val="bottom"/>
          </w:tcPr>
          <w:p>
            <w:pPr>
              <w:jc w:val="right"/>
              <w:spacing w:after="0"/>
              <w:rPr>
                <w:sz w:val="20"/>
                <w:szCs w:val="20"/>
                <w:color w:val="auto"/>
              </w:rPr>
            </w:pPr>
            <w:r>
              <w:rPr>
                <w:rFonts w:ascii="Arial" w:cs="Arial" w:eastAsia="Arial" w:hAnsi="Arial"/>
                <w:sz w:val="18"/>
                <w:szCs w:val="18"/>
                <w:color w:val="auto"/>
              </w:rPr>
              <w:t>600,000</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6/15/17</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548,350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4/29/13</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1,076,850</w:t>
            </w:r>
          </w:p>
        </w:tc>
        <w:tc>
          <w:tcPr>
            <w:tcW w:w="500" w:type="dxa"/>
            <w:vAlign w:val="bottom"/>
            <w:gridSpan w:val="2"/>
          </w:tcPr>
          <w:p>
            <w:pPr>
              <w:ind w:left="4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 has in place a $150,000, three-year senior revolving credit facility with a group of lenders (the “Credit Facility”), which expires in April,</w:t>
      </w:r>
    </w:p>
    <w:p>
      <w:pPr>
        <w:spacing w:after="0" w:line="38"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2013. Interest rates under the Credit Facility vary and are based on either a Federal Funds rate or a Eurodollar rate, in each case plus an applicable margin. As of March 31, 2012, the annual interest rate for a loan accruing interest (based on the Federal Funds overnight rate), including the applicable margin, was 1.90%. At March 31, 2012 and December 31, 2011, no amounts were outstanding under the Credit Facility.</w:t>
      </w:r>
    </w:p>
    <w:p>
      <w:pPr>
        <w:spacing w:after="0" w:line="10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Credit Facility, as amended, contains customary terms and conditions, including certain financial covenants. In addition, the Credit Facility, as well as the indenture and the supplemental indentures relating to Lazard Group’s senior notes, contain certain covenants, events of default and other customary provisions, including, where applicable, a customary make-whole provision in the event of early redemption. As of March 31, 2012, the Company was in compliance with all of these provisions. All of the Company’s senior debt obligations are unsecured.</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As of March 31, 2012, the Company had approximately $315,000 in unused lines of credit available to it, including the Credit Facility, and unused lines of credit available to LFB of approximately $93,000 (at March 31, 2012 exchange rates) and Edgewater of $65,000. In addition, LFB has access to the Eurosystem Covered Bond Purchase Program of the Banque de France.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senior debt at March 31, 2012 and December 31, 2011 is recorded at historical amounts. At those dates, the fair value of such senior debt outstanding was approximately $1,174,000 and $1,138,000, respectively, and exceeded the aggregate carrying value by approximately $97,000 and $61,000, respectively. The fair value of the Company’s senior debt was estimated using a discounted cash flow analysis based on the Company’s current borrowing rates for similar types of borrowing arrangements or based on market quotations, where available. The Company’s senior debt would be categorized within Level 2 of the hierarchy of fair value measurements if carried at fair value.</w:t>
      </w:r>
    </w:p>
    <w:p>
      <w:pPr>
        <w:spacing w:after="0" w:line="26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March 31, 2012, LFB had $5,482 of such indemnifications and held $4,198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March 31, 2012 aggregated $23,409.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Notes 5, 7 and 13 of Notes to Condensed Consolidated Financial Statements for information regarding commitments relating to investment capital funding commitments, business acquisitions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March 31, 2012, LFB had no such underwriting commitments.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During the three month periods ended March 31, 2012 and 2011,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19,164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14,115</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20,245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15,070</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32"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Exchange of Lazard Group Common Membership Interests</w:t>
      </w:r>
      <w:r>
        <w:rPr>
          <w:rFonts w:ascii="Arial" w:cs="Arial" w:eastAsia="Arial" w:hAnsi="Arial"/>
          <w:sz w:val="18"/>
          <w:szCs w:val="18"/>
          <w:color w:val="auto"/>
        </w:rPr>
        <w:t>— During the three month period ended March 31, 2012, Lazard Ltd issued 85,196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in connection with the exchange of a like number of Lazard Group common membership interests (received from members of LAZ-MD Holdings in exchange for a like number of LAZ-MD Holdings exchangeable interests). No such exchanges occurred in the three month period ended March 31,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Share Repurchase Program—</w:t>
      </w:r>
      <w:r>
        <w:rPr>
          <w:rFonts w:ascii="Arial" w:cs="Arial" w:eastAsia="Arial" w:hAnsi="Arial"/>
          <w:sz w:val="15"/>
          <w:szCs w:val="15"/>
          <w:color w:val="auto"/>
        </w:rPr>
        <w:t>In February 2011 and October 2011, the Board of Directors of Lazard Ltd authorized, on a cumulative basis, the repurchase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up to $250,000 and $125,000, respectively, in aggregate cost of Class A common stock and Lazard Group common membership interests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and December 31, 2013, respectively. The Company’s prior share repurchase authorizations expired on December 31, 2009 and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2011. The Company expects that the share repurchase program, with respect to the Class A common stock, will continue to be used primarily to offset a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shares that have been or will be issued under the Lazard Ltd 2005 Equity Incentive Plan (the “2005 Plan”) and the Lazard Ltd 2008 Incentive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Compensation Plan (the “2008 Plan”). Pursuant to such authorizations, purchases have been made in the open market or through privately negotiated transactions.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 period ended March 31, 2012, Lazard Group and subsidiaries of Lazard Ltd made purchases of 2,378,445 Class A common shares, at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aggregate cost of $70,540 (no Lazard Group common membership interests were purchased during such three month period).</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of March 31, 2012, $141,603 of the current aggregate $375,000 share repurchase amount authorized as of such date remained available under the share repurchase program as follows – $16,603 of the $250,000 share repurchase amount expiring December 31, 2012, and all of the $125,000 share repurchase amount expiring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December 31, 2013. In addition, under the terms of the 2005 Plan and the 2008 Plan, upon the vesting of restricted stock units (“RSUs”), shares of Class A common stock may be withheld by the Company to cover the recipient’s estimated income tax liability (see Note 12 of Notes to Condensed Consolidated Financial Statements). On April 24, 2012, the Board of Directors of Lazard Ltd authorized the repurchase of up to an additional $125,000 in aggregate cost of Lazard Ltd Class A common stock and Lazard Group common membership interests through December 31, 2013.</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first quarter of 2012, the Company had a written trading plan under Rule 10b5-1 of the Securities Exchange Act of 1934 in place, pursuant to which it effected stock repurchases through the open market.</w:t>
      </w:r>
    </w:p>
    <w:p>
      <w:pPr>
        <w:spacing w:after="0" w:line="33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components of AOCI at March 31, 2012 and December 31, 2011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3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38,547</w:t>
            </w:r>
          </w:p>
        </w:tc>
        <w:tc>
          <w:tcPr>
            <w:tcW w:w="6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(3,293)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9"/>
              </w:rPr>
              <w:t>(94,419)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(92,637)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89"/>
              </w:rPr>
              <w:t>(59,165)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(79,236)</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6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Total Lazard Group AOCI</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89"/>
              </w:rPr>
              <w:t>(59,249)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(79,252)</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periods ended March 31, 2012 and 2011 and noncontrolling interests as of March 31, 2012 and December 31, 2011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142"/>
              <w:spacing w:after="0"/>
              <w:rPr>
                <w:sz w:val="20"/>
                <w:szCs w:val="20"/>
                <w:color w:val="auto"/>
              </w:rPr>
            </w:pPr>
            <w:r>
              <w:rPr>
                <w:rFonts w:ascii="Arial" w:cs="Arial" w:eastAsia="Arial" w:hAnsi="Arial"/>
                <w:sz w:val="14"/>
                <w:szCs w:val="14"/>
                <w:b w:val="1"/>
                <w:bCs w:val="1"/>
                <w:color w:val="auto"/>
                <w:w w:val="87"/>
              </w:rPr>
              <w:t>Net Income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8"/>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Attributable to 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142"/>
              <w:spacing w:after="0"/>
              <w:rPr>
                <w:sz w:val="20"/>
                <w:szCs w:val="20"/>
                <w:color w:val="auto"/>
              </w:rPr>
            </w:pPr>
            <w:r>
              <w:rPr>
                <w:rFonts w:ascii="Arial" w:cs="Arial" w:eastAsia="Arial" w:hAnsi="Arial"/>
                <w:sz w:val="14"/>
                <w:szCs w:val="14"/>
                <w:b w:val="1"/>
                <w:bCs w:val="1"/>
                <w:color w:val="auto"/>
                <w:w w:val="85"/>
              </w:rPr>
              <w:t>Interests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8"/>
              </w:rPr>
              <w:t>Three Months Ended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122"/>
              <w:spacing w:after="0"/>
              <w:rPr>
                <w:sz w:val="20"/>
                <w:szCs w:val="20"/>
                <w:color w:val="auto"/>
              </w:rPr>
            </w:pPr>
            <w:r>
              <w:rPr>
                <w:rFonts w:ascii="Arial" w:cs="Arial" w:eastAsia="Arial" w:hAnsi="Arial"/>
                <w:sz w:val="14"/>
                <w:szCs w:val="14"/>
                <w:b w:val="1"/>
                <w:bCs w:val="1"/>
                <w:color w:val="auto"/>
                <w:w w:val="92"/>
              </w:rPr>
              <w:t>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5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ind w:left="400"/>
              <w:spacing w:after="0"/>
              <w:rPr>
                <w:sz w:val="20"/>
                <w:szCs w:val="20"/>
                <w:color w:val="auto"/>
              </w:rPr>
            </w:pPr>
            <w:r>
              <w:rPr>
                <w:rFonts w:ascii="Arial" w:cs="Arial" w:eastAsia="Arial" w:hAnsi="Arial"/>
                <w:sz w:val="14"/>
                <w:szCs w:val="14"/>
                <w:b w:val="1"/>
                <w:bCs w:val="1"/>
                <w:color w:val="auto"/>
              </w:rPr>
              <w:t>Noncontrolling Interests As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10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5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$ 87,069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w:t>
            </w:r>
          </w:p>
        </w:tc>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$ 88,171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60" w:type="dxa"/>
            <w:vAlign w:val="bottom"/>
            <w:vMerge w:val="restart"/>
          </w:tcPr>
          <w:p>
            <w:pPr>
              <w:jc w:val="right"/>
              <w:ind w:right="277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three month periods ended March 31, 2012 and 2011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generally determined based on the closing market price of Class A common stock on the day prior to the date of grant.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is a summary of the impact of share-based incentive plans on “compensation and benefits” expense within the Company’s condensed consolidated statements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6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61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compensation:</w:t>
            </w:r>
          </w:p>
        </w:tc>
        <w:tc>
          <w:tcPr>
            <w:tcW w:w="3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tcPr>
          <w:p>
            <w:pPr>
              <w:ind w:left="440"/>
              <w:spacing w:after="0"/>
              <w:rPr>
                <w:sz w:val="20"/>
                <w:szCs w:val="20"/>
                <w:color w:val="auto"/>
              </w:rPr>
            </w:pPr>
            <w:r>
              <w:rPr>
                <w:rFonts w:ascii="Arial" w:cs="Arial" w:eastAsia="Arial" w:hAnsi="Arial"/>
                <w:sz w:val="18"/>
                <w:szCs w:val="18"/>
                <w:color w:val="auto"/>
              </w:rPr>
              <w:t>RSUs</w:t>
            </w:r>
          </w:p>
        </w:tc>
        <w:tc>
          <w:tcPr>
            <w:tcW w:w="4340" w:type="dxa"/>
            <w:vAlign w:val="bottom"/>
            <w:gridSpan w:val="3"/>
          </w:tcPr>
          <w:p>
            <w:pPr>
              <w:jc w:val="right"/>
              <w:ind w:right="200"/>
              <w:spacing w:after="0"/>
              <w:rPr>
                <w:sz w:val="20"/>
                <w:szCs w:val="20"/>
                <w:color w:val="auto"/>
              </w:rPr>
            </w:pPr>
            <w:r>
              <w:rPr>
                <w:rFonts w:ascii="Arial" w:cs="Arial" w:eastAsia="Arial" w:hAnsi="Arial"/>
                <w:sz w:val="18"/>
                <w:szCs w:val="18"/>
                <w:color w:val="auto"/>
              </w:rPr>
              <w:t>$81,891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$84,858</w:t>
            </w: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stock unit (“DSUs”)</w:t>
            </w:r>
          </w:p>
        </w:tc>
        <w:tc>
          <w:tcPr>
            <w:tcW w:w="4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35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86,101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93,529</w:t>
            </w:r>
          </w:p>
        </w:tc>
        <w:tc>
          <w:tcPr>
            <w:tcW w:w="10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three month periods ended March 31, 2012 and 2011, dividend participation rights required the issuance of 101,597 and 60,223 RSUs,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Non-executive members of the Board of Directors of Lazard Group (who are the same non-executive directors of Lazard Ltd) receive approximately 55% of their annual compensation for service on the Board of Directors and its committees in the form of DSUs. Their remaining compensation is payable in cash, which they may elect to receive in the form of additional DSUs under the Directors’ Fee Deferral Unit Plan described below. DSUs are convertible into Class A common stock at the time of cessation of service to the Board. DSUs include a cash dividend participation right equivalent to any ordinary quarterly dividends paid on Class A common stock, and resulted in nominal cash payments for the three month periods ended March 31, 2012 and 2011.</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three month periods ended March 31, 2012 and 2011, 2,522 and 1,249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three month periods ended March 31, 2012 and 2011:</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20,751,829</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140,660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 (including 101,597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7,147,059</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27.73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(76,264)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(3,270,375)</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34.28</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24,552,249</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143,182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8"/>
                <w:szCs w:val="18"/>
                <w:color w:val="auto"/>
              </w:rPr>
            </w:pPr>
          </w:p>
        </w:tc>
      </w:tr>
      <w:tr>
        <w:trPr>
          <w:trHeight w:val="20"/>
        </w:trPr>
        <w:tc>
          <w:tcPr>
            <w:tcW w:w="64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646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22,108,635</w:t>
            </w:r>
          </w:p>
        </w:tc>
        <w:tc>
          <w:tcPr>
            <w:tcW w:w="26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35.67</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121,737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60,223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6,038,286</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(122,774)</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38.24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(6,678,444)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Balance, March 31, 2011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21,345,703</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37.15</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122,986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In connection with RSUs which vested during the three month periods ended March 31, 2012 and 2011, the Company satisfied certain employees’ tax obligations in lieu of issuing 802,810 and 1,947,471 shares of Class A common stock in the respective three month periods. Accordingly, 2,467,565 and 4,730,973 shares of Class A common stock held by Lazard Group were delivered during the three month periods ended March 31, 2012 and 2011, respectively.</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2012, unrecognized RSU compensation expense, adjusted for estimated forfeitures, was approximately $360,000, with such unrecognized compensation expense expected to be recognized over a weighted average period of approximately 1.6 years subsequent to March 31, 2012.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three month periods ended March 31, 2012 and 2011:</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Granted/Exchanged</w:t>
            </w:r>
          </w:p>
        </w:tc>
        <w:tc>
          <w:tcPr>
            <w:tcW w:w="680" w:type="dxa"/>
            <w:vAlign w:val="bottom"/>
          </w:tcPr>
          <w:p>
            <w:pPr>
              <w:jc w:val="right"/>
              <w:spacing w:after="0"/>
              <w:rPr>
                <w:sz w:val="20"/>
                <w:szCs w:val="20"/>
                <w:color w:val="auto"/>
              </w:rPr>
            </w:pPr>
            <w:r>
              <w:rPr>
                <w:rFonts w:ascii="Arial" w:cs="Arial" w:eastAsia="Arial" w:hAnsi="Arial"/>
                <w:sz w:val="18"/>
                <w:szCs w:val="18"/>
                <w:color w:val="auto"/>
              </w:rPr>
              <w:t>577,323</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Vested/Converted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(119,552)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March 31, 2012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553,103</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183,422</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(183,422)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Balance, March 31, 2011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Company satisfied certain employees’ tax obligations in lieu of delivering 25,661 and 25,220 shares of Class A common stock in connection with shares of restricted Class A common stock that vested during the three month periods ended March 31, 2012 and 2011, respectively. Accordingly, 93,891 and 158,202 shares of Class A common stock held by the Company were delivered during the respective three month periods.</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March 31, 2012, unrecognized restricted stock expense was approximately $12,000, with such expense to be recognized over a weighted average period of approximately 2.1 years subsequent to March 31, 2012.</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previously described, 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a derivative liability, and is adjusted for changes in fair value primarily related to the changes in the fair value of the underlying investments. Such changes in the fair value of the derivative liability are recorded to “compensation and benefits” expense within the Company’s consolidated statements of operations, the impact of which equally offsets the changes in fair value of the underlying investments owned, which is reported in “revenue-other” in the consolidated statement of operations (see Note 6 of Notes to Condensed Consolidated Financial Statements).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three month period ended March 31,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Prepaid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Derivative</w:t>
            </w: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Liability</w:t>
            </w:r>
          </w:p>
        </w:tc>
      </w:tr>
      <w:tr>
        <w:trPr>
          <w:trHeight w:val="210"/>
        </w:trPr>
        <w:tc>
          <w:tcPr>
            <w:tcW w:w="20" w:type="dxa"/>
            <w:vAlign w:val="bottom"/>
          </w:tcPr>
          <w:p>
            <w:pPr>
              <w:spacing w:after="0"/>
              <w:rPr>
                <w:sz w:val="18"/>
                <w:szCs w:val="18"/>
                <w:color w:val="auto"/>
              </w:rPr>
            </w:pPr>
          </w:p>
        </w:tc>
        <w:tc>
          <w:tcPr>
            <w:tcW w:w="8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64,598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64,598</w:t>
            </w:r>
          </w:p>
        </w:tc>
      </w:tr>
      <w:tr>
        <w:trPr>
          <w:trHeight w:val="230"/>
        </w:trPr>
        <w:tc>
          <w:tcPr>
            <w:tcW w:w="20" w:type="dxa"/>
            <w:vAlign w:val="bottom"/>
          </w:tcPr>
          <w:p>
            <w:pPr>
              <w:spacing w:after="0"/>
              <w:rPr>
                <w:sz w:val="19"/>
                <w:szCs w:val="19"/>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(6,922)</w:t>
            </w: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Amortization (including grants of awards to retirement-eligible recipients)</w:t>
            </w: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(6,185)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fair value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w:t>
            </w: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Foreign currency translation and other adjustments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2012</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76,357</w:t>
            </w: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2.4 years subsequent to March 31, 2012.</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following is a summary of the impact of Lazard Fund Interests and other similar deferred compensation arrangements on “compensation and benefits” expense within the accompanying condensed consolidated statements of operations for the three month periods ended March 31, 2012 and 2011: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Compensation expense:</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440"/>
              <w:spacing w:after="0"/>
              <w:rPr>
                <w:sz w:val="20"/>
                <w:szCs w:val="20"/>
                <w:color w:val="auto"/>
              </w:rPr>
            </w:pPr>
            <w:r>
              <w:rPr>
                <w:rFonts w:ascii="Arial" w:cs="Arial" w:eastAsia="Arial" w:hAnsi="Arial"/>
                <w:sz w:val="18"/>
                <w:szCs w:val="18"/>
                <w:color w:val="auto"/>
              </w:rPr>
              <w:t>Amortization (including grants of awards to retirement-eligible recipients)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79"/>
              </w:rPr>
              <w:t>$ 6,185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 of compensation liability</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79"/>
              </w:rPr>
              <w:t>$ 8,952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—The Company’s funding policy for its U.S. and non-U.S. pension plans is to fund when required or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upon an agreement with the plans’ Trustees. Management also evaluates from time to time whether to make voluntary contributions to the plans. The Company made a contribution to the U.S. pension plans during the three month period ended March 31, 2012 of approximately $700.</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accordance with agreements reached with the Trustees of certain U.K. pension plans in 2005, the Company was obligated to make further contributions to such pension plans based upon the cumulative performance of the plans’ assets against specific benchmarks as measured on June 1, 2009 and subsequently remeasured on June 1, 2010.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on June 30, 2009, the Company and the Trustees concluded the December 31, 2007 triennial valuation of the U.K. pension plans discussed above, pursuant to which the Company agreed to annual future contributions to the plan through 2018. The agreement also required the Company to secure its obligations’ to the pension plans by placing in escrow 12.5 million British pounds (with the Company depositing such amount in escrow in July 2009), with a final redemption date of December 31, 2018. The terms of this agreement were subject to adjustment (see below) based on the results of the December 31, 2010 triennial valuation and subsequent triennial valuations.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2011, the Company and the Trustees of the U.K. pension plans referred to above commenced negotiations regarding the terms of the December 31, 2010 triennial valuations of the plans and potential future contributions to the plans. We currently anticipate that the valuations will be concluded during the second quarter of 2012. In addition, the Company and the Trustees agreed in principle on a tentative agreement that would supersede the June 2009 agreement described above and that provides pension funding terms whereby the Company: (i) made a contribution in December 2011 to the plans of 2.3 million British pounds ($3,687 at December 31, 2011 exchange rates) from the escrow account, (ii) will make contributions of 1 million British pounds during each year from 2012 through 2020 inclusive and (iii) will amend and extend the existing escrow arrangement into an account security arrangement covering 10.2 million British pounds from the existing escrow and additional contributions of 1 million British pounds into such account security arrangement during each year from 2014 through 2020, inclusive, with an agreement that assets from the account security arrangements will be released into the plans if and to the extent that the value of the plans’ assets falls short of the funding target for June 1, 2020 that has been agreed upon with the Trustees. The terms of the tentative agreement are subject to adjustment based on the results of subsequent triennial valuations. Additionally, the Company is discussing with the Trustees the extent to which the Company would contribute to the plans to cover their administrative expenses. The aggregate escrow balance at March 31, 2012 has been recorded in “cash deposited with clearing organizations and other segregated cash” on the accompanying condensed consolidated statement of financial condition. Income on the escrow balance accretes to the Company and is recorded in interest income.</w:t>
      </w:r>
    </w:p>
    <w:p>
      <w:pPr>
        <w:spacing w:after="0" w:line="12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three month period ended March 31, 2012, no contribution to these U.K. pension plans was required, and no contributions were required to be made to other non-U.S. pension plans.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net benefit cost (credit) for the three month periods ended March 31,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Post-Retirement</w:t>
            </w:r>
          </w:p>
        </w:tc>
        <w:tc>
          <w:tcPr>
            <w:tcW w:w="0" w:type="dxa"/>
            <w:vAlign w:val="bottom"/>
          </w:tcPr>
          <w:p>
            <w:pPr>
              <w:spacing w:after="0"/>
              <w:rPr>
                <w:sz w:val="1"/>
                <w:szCs w:val="1"/>
                <w:color w:val="auto"/>
              </w:rPr>
            </w:pPr>
          </w:p>
        </w:tc>
      </w:tr>
      <w:tr>
        <w:trPr>
          <w:trHeight w:val="161"/>
        </w:trPr>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Medical Plans</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7"/>
          </w:tcPr>
          <w:p>
            <w:pPr>
              <w:jc w:val="right"/>
              <w:ind w:right="640"/>
              <w:spacing w:after="0" w:line="142" w:lineRule="exact"/>
              <w:rPr>
                <w:sz w:val="20"/>
                <w:szCs w:val="20"/>
                <w:color w:val="auto"/>
              </w:rPr>
            </w:pPr>
            <w:r>
              <w:rPr>
                <w:rFonts w:ascii="Arial" w:cs="Arial" w:eastAsia="Arial" w:hAnsi="Arial"/>
                <w:sz w:val="14"/>
                <w:szCs w:val="14"/>
                <w:b w:val="1"/>
                <w:bCs w:val="1"/>
                <w:color w:val="auto"/>
                <w:w w:val="98"/>
              </w:rPr>
              <w:t>Three Months Ended March 31,</w:t>
            </w: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2011</w:t>
            </w:r>
          </w:p>
        </w:tc>
        <w:tc>
          <w:tcPr>
            <w:tcW w:w="7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Benefit Cost (Credit):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163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6,902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7"/>
              </w:rPr>
              <w:t>7,067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(6,672)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(7,622)</w:t>
            </w:r>
          </w:p>
        </w:tc>
        <w:tc>
          <w:tcPr>
            <w:tcW w:w="12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20"/>
              <w:spacing w:after="0"/>
              <w:rPr>
                <w:sz w:val="20"/>
                <w:szCs w:val="20"/>
                <w:color w:val="auto"/>
              </w:rPr>
            </w:pPr>
            <w:r>
              <w:rPr>
                <w:rFonts w:ascii="Arial" w:cs="Arial" w:eastAsia="Arial" w:hAnsi="Arial"/>
                <w:sz w:val="18"/>
                <w:szCs w:val="18"/>
                <w:color w:val="auto"/>
              </w:rPr>
              <w:t>Net benefit cost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1,514</w:t>
            </w:r>
          </w:p>
        </w:tc>
        <w:tc>
          <w:tcPr>
            <w:tcW w:w="2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80"/>
              <w:spacing w:after="0"/>
              <w:rPr>
                <w:sz w:val="20"/>
                <w:szCs w:val="20"/>
                <w:color w:val="auto"/>
              </w:rPr>
            </w:pPr>
            <w:r>
              <w:rPr>
                <w:rFonts w:ascii="Arial" w:cs="Arial" w:eastAsia="Arial" w:hAnsi="Arial"/>
                <w:sz w:val="18"/>
                <w:szCs w:val="18"/>
                <w:color w:val="auto"/>
              </w:rPr>
              <w:t>411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64</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recorded income tax provisions of $4,834 and $10,389 for the three month periods ended March 31, 2012 and 2011, representing effective tax rates of 14.8% and 14.1%, respectively. The difference between the U.S. federal statutory rate of 35.0% and the effective tax rates described above principally relates to (i) Lazard Group primarily operating as a limited liability company in the U.S. and (ii) U.S. state and local taxes (primarily UBT), which are incremental to the U.S. federal statutory tax rate.</w:t>
      </w:r>
    </w:p>
    <w:p>
      <w:pPr>
        <w:spacing w:after="0" w:line="18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6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660" w:type="dxa"/>
            <w:vAlign w:val="bottom"/>
            <w:tcBorders>
              <w:bottom w:val="single" w:sz="8" w:color="CCEEFF"/>
            </w:tcBorders>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5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LFCM Holdings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11,393</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5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192,214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5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207,446</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5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vMerge w:val="continue"/>
          </w:tcPr>
          <w:p>
            <w:pPr>
              <w:spacing w:after="0"/>
              <w:rPr>
                <w:sz w:val="18"/>
                <w:szCs w:val="18"/>
                <w:color w:val="auto"/>
              </w:rPr>
            </w:pP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5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214,642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ind w:left="440"/>
              <w:spacing w:after="0"/>
              <w:rPr>
                <w:sz w:val="20"/>
                <w:szCs w:val="20"/>
                <w:color w:val="auto"/>
              </w:rPr>
            </w:pPr>
            <w:r>
              <w:rPr>
                <w:rFonts w:ascii="Arial" w:cs="Arial" w:eastAsia="Arial" w:hAnsi="Arial"/>
                <w:sz w:val="18"/>
                <w:szCs w:val="18"/>
                <w:color w:val="auto"/>
              </w:rPr>
              <w:t>Total</w:t>
            </w:r>
          </w:p>
        </w:tc>
        <w:tc>
          <w:tcPr>
            <w:tcW w:w="5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222,840</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540" w:type="dxa"/>
            <w:vAlign w:val="bottom"/>
            <w:vMerge w:val="restart"/>
          </w:tcPr>
          <w:p>
            <w:pPr>
              <w:jc w:val="right"/>
              <w:ind w:right="3312"/>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certain of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For the three month periods ended March 31, 2012 and 2011, amounts recorded by Lazard Group relating to the administrative services agreement amounted to $813 and $614, respectively, and net referral fees for underwriting, private placement, M&amp;A and restructuring transactions under the business alliance agreement amounted to $814 and $6,947,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Receivables from LFCM Holdings and its subsidiaries as of March 31, 2012 and December 31, 2011 primarily include $4,632 and $10,722, respectively, related to administrative and support services, sublease income and reimbursement of expenses incurred on behalf of LFCM Holdings, and $6,606 and $2,928, respectively, related to referral fees for underwriting and private placement transactions. Payables to LFCM Holdings and its subsidiaries at March 31, 2012 and December 31, 2011 consist of $7,253 and $2,060, respectively, principally relating to certain advances and referral fees for Financial Advisory transactions.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March 31, 2012 and December 31, 2011 include interest-bearing loans of $191,159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$186,078, respectively, including accrued interest thereon. Interest income relating to interest-bearing loans with subsidiaries of Lazard Ltd amounted to $2,580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$1,839 for the three month periods ended March 31, 2011 and 2011, respectively.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both March 31, 2012 and December 31, 2011, Lazard Group’s payables to subsidiaries of Lazard Ltd included $3,695 in connection with Lazard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Group’s prior year business acquisitions (see Note 7 of Notes to Condensed Consolidated Financial Statements). In addition, as of March 31, 2012 and December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31, 2011, Lazard Group’s payables to subsidiaries of Lazard Ltd include interest-bearing loans, plus accrued interest thereon, of approximately $211,000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$123,000, respectively. Such amount at March 31, 2012 includes approximately $87,000 resulting from the sale in the first quarter of 2012 of an interest-bearing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intercompany receivable due from a Lazard Group subsidiary to a Lazard Ltd subsidiary, which was sold at a discount to reflect arm’s-length terms, resulting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to Lazard Group of $5,638. Interest expense relating to interest-bearing loans with subsidiaries of Lazard Ltd amounted to $2,198 and $1,006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 periods ended March 31, 2012 and 2011, respectively.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Other receivables and payables at March 31, 2012 and December 31, 2011 primarily relate to referral fees for restructuring and M&amp;A transactions with MBA Lazard Holdings S.A. and its subsidiaries and a related party loan.</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periods ended March 31, 2012 and 2011, such charges amounted to $188 for each period.</w:t>
      </w:r>
    </w:p>
    <w:p>
      <w:pPr>
        <w:spacing w:after="0" w:line="26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March 31, 2012, LFNY’s regulatory net capital was $81,766, which exceeded the minimum requirement by $77,549.</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March 31, 2012, the aggregate regulatory net capital of the U.K. Subsidiaries was $155,827, which exceeded the minimum requirement by $131,663.</w:t>
      </w:r>
    </w:p>
    <w:p>
      <w:pPr>
        <w:spacing w:after="0" w:line="140" w:lineRule="exact"/>
        <w:rPr>
          <w:sz w:val="20"/>
          <w:szCs w:val="20"/>
          <w:color w:val="auto"/>
        </w:rPr>
      </w:pPr>
    </w:p>
    <w:p>
      <w:pPr>
        <w:jc w:val="both"/>
        <w:ind w:right="28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March 31, 2012, the consolidated regulatory net capital of CFLF was $178,345, which exceeded the minimum requirement set for regulatory capital levels by $80,612.</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2012, for those subsidiaries with regulatory capital requirements, their aggregate net capital was $108,515, which exceeded the minimum required capital by an aggregate of $85,762.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March 31, 2012, each of these subsidiaries individually was in compliance with its regulatory capital requirements.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color w:val="auto"/>
        </w:rPr>
        <w:t>program was eliminated on July 21, 2011. Pursuant to relevant rules in the European Union, Lazard Ltd is required to be supervised by another regulatory body, either in the U.S. or the European Union. The Dodd-Frank Act allows certain securities holding companies seeking consolidated supervision, including Lazard Ltd, to elect to be supervised by the Board of Governors of the Federal Reserve. Lazard Ltd anticipates that the Board of</w:t>
      </w:r>
    </w:p>
    <w:p>
      <w:pPr>
        <w:spacing w:after="0" w:line="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Governors of the Federal Reserve will adopt regulations pursuant to Section 618 of the Dodd-Frank Act in the near future for companies that seek to come under its consolidated supervision. Once it analyzes the final scope of such regulations, Lazard Ltd will determine whether it will elect to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w:t>
      </w:r>
    </w:p>
    <w:p>
      <w:pPr>
        <w:spacing w:after="0" w:line="23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segment information for the three month periods ended March 31, 2012 and 2011 is prepared using the following methodology:</w:t>
      </w:r>
    </w:p>
    <w:p>
      <w:pPr>
        <w:spacing w:after="0" w:line="113"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revenue,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$277,196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249,897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27,299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15,279</w:t>
            </w: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2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20" w:type="dxa"/>
            <w:vAlign w:val="bottom"/>
            <w:gridSpan w:val="3"/>
            <w:vMerge w:val="continue"/>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$214,527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226,853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160,490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149,204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tcPr>
          <w:p>
            <w:pPr>
              <w:jc w:val="right"/>
              <w:ind w:right="280"/>
              <w:spacing w:after="0"/>
              <w:rPr>
                <w:sz w:val="20"/>
                <w:szCs w:val="20"/>
                <w:color w:val="auto"/>
              </w:rPr>
            </w:pPr>
            <w:r>
              <w:rPr>
                <w:rFonts w:ascii="Arial" w:cs="Arial" w:eastAsia="Arial" w:hAnsi="Arial"/>
                <w:sz w:val="18"/>
                <w:szCs w:val="18"/>
                <w:color w:val="auto"/>
              </w:rPr>
              <w:t>54,037</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77,649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w w:val="85"/>
              </w:rPr>
              <w:t>$ (11,195)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(17,485)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37,563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Loss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w w:val="85"/>
              </w:rPr>
              <w:t>$ (48,758)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(19,032)</w:t>
            </w: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2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20" w:type="dxa"/>
            <w:vAlign w:val="bottom"/>
            <w:gridSpan w:val="3"/>
            <w:vMerge w:val="continue"/>
          </w:tcPr>
          <w:p>
            <w:pPr>
              <w:spacing w:after="0"/>
              <w:rPr>
                <w:sz w:val="24"/>
                <w:szCs w:val="24"/>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Net Revenue</w:t>
            </w:r>
          </w:p>
        </w:tc>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w w:val="87"/>
              </w:rPr>
              <w:t>$480,528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438,213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Expenses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447,950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2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32,578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As Of</w:t>
            </w: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86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6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Financial Advisory</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797,733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767,699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583,524</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6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1,643,421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4"/>
              </w:rPr>
              <w:t>1,686,230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2,975,712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3,037,453</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960" w:type="dxa"/>
            <w:vAlign w:val="bottom"/>
            <w:vMerge w:val="restart"/>
          </w:tcPr>
          <w:p>
            <w:pPr>
              <w:jc w:val="right"/>
              <w:ind w:right="2712"/>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2011 (the “Form 10-K”). All references to “2012”, “2011”, “first quarter” or “the period” refer to, as the context requires, the three month periods ended March 31, 2012 and March 31,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to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Our websites and the information contained therein or connected thereto shall not be deemed to be incorporated into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allocate outstanding indebtedness to our Corporate segment.</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90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Asset Management</w:t>
            </w:r>
          </w:p>
        </w:tc>
        <w:tc>
          <w:tcPr>
            <w:tcW w:w="1760" w:type="dxa"/>
            <w:vAlign w:val="bottom"/>
            <w:gridSpan w:val="2"/>
          </w:tcPr>
          <w:p>
            <w:pPr>
              <w:jc w:val="right"/>
              <w:ind w:right="101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760" w:type="dxa"/>
            <w:vAlign w:val="bottom"/>
            <w:gridSpan w:val="2"/>
            <w:shd w:val="clear" w:color="auto" w:fill="CCEEFF"/>
          </w:tcPr>
          <w:p>
            <w:pPr>
              <w:jc w:val="right"/>
              <w:ind w:right="952"/>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60" w:firstLine="8"/>
        <w:spacing w:after="0" w:line="287" w:lineRule="auto"/>
        <w:tabs>
          <w:tab w:leader="none" w:pos="2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(ii) Lazard Australia Corporate Opportunities Fund 2, which has an opportunistic investment strategy focused on the Australian mid-market, (iii) a mezzanine fund, which invests in mezzanine debt of a diversified selection of small- to mid-cap European companies, (iv) Corporate Partners II Limited (“CP II”), a private equity fund targeting significant non-controlling investments in established public and private companies and (v) Lazard Senior Housing Partners LP (“Senior Housing”), which acquires companies and assets in the senior housing, extended stay and shopping center sectors.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Overall, global equity market indices at March 31, 2012 increased when compared to such indices at December 31, 2011. For the same period, capital-raising and M&amp;A activity has generally declined. The announced and completed value of M&amp;A activity decreased in the first quarter of 2012 as compared to the corresponding period in 2011. The cyclical decline in restructuring volume continued in the first quarter of 2012, as compared to the corresponding period in 2011, despite an increase in the number of corporate defaults.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early 2012, the outlook for equity and credit markets appears healthier, interest rates remain low while corporate cash balances remain high, CEO confidence appears to be improving and, as such, companies may be better positioned to make acquisitions for future growth and investors may be increasingly interested in deploying capital for investment purposes. Uncertainty remains, however, with regard to the stability of the global financial system and a variety of other factors.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 We seek to leverage the power and scale of our firm-wide global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network to drive growth in both our Financial Advisory and Asset Management business segments. We believe that we are well positioned to benefit from opportunities that may result from regional or global increases in M&amp;A, restructuring, capital-raising or similar transactions, as well as increases in demand for investment management and advisory services. We continue to focus on the development of our business in this environment and on a wide variety of related factors, including the generation of stable revenue growth during periods of macroeconomic volatility, the prudent management of our costs and expenses and the return of cash to our shareholders.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from time to time,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Global and Trans-Atlantic completed and announced transactions for the first quarter of 2012 decreased as compared to the first quarter of 2011, as shown in the following table, which sets forth industry statistics regarding the number and value of such transactions in the respective periods: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9"/>
              </w:rPr>
              <w:t>Three Months Ended</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23"/>
        </w:trPr>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2012</w:t>
            </w:r>
          </w:p>
        </w:tc>
        <w:tc>
          <w:tcPr>
            <w:tcW w:w="880" w:type="dxa"/>
            <w:vAlign w:val="bottom"/>
          </w:tcPr>
          <w:p>
            <w:pPr>
              <w:spacing w:after="0"/>
              <w:rPr>
                <w:sz w:val="19"/>
                <w:szCs w:val="19"/>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2011</w:t>
            </w:r>
          </w:p>
        </w:tc>
        <w:tc>
          <w:tcPr>
            <w:tcW w:w="8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 Incr / (Decr)</w:t>
            </w:r>
          </w:p>
        </w:tc>
      </w:tr>
      <w:tr>
        <w:trPr>
          <w:trHeight w:val="156"/>
        </w:trPr>
        <w:tc>
          <w:tcPr>
            <w:tcW w:w="5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7"/>
              </w:rPr>
              <w:t>($ in billions)</w:t>
            </w:r>
          </w:p>
        </w:tc>
        <w:tc>
          <w:tcPr>
            <w:tcW w:w="50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597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568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6,408</w:t>
            </w:r>
          </w:p>
        </w:tc>
        <w:tc>
          <w:tcPr>
            <w:tcW w:w="880" w:type="dxa"/>
            <w:vAlign w:val="bottom"/>
          </w:tcPr>
          <w:p>
            <w:pPr>
              <w:spacing w:after="0"/>
              <w:rPr>
                <w:sz w:val="18"/>
                <w:szCs w:val="18"/>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8,033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68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339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568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68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615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5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8,559</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10,611</w:t>
            </w:r>
          </w:p>
        </w:tc>
        <w:tc>
          <w:tcPr>
            <w:tcW w:w="8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568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22"/>
        </w:trPr>
        <w:tc>
          <w:tcPr>
            <w:tcW w:w="568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287</w:t>
            </w:r>
          </w:p>
        </w:tc>
        <w:tc>
          <w:tcPr>
            <w:tcW w:w="880" w:type="dxa"/>
            <w:vAlign w:val="bottom"/>
          </w:tcPr>
          <w:p>
            <w:pPr>
              <w:spacing w:after="0"/>
              <w:rPr>
                <w:sz w:val="19"/>
                <w:szCs w:val="19"/>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387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April 11, 2012.</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Global restructuring activity during the first quarter of 2012, as measured by the value of debt defaults, decreased from the corresponding period in 2011. However, the number of issuers defaulting increased to 20 in the first quarter of 2012, according to Moody’s Investors Service, Inc., as compared to 9 in the corresponding period of 2011. Our Restructuring activities include advising companies on matters relating to debt restructurings, refinancings and other on- and off-balance sheet assignments, and our assignments are generally executed over a six- to eighteen-month period.</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Private Fund Advisory Group, which is part of our Financial Advisory segment and is conducted in the U.S. through Lazard Frères &amp; Co. LLC (“LFNY”), an SEC-registered broker-dealer and municipal advisor and member of the Financial Industry Regulatory Authority (“FINRA”) and the Municipal Securities Rulemaking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22, 2011, the SEC approved an amendment to its June 30, 2010 rule which, among other things, will place certain restrictions on the use of placement agents. As amended, the SEC rule will prohibit investment advisors from paying a third-party placement agent for soliciting investment advisory business from a U.S. governmental entity, unless the placement agent is (i) an SEC-registered investment advisor complying with the rule, (ii) an SEC-registered broker-dealer that is a member of FINRA and thus subject to FINRA’s forthcoming “pay-to-play” rule, or (iii)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shown in the table below, major equity market indices at March 31, 2012 increased across all regions, when compared to such indices at December 31, 2011. However, the U.S. markets increased, while markets outside the U.S. decreased, when comparing market indices at March 31, 2012 to the corresponding equity market indices at March 31, 2011.</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 Changes</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March 31, 2012 vs.</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6800" w:type="dxa"/>
            <w:vAlign w:val="bottom"/>
          </w:tcPr>
          <w:p>
            <w:pPr>
              <w:spacing w:after="0"/>
              <w:rPr>
                <w:sz w:val="11"/>
                <w:szCs w:val="11"/>
                <w:color w:val="auto"/>
              </w:rPr>
            </w:pPr>
          </w:p>
        </w:tc>
        <w:tc>
          <w:tcPr>
            <w:tcW w:w="194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1"/>
                <w:szCs w:val="11"/>
                <w:color w:val="auto"/>
              </w:rPr>
            </w:pPr>
          </w:p>
        </w:tc>
      </w:tr>
      <w:tr>
        <w:trPr>
          <w:trHeight w:val="161"/>
        </w:trPr>
        <w:tc>
          <w:tcPr>
            <w:tcW w:w="68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1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CAC 40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FTSE 100</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MSCI Emerging Market</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NASDAQ</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9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bl>
    <w:p>
      <w:pPr>
        <w:spacing w:after="0" w:line="15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reflect the changes in global market indices. Our AUM at March 31, 2012 increased 11% versus AUM at December 31, 2011 (primarily reflecting market appreciation), while our average AUM for the first quarter of 2012 decreased 5% as compared to our average AUM for the corresponding period of 2011. The lower levels of average AUM contributed to decreased management fee revenues in the 2012 period when compared to the corresponding period in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Lazard’s Asset Management segment principally includes LAM, LFG, Edgewater and Lazard Wealth Management. Asset Management net revenue is derived from fees for investment management and advisory services provided to institutional and private clients. As noted above, the main driver of Asset Management net revenue is the level of AUM, which is generally influenced by the performance of the global equity markets and, to a lesser extent, fixed income 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in LAM equity and fixed income funds and principal investments in equities and alternative asset management funds, investments at LFB and “equity method” investments (including gains and losses on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Corporate segment net revenue during the first quarter of 2012 represented (2)% of Lazard’s net revenue, total assets in the Corporate segment represented 55% of Lazard’s consolidated total assets as of March 31, 2012, which is attributable to investments in government bonds and money market funds, fixed income funds, alternative asset management funds and other securities, private equity investments, cash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(see Note 12 of Notes to Condensed Consolidated Financial Statements) including (a) share-based incentive compensation under the Lazard Ltd 2005 Equity Incentive Plan (the “2005 Plan”) and the Lazard Ltd 2008 Incentive Compensation Plan (the “2008 Plan”) and (b) Lazard Fund Interests and (iii) a provision for discretionary or guaranteed cash bonuses and profit pools.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the ratio of “adjusted compensation and benefits expense” to “operating revenue,” see the table under “Consolidated Results of Operations” below.</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“awarded compensation and benefits expense” and the ratio of “awarded compensation and benefits expense” to “operating revenue,” both non-U.S. GAAP measures,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62" w:lineRule="exact"/>
        <w:rPr>
          <w:sz w:val="20"/>
          <w:szCs w:val="20"/>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grant date fair value of deferred incentive awards granted in 2012, 2011 and 2010 related to the 2011, 2010 and 2009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and amortization of intangible assets related to acquisitions. Amortization of intangible assets relates primarily to the acquisition of Edgewater.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Lazard Group primarily operates in the U.S. as limited liability company that is treated as partnership for U.S. federal income tax purposes. As a result, Lazard Group’s income pertaining to the limited liability company is not subject to U.S. federal income taxes because taxes associated with such income represent obligations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Noncontrolling interests primarily relate to the amounts attributable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76"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-7620</wp:posOffset>
            </wp:positionV>
            <wp:extent cx="15265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0"/>
              </w:rPr>
              <w:t>($ in thousands)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480,528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438,213</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8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6"/>
              </w:rPr>
              <w:t>338,303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269,996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108,529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3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w w:val="86"/>
              </w:rPr>
              <w:t>447,950</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364,317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32,578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27,744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992"/>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25,565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62,265</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840" w:type="dxa"/>
            <w:vAlign w:val="bottom"/>
            <w:vMerge w:val="restart"/>
          </w:tcPr>
          <w:p>
            <w:pPr>
              <w:jc w:val="right"/>
              <w:ind w:right="2932"/>
              <w:spacing w:after="0"/>
              <w:rPr>
                <w:sz w:val="20"/>
                <w:szCs w:val="20"/>
                <w:color w:val="auto"/>
              </w:rPr>
            </w:pPr>
            <w:r>
              <w:rPr>
                <w:rFonts w:ascii="Arial" w:cs="Arial" w:eastAsia="Arial" w:hAnsi="Arial"/>
                <w:sz w:val="18"/>
                <w:szCs w:val="18"/>
                <w:color w:val="auto"/>
              </w:rPr>
              <w:t>42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and related key ratios, which include non-U.S. GAAP measures used by the Company to manage total compensation and benefits expense.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3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4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6"/>
              </w:rPr>
              <w:t>($ 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$503,148</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$462,537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2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LFB interest expense (a)</w:t>
            </w:r>
          </w:p>
        </w:tc>
        <w:tc>
          <w:tcPr>
            <w:tcW w:w="2960" w:type="dxa"/>
            <w:vAlign w:val="bottom"/>
            <w:gridSpan w:val="3"/>
          </w:tcPr>
          <w:p>
            <w:pPr>
              <w:jc w:val="right"/>
              <w:ind w:right="40"/>
              <w:spacing w:after="0"/>
              <w:rPr>
                <w:sz w:val="20"/>
                <w:szCs w:val="20"/>
                <w:color w:val="auto"/>
              </w:rPr>
            </w:pPr>
            <w:r>
              <w:rPr>
                <w:rFonts w:ascii="Arial" w:cs="Arial" w:eastAsia="Arial" w:hAnsi="Arial"/>
                <w:sz w:val="18"/>
                <w:szCs w:val="18"/>
                <w:color w:val="auto"/>
              </w:rPr>
              <w:t>(506)</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2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(4,439)</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Changes in fair value pertaining to Lazard Fund Interests (c)</w:t>
            </w:r>
          </w:p>
        </w:tc>
        <w:tc>
          <w:tcPr>
            <w:tcW w:w="2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c>
          <w:tcPr>
            <w:tcW w:w="8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495,436</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458,047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Revenue related to the consolidation of noncontrolling interests is excluded because the Company has no economic interest in such amount.</w:t>
      </w:r>
    </w:p>
    <w:p>
      <w:pPr>
        <w:spacing w:after="0" w:line="32"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fair value of investments held in connection with Lazard Fund Interests and other similar deferred compensation arrangements are excluded because they are equally offset by the change in value of the derivative liability pertaining to such awards, which is recorded within compensation and benefits expense.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3500" w:type="dxa"/>
            <w:vAlign w:val="bottom"/>
            <w:gridSpan w:val="3"/>
          </w:tcPr>
          <w:p>
            <w:pPr>
              <w:jc w:val="right"/>
              <w:ind w:right="992"/>
              <w:spacing w:after="0"/>
              <w:rPr>
                <w:sz w:val="20"/>
                <w:szCs w:val="20"/>
                <w:color w:val="auto"/>
              </w:rPr>
            </w:pPr>
            <w:r>
              <w:rPr>
                <w:rFonts w:ascii="Arial" w:cs="Arial" w:eastAsia="Arial" w:hAnsi="Arial"/>
                <w:sz w:val="18"/>
                <w:szCs w:val="18"/>
                <w:color w:val="auto"/>
              </w:rPr>
              <w:t>$ 338,303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$269,996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3500" w:type="dxa"/>
            <w:vAlign w:val="bottom"/>
            <w:gridSpan w:val="3"/>
          </w:tcPr>
          <w:p>
            <w:pPr>
              <w:jc w:val="right"/>
              <w:ind w:right="992"/>
              <w:spacing w:after="0"/>
              <w:rPr>
                <w:sz w:val="20"/>
                <w:szCs w:val="20"/>
                <w:color w:val="auto"/>
              </w:rPr>
            </w:pPr>
            <w:r>
              <w:rPr>
                <w:rFonts w:ascii="Arial" w:cs="Arial" w:eastAsia="Arial" w:hAnsi="Arial"/>
                <w:sz w:val="18"/>
                <w:szCs w:val="18"/>
                <w:color w:val="auto"/>
              </w:rPr>
              <w:t>(1,080)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pertaining to Lazard Fund Interests (b)</w:t>
            </w:r>
          </w:p>
        </w:tc>
        <w:tc>
          <w:tcPr>
            <w:tcW w:w="3500" w:type="dxa"/>
            <w:vAlign w:val="bottom"/>
            <w:gridSpan w:val="3"/>
            <w:shd w:val="clear" w:color="auto" w:fill="CCEEFF"/>
          </w:tcPr>
          <w:p>
            <w:pPr>
              <w:jc w:val="right"/>
              <w:ind w:right="992"/>
              <w:spacing w:after="0"/>
              <w:rPr>
                <w:sz w:val="20"/>
                <w:szCs w:val="20"/>
                <w:color w:val="auto"/>
              </w:rPr>
            </w:pPr>
            <w:r>
              <w:rPr>
                <w:rFonts w:ascii="Arial" w:cs="Arial" w:eastAsia="Arial" w:hAnsi="Arial"/>
                <w:sz w:val="18"/>
                <w:szCs w:val="18"/>
                <w:color w:val="auto"/>
              </w:rPr>
              <w:t>(2,767)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420"/>
              <w:spacing w:after="0"/>
              <w:rPr>
                <w:sz w:val="20"/>
                <w:szCs w:val="20"/>
                <w:color w:val="auto"/>
              </w:rPr>
            </w:pPr>
            <w:r>
              <w:rPr>
                <w:rFonts w:ascii="Arial" w:cs="Arial" w:eastAsia="Arial" w:hAnsi="Arial"/>
                <w:sz w:val="18"/>
                <w:szCs w:val="18"/>
                <w:color w:val="auto"/>
              </w:rPr>
              <w:t>Costs related to staff reductions (c)</w:t>
            </w:r>
          </w:p>
        </w:tc>
        <w:tc>
          <w:tcPr>
            <w:tcW w:w="1740" w:type="dxa"/>
            <w:vAlign w:val="bottom"/>
          </w:tcPr>
          <w:p>
            <w:pPr>
              <w:spacing w:after="0"/>
              <w:rPr>
                <w:sz w:val="18"/>
                <w:szCs w:val="18"/>
                <w:color w:val="auto"/>
              </w:rPr>
            </w:pPr>
          </w:p>
        </w:tc>
        <w:tc>
          <w:tcPr>
            <w:tcW w:w="1760" w:type="dxa"/>
            <w:vAlign w:val="bottom"/>
            <w:gridSpan w:val="2"/>
          </w:tcPr>
          <w:p>
            <w:pPr>
              <w:jc w:val="right"/>
              <w:ind w:right="992"/>
              <w:spacing w:after="0"/>
              <w:rPr>
                <w:sz w:val="20"/>
                <w:szCs w:val="20"/>
                <w:color w:val="auto"/>
              </w:rPr>
            </w:pPr>
            <w:r>
              <w:rPr>
                <w:rFonts w:ascii="Arial" w:cs="Arial" w:eastAsia="Arial" w:hAnsi="Arial"/>
                <w:sz w:val="18"/>
                <w:szCs w:val="18"/>
                <w:color w:val="auto"/>
              </w:rPr>
              <w:t>(21,754)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7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w w:val="84"/>
              </w:rPr>
              <w:t>$ 312,702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268,918</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3"/>
            <w:vMerge w:val="continue"/>
          </w:tcPr>
          <w:p>
            <w:pPr>
              <w:spacing w:after="0"/>
              <w:rPr>
                <w:sz w:val="18"/>
                <w:szCs w:val="18"/>
                <w:color w:val="auto"/>
              </w:rPr>
            </w:pPr>
          </w:p>
        </w:tc>
        <w:tc>
          <w:tcPr>
            <w:tcW w:w="3500" w:type="dxa"/>
            <w:vAlign w:val="bottom"/>
            <w:gridSpan w:val="3"/>
          </w:tcPr>
          <w:p>
            <w:pPr>
              <w:jc w:val="right"/>
              <w:ind w:right="832"/>
              <w:spacing w:after="0"/>
              <w:rPr>
                <w:sz w:val="20"/>
                <w:szCs w:val="20"/>
                <w:color w:val="auto"/>
              </w:rPr>
            </w:pPr>
            <w:r>
              <w:rPr>
                <w:rFonts w:ascii="Arial" w:cs="Arial" w:eastAsia="Arial" w:hAnsi="Arial"/>
                <w:sz w:val="18"/>
                <w:szCs w:val="18"/>
                <w:color w:val="auto"/>
              </w:rPr>
              <w:t>63.1%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6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Lazard has no economic interest in such amounts.</w:t>
      </w:r>
    </w:p>
    <w:p>
      <w:pPr>
        <w:ind w:left="460" w:right="20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are equally offset by a corresponding change in the fair value of the underlying investments excluded from operating revenue.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Severance costs and benefit payments associated with staff reductions, including the acceleration of unrecognized amortization expense of deferred incentive compensation previously granted to individuals being terminated, are excluded to enhance comparability of adjusted compensation and benefits expense relative to operating revenue between present, historical and future periods.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additional key ratios and headcount information are set forth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7"/>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7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right"/>
              <w:ind w:right="67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500" w:type="dxa"/>
            <w:vAlign w:val="bottom"/>
            <w:gridSpan w:val="5"/>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5"/>
        </w:trPr>
        <w:tc>
          <w:tcPr>
            <w:tcW w:w="75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500" w:type="dxa"/>
            <w:vAlign w:val="bottom"/>
            <w:gridSpan w:val="5"/>
          </w:tcPr>
          <w:p>
            <w:pPr>
              <w:jc w:val="right"/>
              <w:ind w:right="5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500" w:type="dxa"/>
            <w:vAlign w:val="bottom"/>
            <w:gridSpan w:val="5"/>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740" w:type="dxa"/>
            <w:vAlign w:val="bottom"/>
            <w:gridSpan w:val="3"/>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75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gridSpan w:val="4"/>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740" w:type="dxa"/>
            <w:vAlign w:val="bottom"/>
            <w:gridSpan w:val="3"/>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5"/>
          </w:tcPr>
          <w:p>
            <w:pPr>
              <w:jc w:val="right"/>
              <w:ind w:right="140"/>
              <w:spacing w:after="0" w:line="129" w:lineRule="exact"/>
              <w:rPr>
                <w:sz w:val="20"/>
                <w:szCs w:val="20"/>
                <w:color w:val="auto"/>
              </w:rPr>
            </w:pPr>
            <w:r>
              <w:rPr>
                <w:rFonts w:ascii="Arial" w:cs="Arial" w:eastAsia="Arial" w:hAnsi="Arial"/>
                <w:sz w:val="14"/>
                <w:szCs w:val="14"/>
                <w:b w:val="1"/>
                <w:bCs w:val="1"/>
                <w:color w:val="auto"/>
                <w:w w:val="82"/>
              </w:rPr>
              <w:t>December</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060" w:type="dxa"/>
            <w:vAlign w:val="bottom"/>
            <w:gridSpan w:val="2"/>
          </w:tcPr>
          <w:p>
            <w:pPr>
              <w:jc w:val="right"/>
              <w:ind w:right="152"/>
              <w:spacing w:after="0" w:line="149" w:lineRule="exact"/>
              <w:rPr>
                <w:sz w:val="20"/>
                <w:szCs w:val="20"/>
                <w:color w:val="auto"/>
              </w:rPr>
            </w:pPr>
            <w:r>
              <w:rPr>
                <w:rFonts w:ascii="Arial" w:cs="Arial" w:eastAsia="Arial" w:hAnsi="Arial"/>
                <w:sz w:val="14"/>
                <w:szCs w:val="14"/>
                <w:b w:val="1"/>
                <w:bCs w:val="1"/>
                <w:color w:val="auto"/>
              </w:rPr>
              <w:t>March 31,</w:t>
            </w:r>
          </w:p>
        </w:tc>
        <w:tc>
          <w:tcPr>
            <w:tcW w:w="1180" w:type="dxa"/>
            <w:vAlign w:val="bottom"/>
            <w:gridSpan w:val="5"/>
          </w:tcPr>
          <w:p>
            <w:pPr>
              <w:jc w:val="right"/>
              <w:ind w:right="139"/>
              <w:spacing w:after="0" w:line="149" w:lineRule="exact"/>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132"/>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10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1180" w:type="dxa"/>
            <w:vAlign w:val="bottom"/>
            <w:gridSpan w:val="5"/>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5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88"/>
        </w:trPr>
        <w:tc>
          <w:tcPr>
            <w:tcW w:w="7540" w:type="dxa"/>
            <w:vAlign w:val="bottom"/>
            <w:vMerge w:val="continue"/>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149</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75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1060" w:type="dxa"/>
            <w:vAlign w:val="bottom"/>
            <w:gridSpan w:val="2"/>
          </w:tcPr>
          <w:p>
            <w:pPr>
              <w:jc w:val="right"/>
              <w:ind w:right="212"/>
              <w:spacing w:after="0"/>
              <w:rPr>
                <w:sz w:val="20"/>
                <w:szCs w:val="20"/>
                <w:color w:val="auto"/>
              </w:rPr>
            </w:pPr>
            <w:r>
              <w:rPr>
                <w:rFonts w:ascii="Arial" w:cs="Arial" w:eastAsia="Arial" w:hAnsi="Arial"/>
                <w:sz w:val="18"/>
                <w:szCs w:val="18"/>
                <w:color w:val="auto"/>
              </w:rPr>
              <w:t>79</w:t>
            </w: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1500" w:type="dxa"/>
            <w:vAlign w:val="bottom"/>
            <w:gridSpan w:val="5"/>
          </w:tcPr>
          <w:p>
            <w:pPr>
              <w:jc w:val="right"/>
              <w:ind w:right="2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13</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5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1,085</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75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360" w:type="dxa"/>
            <w:vAlign w:val="bottom"/>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4"/>
              </w:rPr>
              <w:t>1,204</w:t>
            </w:r>
          </w:p>
        </w:tc>
        <w:tc>
          <w:tcPr>
            <w:tcW w:w="720" w:type="dxa"/>
            <w:vAlign w:val="bottom"/>
            <w:gridSpan w:val="3"/>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1,197</w:t>
            </w:r>
          </w:p>
        </w:tc>
        <w:tc>
          <w:tcPr>
            <w:tcW w:w="120" w:type="dxa"/>
            <w:vAlign w:val="bottom"/>
          </w:tcPr>
          <w:p>
            <w:pPr>
              <w:spacing w:after="0"/>
              <w:rPr>
                <w:sz w:val="19"/>
                <w:szCs w:val="19"/>
                <w:color w:val="auto"/>
              </w:rPr>
            </w:pPr>
          </w:p>
        </w:tc>
        <w:tc>
          <w:tcPr>
            <w:tcW w:w="800" w:type="dxa"/>
            <w:vAlign w:val="bottom"/>
            <w:gridSpan w:val="4"/>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4"/>
              </w:rPr>
              <w:t>1,136</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2,530</w:t>
            </w: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versus March 31, 2011</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in the 2012 period of $26 million, as compared to net income of $62 million in the 2011 period. The changes in the Company’s operating results during these periods are described below.</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Net revenue in the 2012 period increased by $42 million, or 10%, with operating revenue increasing by $37 million, or 8%, respectively, as compared to the 2011 period. Fees from investment banking and other advisory activities increased $53 million, or 24%, primarily reflecting the closing of several significant restructuring, M&amp;A and sovereign and government advisory transactions during the 2012 period, as well as the strong performance of Lazard Middle Market. The number of M&amp;A transactions with fees greater than $1 million also increased as compared to the 2011 period. Restructuring fee revenues in the 2012 period increased $35 million, or 97%, driven primarily by a higher number of closings and increased average fees for assignments with completion fees greater than $1 million. Total Strategic Advisory fees in the 2012 period increased $14 million, or 7%. Money management fees decreased $10 million, or 5%, during the 2012 period primarily due to an $8 billion, or 5%, decrease in average AUM, on which management fees are earned. In the aggregate, interest income, other revenue and interest expense reflected a decrease in net revenue of $1 million as compared to the corresponding period in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Compensation and benefits expense in the 2012 period was $338 million, as compared to $270 million in the corresponding prior year period. Factors contributing to the increase included higher compensation costs relating to the growth in operating revenue and a $22 million charge associated with staff reductions, representing severance costs and benefit payments, including $7 million relating to the acceleration of unrecognized amortization expense of deferred incentive compensation previously granted to individuals being terminated, as well as increased headcount. Adjusted compensation and benefits expense (which excludes certain items that management believes allows for improved comparability between interim periods, and which is described more thoroughly above), was $313 million in the 2012 period, an increase of $44 million, or 16%, when compared to $269 million in the 2011 period. The resulting ratio of adjusted compensation and benefits expense to operating revenue was 63.1% for the 2012 period, which compares to 58.7% and 61.7% for the first quarter and full year of 2011, respectively. The first quarter 2012 ratio of adjusted compensation and benefits expense to operating revenue assumed, based on current market conditions, a ratio of awarded compensation and benefits expense to operating revenue of approximately 60% for the full year of 2012, as compared to 61.5% for the full year of 2011.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expect that the amortization of deferred incentive compensation awards will approximate $341 million for the full year of 2012, compared to $289 million for the comparable 2011 period, when excluding the $7 million charge in 2012 related to staff reductions. The increase of $52 million is primarily related to the amortization of the 2008 plan year deferred incentive compensation awards (the “2008 grant”). The 2008 grant is the last grant with a vesting period in excess of three years. Our amortization expense is higher in 2012, compared to 2011, in part because of the overlapping vesting periods, but is expected to revert to a lower level in 2013.</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Non-compensation expense in the 2012 period was $109 million, an increase of $16 million, or 17%, as compared to $93 million in the corresponding period in 2011. Non-compensation expense in the first quarter of 2012 included charges totaling $3 million associated with the staff reductions. When excluding such charges, as well as non-compensation costs relating to noncontrolling interests, non-compensation expense in the first quarter of 2012 increased $12 million, or 13%, primarily attributable to (i) deal-related costs, specific to transactions that closed in the 2012 period, (ii) generally higher levels of business development expenses in our Financial Advisory business and (iii) higher occupancy costs in the 2012 period as a result of our amended lease and associated build-out costs of our Rockefeller Center facility. The ratio of non-compensation expense to operating revenue was 21.2% in the 2012 period versus 20.2% for the corresponding period in 2011. We currently estimate that, on a full year basis in 2012 as compared to 2011, our occupancy-related costs associated with the amended lease at our Rockefeller Center facility will increase by approximately $11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2011 period.</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Operating income in the 2012 period was $33 million, a decrease of $41 million, or 56%, as compared to operating income of $74 million in the 2011 period, and, as a percentage of net revenue, was 7% as compared to 17% in the 2011 period.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provision for income taxes was $5 million and $10 million for the 2012 and 2011 periods, respectively, representing effective tax rates of 14.8% and 14.1% for the respective periods.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was $2 million and $1 million in the 2012 and 2011 periods,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is a discussion of net revenue and operating income for the Company’s business segments - Financial Advisory, Asset Management and Corporate. Each segment’s operating expenses include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94" w:lineRule="auto"/>
        <w:tabs>
          <w:tab w:leader="none" w:pos="2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of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w w:val="86"/>
              </w:rPr>
              <w:t>192,611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163,752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Capital Markets and Other Advisory</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w w:val="86"/>
              </w:rPr>
              <w:t>206,981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193,288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70,215</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w w:val="86"/>
              </w:rPr>
              <w:t>277,196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228,845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249,897</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213,566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3"/>
            <w:vMerge w:val="continue"/>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2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While the M&amp;A industry data described above on completed and announced transactions reflects decreased M&amp;A activity in the 2012 period as compared to the corresponding period in 2011, our M&amp;A and Strategic Advisory revenue (which includes Sovereign and Government Advisory revenue) increased 18% in the 2012 period as compared to the 2011 period.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client statistics and global industry statistics are set forth below:</w:t>
      </w:r>
    </w:p>
    <w:tbl>
      <w:tblPr>
        <w:tblLayout w:type="fixed"/>
        <w:tblInd w:w="0" w:type="dxa"/>
        <w:tblCellMar>
          <w:top w:w="0" w:type="dxa"/>
          <w:left w:w="0" w:type="dxa"/>
          <w:bottom w:w="0" w:type="dxa"/>
          <w:right w:w="0" w:type="dxa"/>
        </w:tblCellMar>
      </w:tblPr>
      <w:tr>
        <w:trPr>
          <w:trHeight w:val="153"/>
        </w:trPr>
        <w:tc>
          <w:tcPr>
            <w:tcW w:w="9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4"/>
          </w:tcPr>
          <w:p>
            <w:pPr>
              <w:jc w:val="center"/>
              <w:ind w:right="500"/>
              <w:spacing w:after="0" w:line="153" w:lineRule="exact"/>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320" w:type="dxa"/>
            <w:vAlign w:val="bottom"/>
          </w:tcPr>
          <w:p>
            <w:pPr>
              <w:spacing w:after="0"/>
              <w:rPr>
                <w:sz w:val="12"/>
                <w:szCs w:val="12"/>
                <w:color w:val="auto"/>
              </w:rPr>
            </w:pPr>
          </w:p>
        </w:tc>
        <w:tc>
          <w:tcPr>
            <w:tcW w:w="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2012</w:t>
            </w: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9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64</w:t>
            </w: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58</w:t>
            </w: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50</w:t>
            </w:r>
          </w:p>
        </w:tc>
        <w:tc>
          <w:tcPr>
            <w:tcW w:w="240" w:type="dxa"/>
            <w:vAlign w:val="bottom"/>
          </w:tcPr>
          <w:p>
            <w:pPr>
              <w:spacing w:after="0"/>
              <w:rPr>
                <w:sz w:val="18"/>
                <w:szCs w:val="18"/>
                <w:color w:val="auto"/>
              </w:rPr>
            </w:pPr>
          </w:p>
        </w:tc>
        <w:tc>
          <w:tcPr>
            <w:tcW w:w="1560" w:type="dxa"/>
            <w:vAlign w:val="bottom"/>
            <w:gridSpan w:val="3"/>
          </w:tcPr>
          <w:p>
            <w:pPr>
              <w:ind w:left="1180"/>
              <w:spacing w:after="0"/>
              <w:rPr>
                <w:sz w:val="20"/>
                <w:szCs w:val="20"/>
                <w:color w:val="auto"/>
              </w:rPr>
            </w:pPr>
            <w:r>
              <w:rPr>
                <w:rFonts w:ascii="Arial" w:cs="Arial" w:eastAsia="Arial" w:hAnsi="Arial"/>
                <w:sz w:val="18"/>
                <w:szCs w:val="18"/>
                <w:color w:val="auto"/>
              </w:rPr>
              <w:t>39</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Financial Advisory Net Revenue from Top 10 Clients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41%</w:t>
            </w:r>
          </w:p>
        </w:tc>
        <w:tc>
          <w:tcPr>
            <w:tcW w:w="156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w w:val="99"/>
              </w:rPr>
              <w:t>32%</w:t>
            </w: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11</w:t>
            </w:r>
          </w:p>
        </w:tc>
        <w:tc>
          <w:tcPr>
            <w:tcW w:w="240" w:type="dxa"/>
            <w:vAlign w:val="bottom"/>
          </w:tcPr>
          <w:p>
            <w:pPr>
              <w:spacing w:after="0"/>
              <w:rPr>
                <w:sz w:val="19"/>
                <w:szCs w:val="19"/>
                <w:color w:val="auto"/>
              </w:rPr>
            </w:pPr>
          </w:p>
        </w:tc>
        <w:tc>
          <w:tcPr>
            <w:tcW w:w="1560" w:type="dxa"/>
            <w:vAlign w:val="bottom"/>
            <w:gridSpan w:val="3"/>
          </w:tcPr>
          <w:p>
            <w:pPr>
              <w:ind w:left="1180"/>
              <w:spacing w:after="0"/>
              <w:rPr>
                <w:sz w:val="20"/>
                <w:szCs w:val="20"/>
                <w:color w:val="auto"/>
              </w:rPr>
            </w:pPr>
            <w:r>
              <w:rPr>
                <w:rFonts w:ascii="Arial" w:cs="Arial" w:eastAsia="Arial" w:hAnsi="Arial"/>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April 11,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41</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versus March 31, 2011</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increased $14 million, or 7%, and Restructuring revenue increased $35 million, or 97%, as compared to the 2011 period.</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M&amp;A and Strategic Advisory revenue increased $29 million, or 18% as compared to the 2011 period. Capital Markets and Other Advisory revenue decreased $15 million, or 51%. The increase in M&amp;A and Strategic Advisory revenue was principally due to a higher level of fees earned from our top 10 clients and higher average fees per M&amp;A and Strategic Advisory transaction, which reflected the closing of several significant M&amp;A and sovereign and government advisory transactions, as well as the strong performance of Lazard Middle Market. Our major clients, which, in the aggregate, represented a significant portion of our M&amp;A and Strategic Advisory revenue for the first quarter of 2012, included 3b-fibreglass, 99 Cents Only Stores, Azur Pharma, Brookside Foods, European Goldfields, Hellenic Republic, ITT, Simon Property Group, Sonneborn and Western Lime.</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decrease in Capital Markets and Other Advisory revenue in the 2012 period was primarily attributable to a lower level of closings by Private Fund Advisory.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The increase in Restructuring revenue in the 2012 period was driven by a higher number of closings and increased average fees for assignments with completion fees greater than $1 million. Notable assignments completed in the first quarter of 2012 included A&amp;P, Eastman Kodak Company, Lehman Brothers and Spanish Broadcasting Systems.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306" w:lineRule="auto"/>
        <w:rPr>
          <w:sz w:val="20"/>
          <w:szCs w:val="20"/>
          <w:color w:val="auto"/>
        </w:rPr>
      </w:pPr>
      <w:r>
        <w:rPr>
          <w:rFonts w:ascii="Arial" w:cs="Arial" w:eastAsia="Arial" w:hAnsi="Arial"/>
          <w:sz w:val="16"/>
          <w:szCs w:val="16"/>
          <w:color w:val="auto"/>
        </w:rPr>
        <w:t>Operating expenses increased $36 million, or 17%, as compared to the 2011 period. The principal contributors to the increase were increases in compensation and deal-related costs specific to transactions which closed in the 2012 period, a higher level of business development expense and higher occupancy costs in the 2012 period as a result of our amended lease and associated build-out costs of our Rockefeller Center facility.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Financial Advisory operating income in the 2012 period was $27 million, an increase of $12 million, or 79%, as compared to operating income of $15 million in the 2011 period and, as a percentage of net revenue, was 10% as compared to 7%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4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56"/>
        </w:trPr>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International 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31,020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27,599</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68,584</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Equities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21,903</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130,653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116,362</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13,744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U.S. Fixed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18"/>
                <w:szCs w:val="18"/>
                <w:color w:val="auto"/>
              </w:rPr>
            </w:pPr>
          </w:p>
        </w:tc>
      </w:tr>
      <w:tr>
        <w:trPr>
          <w:trHeight w:val="221"/>
        </w:trPr>
        <w:tc>
          <w:tcPr>
            <w:tcW w:w="942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5,296</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19"/>
                <w:szCs w:val="19"/>
                <w:color w:val="auto"/>
              </w:rPr>
            </w:pPr>
          </w:p>
        </w:tc>
      </w:tr>
      <w:tr>
        <w:trPr>
          <w:trHeight w:val="218"/>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CEEFF"/>
          </w:tcPr>
          <w:p>
            <w:pPr>
              <w:spacing w:after="0"/>
              <w:rPr>
                <w:sz w:val="18"/>
                <w:szCs w:val="18"/>
                <w:color w:val="auto"/>
              </w:rPr>
            </w:pPr>
          </w:p>
        </w:tc>
      </w:tr>
      <w:tr>
        <w:trPr>
          <w:trHeight w:val="223"/>
        </w:trPr>
        <w:tc>
          <w:tcPr>
            <w:tcW w:w="9420" w:type="dxa"/>
            <w:vAlign w:val="bottom"/>
          </w:tcPr>
          <w:p>
            <w:pPr>
              <w:spacing w:after="0"/>
              <w:rPr>
                <w:sz w:val="20"/>
                <w:szCs w:val="20"/>
                <w:color w:val="auto"/>
              </w:rPr>
            </w:pPr>
            <w:r>
              <w:rPr>
                <w:rFonts w:ascii="Arial" w:cs="Arial" w:eastAsia="Arial" w:hAnsi="Arial"/>
                <w:sz w:val="18"/>
                <w:szCs w:val="18"/>
                <w:color w:val="auto"/>
              </w:rPr>
              <w:t>Cash Management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156,708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141,039</w:t>
            </w:r>
          </w:p>
        </w:tc>
        <w:tc>
          <w:tcPr>
            <w:tcW w:w="100" w:type="dxa"/>
            <w:vAlign w:val="bottom"/>
            <w:shd w:val="clear" w:color="auto" w:fill="CCEEFF"/>
          </w:tcPr>
          <w:p>
            <w:pPr>
              <w:spacing w:after="0"/>
              <w:rPr>
                <w:sz w:val="18"/>
                <w:szCs w:val="18"/>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Average AUM for the 2012 and 2011 periods is set forth below. Average AUM is generally based on an average of quarterly ending balances for the respective periods.</w:t>
      </w:r>
    </w:p>
    <w:p>
      <w:pPr>
        <w:spacing w:after="0" w:line="168"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-7620</wp:posOffset>
            </wp:positionV>
            <wp:extent cx="11061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9780"/>
        <w:spacing w:after="0"/>
        <w:tabs>
          <w:tab w:leader="none" w:pos="1080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-6985</wp:posOffset>
            </wp:positionV>
            <wp:extent cx="11061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ind w:left="10040"/>
        <w:spacing w:after="0" w:line="223" w:lineRule="auto"/>
        <w:rPr>
          <w:sz w:val="20"/>
          <w:szCs w:val="20"/>
          <w:color w:val="auto"/>
        </w:rPr>
      </w:pPr>
      <w:r>
        <w:rPr>
          <w:rFonts w:ascii="Arial" w:cs="Arial" w:eastAsia="Arial" w:hAnsi="Arial"/>
          <w:sz w:val="14"/>
          <w:szCs w:val="14"/>
          <w:b w:val="1"/>
          <w:bCs w:val="1"/>
          <w:color w:val="auto"/>
        </w:rPr>
        <w:t>($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$ 150,315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$ 157,894</w:t>
            </w:r>
          </w:p>
        </w:tc>
      </w:tr>
      <w:tr>
        <w:trPr>
          <w:trHeight w:val="20"/>
        </w:trPr>
        <w:tc>
          <w:tcPr>
            <w:tcW w:w="9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Total AUM at March 31, 2012 increased $16 billion, or 11%, as compared to total AUM of $141 billion at December 31, 2011, primarily due to market appreciation. Average AUM however, for the three month period ended March 31, 2012 was 5% lower than that for three month period ended March 31, 2011. International, Global and U.S. equities represented 20%, 50% and 14% of total AUM at March 31, 2012, versus 20%, 49% and 14% at December 31, 2011.</w:t>
      </w:r>
    </w:p>
    <w:p>
      <w:pPr>
        <w:spacing w:after="0" w:line="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March 31, 2012 and December 31, 2011,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both March 31, 2012 and December 31, 2011, AUM denominated in foreign currencies represented approximately 61% of our total AUM. Foreign denominated AUM declines in value with the strengthening of the U.S. Dollar and increases in value as the U.S. Dollar weakens.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2012 and 2011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1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11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56"/>
        </w:trPr>
        <w:tc>
          <w:tcPr>
            <w:tcW w:w="11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$141,039</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$155,337</w:t>
            </w:r>
          </w:p>
        </w:tc>
        <w:tc>
          <w:tcPr>
            <w:tcW w:w="100" w:type="dxa"/>
            <w:vAlign w:val="bottom"/>
            <w:shd w:val="clear" w:color="auto" w:fill="CCEEFF"/>
          </w:tcPr>
          <w:p>
            <w:pPr>
              <w:spacing w:after="0"/>
              <w:rPr>
                <w:sz w:val="18"/>
                <w:szCs w:val="18"/>
                <w:color w:val="auto"/>
              </w:rPr>
            </w:pPr>
          </w:p>
        </w:tc>
      </w:tr>
      <w:tr>
        <w:trPr>
          <w:trHeight w:val="216"/>
        </w:trPr>
        <w:tc>
          <w:tcPr>
            <w:tcW w:w="952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(162)</w:t>
            </w:r>
          </w:p>
        </w:tc>
        <w:tc>
          <w:tcPr>
            <w:tcW w:w="6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15,831</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CEEFF"/>
          </w:tcPr>
          <w:p>
            <w:pPr>
              <w:spacing w:after="0"/>
              <w:rPr>
                <w:sz w:val="18"/>
                <w:szCs w:val="18"/>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AUM—End of Period</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156,708</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160,451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inflows of $6,795 and $5,813 and outflows of $6,957 and $5,118 for the 2012 and 2011 periods, respectively.</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2012 period, both inflows and outflows were principally in Global and International Equities, with inflows resulting from increased investments in existing accounts, and outflows resulting from withdrawals in existing accounts and, to a lesser extent, accounts lost.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April 27, 2012, AUM was $155.7 billion, a $1.0 billion decrease since March 31, 2012. The change in AUM was due to market/foreign exchange depreciation of $1.8 billion, partially offset by net inflows of $0.8 billion. Market depreciation was approximately 1% of AUM since March 31, 2012, which was generally consistent with the decrease in global market indices during that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15"/>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199,860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206,768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ind w:left="420"/>
              <w:spacing w:after="0"/>
              <w:rPr>
                <w:sz w:val="20"/>
                <w:szCs w:val="20"/>
                <w:color w:val="auto"/>
              </w:rPr>
            </w:pPr>
            <w:r>
              <w:rPr>
                <w:rFonts w:ascii="Arial" w:cs="Arial" w:eastAsia="Arial" w:hAnsi="Arial"/>
                <w:sz w:val="18"/>
                <w:szCs w:val="18"/>
                <w:color w:val="auto"/>
              </w:rPr>
              <w:t>Other Income</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214,527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226,853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160,490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149,204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54,037</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3"/>
            <w:vMerge w:val="continue"/>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00" w:hanging="5612"/>
        <w:spacing w:after="0" w:line="440" w:lineRule="auto"/>
        <w:tabs>
          <w:tab w:leader="none" w:pos="4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 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92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Europe</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28</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22"/>
        </w:trPr>
        <w:tc>
          <w:tcPr>
            <w:tcW w:w="92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9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versus March 31, 2011</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Asset Management net revenue decreased $12 million, or 5%, as compared to the 2011 period. Management fees decreased $7 million, or 3%, as compared to the 2011 period, driven primarily by a 5% decrease in average AUM, partially offset by a favorable change in the mix of AUM into higher margin equity products. Incentive fees, principally consisting of traditional long-only strategies, decreased $2 million, or 50%, as compared to the 2011 period, principally due to a change in fee structure on one mandate from a quarterly to an annual performance fee basis . Other income decreased $3 million, or 19%, as compared to the 2011 period, primarily due to a decline in commission and fee income from an unusually strong 2011 first quarter.</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Operating expenses increased $11 million, or 8%, as compared to the 2011 period, with such increase primarily due to an increase in compensation expense and higher occupancy costs in the 2012 period as a result of our amended lease and associated build-out costs of our Rockefeller Center facility.</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Asset Management operating income was $54 million, a decrease of $24 million, or 30%, as compared to operating income of $78 million in the 2011 period and, as a percentage of net revenue, was 25%, as compared to 34%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Corporate segment: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4"/>
          </w:tcPr>
          <w:p>
            <w:pPr>
              <w:jc w:val="center"/>
              <w:ind w:left="380"/>
              <w:spacing w:after="0" w:line="142"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35"/>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(22,620)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(19,410)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Revenue</w:t>
            </w: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8,215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(11,195)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37,563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(48,758)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540" w:type="dxa"/>
            <w:vAlign w:val="bottom"/>
            <w:vMerge w:val="restart"/>
          </w:tcPr>
          <w:p>
            <w:pPr>
              <w:jc w:val="right"/>
              <w:ind w:right="3512"/>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14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 versus March 31,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$1 million, or 4%, as compared to the 2011 period.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revenue increased $5 million, or 191%, principally relating to an increase in investment gains of $12 million versus the 2011 period, partially offset by a loss of $6 million in the 2012 period resulting from the sale of an intercompany receivable to a Lazard Ltd subsidiary at a discount to reflect arm’s-length terms (see Note 15 of Notes to Condensed Consolidated Financial Statements).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Operating expenses increased $36 million, primarily due to (i) total costs of $25 million, relating to the charge in the three month period ended March 31, 2012 in compensation and benefits expense for staff reductions, including the acceleration of unrecognized amortization expense of deferred incentive compensation previously granted to individuals that were terminated, and in non-compensation expense for other expenses related to the staff reduction, (ii) higher occupancy costs in the 2012 period as a result of our amended lease and associated build-out costs of our Rockefeller Center facility and (iii) increased technology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members, payments of incentive compensation to managing directors and employees and purchases of Class A common stock.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24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433"/>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107.6</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(234.3)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(99.0)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8"/>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(144.5)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8"/>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821.0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676.5</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93.9</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Loss on sale of intercompany receivable</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jc w:val="both"/>
        <w:ind w:left="460" w:right="280" w:hanging="452"/>
        <w:spacing w:after="0" w:line="255"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settlements of vested restricted stock units (“RSU”s), distributions to members and noncontrolling interest holders and activity relating to borrowings, and, in 2012, proceeds from the sale of an intercompany receivable to a subsidiary of Lazard Ltd.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11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purchases of shares of Class A common stock and Lazard Group common membership interests and matters relating to liquidity and to compliance with regulatory net capital requirements. At March 31, 2012, Lazard had approximately $676 million of cash, with such amount including approximately $270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March 31, 2012, Lazard had approximately $315 million in unused lines of credit available to it, including a $150 million, three-year, senior revolving credit facility with a group of lenders that expires in April 2013 (the “Credit Facility”) (see “—Financing Activities” below) and unused lines of credit available to LFB of approximately $93 million (at March 31, 2012 exchange rates) and Edgewater of $65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March 31, 2012 and December 31, 2011. The agreements with respect to this indebtedness are discussed in more detail in our condensed consolidated financial statements and related notes included elsewhere in this Form 10-Q and in our Form 10-K.</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64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8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2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7.125%</w:t>
            </w:r>
          </w:p>
        </w:tc>
        <w:tc>
          <w:tcPr>
            <w:tcW w:w="520" w:type="dxa"/>
            <w:vAlign w:val="bottom"/>
          </w:tcPr>
          <w:p>
            <w:pPr>
              <w:jc w:val="center"/>
              <w:spacing w:after="0"/>
              <w:rPr>
                <w:sz w:val="20"/>
                <w:szCs w:val="20"/>
                <w:color w:val="auto"/>
              </w:rPr>
            </w:pPr>
            <w:r>
              <w:rPr>
                <w:rFonts w:ascii="Arial" w:cs="Arial" w:eastAsia="Arial" w:hAnsi="Arial"/>
                <w:sz w:val="18"/>
                <w:szCs w:val="18"/>
                <w:color w:val="auto"/>
                <w:w w:val="84"/>
              </w:rPr>
              <w:t>2015</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528.5</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2017</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March 31, 2012 Lazard Group was in compliance with such ratios, with its Consolidated Leverage Ratio being 2.11 to 1.00 and its Consolidated Interest Coverage Ratio being 7.53 to 1.00. In any event, no amounts were outstanding under the Credit Facility as of March 31, 2012.</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March 31, 2012,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At March 31, 2012, total members’ equity was $743 million, as compared to $718 million at December 31, 2011, including $654 million and $614 million attributable to Lazard Group on the respective dates. The net activity in members’ equity during the three month period ended March 31, 2012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718</w:t>
            </w:r>
          </w:p>
        </w:tc>
        <w:tc>
          <w:tcPr>
            <w:tcW w:w="0" w:type="dxa"/>
            <w:vAlign w:val="bottom"/>
          </w:tcPr>
          <w:p>
            <w:pPr>
              <w:spacing w:after="0"/>
              <w:rPr>
                <w:sz w:val="1"/>
                <w:szCs w:val="1"/>
                <w:color w:val="auto"/>
              </w:rPr>
            </w:pPr>
          </w:p>
        </w:tc>
      </w:tr>
      <w:tr>
        <w:trPr>
          <w:trHeight w:val="323"/>
        </w:trPr>
        <w:tc>
          <w:tcPr>
            <w:tcW w:w="844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Class A common stock</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members and noncontrolling interests -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Equity—March 31, 2012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743</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 Includes: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foreign currency translation adjustments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Employee benefit plans and other adjustments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2011 and October 2011, the Board of Directors of Lazard Ltd authorized the repurchase of up to $250 million and $125 million, respectively, in aggregate cost of Class A common stock and Lazard Group common membership interests through December 31, 2012 and December 31, 2013, respectively. During the three month period ended March 31, 2012 Lazard Group and subsidiaries of Lazard Ltd repurchased 2,378,445 shares of Class A common stock, at an aggregate cost of $71 million (but purchased no Lazard Group common membership interests during such three month period). As of March 31, 2012, $142 million of the current aggregate $375 million share repurchase amount authorized as of such date remained available as follows – $17 million of the $250 million share repurchase amount expiring December 31, 2012, and all of the $125 million share repurchase amount expiring December 31, 2013. Furthermore, under the terms of the 2005 Plan and the 2008 Plan, upon the vesting of RSUs, shares of Class A common stock may be withheld by the Company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cover estimated income taxes. On April 24, 2012, the Board of Directors of Lazard Ltd authorized the repurchase of up to an additional $125 million in aggregate cost of Lazard Ltd Class A common stock and Lazard Group common membership interests through December 31, 2013.</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first quarter of 2012, the Company had a written trading plan under Rule 10b5-1 of the Securities Exchange Act of 1934 in place, pursuant to which it effected stock repurchases through the open market.</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the repurchases of Class A common stock described above, during the three month period ended March 31, 2012, in order, among other reasons, to help neutralize the dilutive effect of our share-based incentive compensation plans, the Company utilized $26 million to satisfy certain employees’ withholding tax obligations on vested RSUs and delivery of restricted Class A common stock in lieu of issuing 828,471 shares of Class A common stock directly by Lazard Ltd or by delivery of shares held by Lazard Group or other subsidiaries of Lazard Ltd.</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88"/>
              </w:rPr>
              <w:t>Contractual Obligations Due by Period</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$ 1,415,236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75,218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$ 150,435</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$ 622,452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567,131</w:t>
            </w: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Operating Leases (exclusive of $167,138 of sublease income)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1,081,809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60,801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145,563</w:t>
            </w:r>
          </w:p>
        </w:tc>
        <w:tc>
          <w:tcPr>
            <w:tcW w:w="1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132,200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743,245</w:t>
            </w: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8,569</w:t>
            </w: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35,883</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24,969</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$ 2,556,968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$ 164,966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$ 312,011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$ 761,046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1,318,945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10, 12, 13 and 14 of Notes to Condensed Consolidated Financial Statements regarding information in connection with commitments, incentive plans, employee benefit plans and income taxes,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2011, the Company recorded deferred tax assets of approximately $189 million, with such amount partially offset by a valuation allowance of approximately $89 million due to the uncertainty of realizing the benefits of the book versus tax basis differences and certain net operating loss carry-forwards (and have not changed our assessment regarding the level of valuation allowance as of March 31, 2012). In assessing the realizability of deferred tax assets, we consider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We consider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we apply the “more likely than not” criteria prior to the recognition of a financial statement benefit of a tax position taken or expected to be taken in a tax return with respect to uncertainties in income taxes.</w:t>
      </w:r>
    </w:p>
    <w:p>
      <w:pPr>
        <w:spacing w:after="0" w:line="12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Tax contingencies can involve complex issues and may require an extended period of time to resolve. Changes in the geographic mix or estimated level of annual pre-tax income can affect Lazard’s overall effective tax rate. Significant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“Risk Factors” and Note 19 of Notes to Consolidated Financial Statements in our Form 10-K for additional information related to income taxes.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Investments consist principally of debt securities, equities, interests in alternative asset management funds, fixed income funds and other private equity investments.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subsequent thereto, Lazard did not own any securities designated as “available-for-sale” or “held-to-maturity”.</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w w:val="99"/>
              </w:rPr>
              <w:t>March 31, 2012 (a)</w:t>
            </w:r>
          </w:p>
        </w:tc>
        <w:tc>
          <w:tcPr>
            <w:tcW w:w="140" w:type="dxa"/>
            <w:vAlign w:val="bottom"/>
          </w:tcPr>
          <w:p>
            <w:pPr>
              <w:spacing w:after="0"/>
              <w:rPr>
                <w:sz w:val="14"/>
                <w:szCs w:val="14"/>
                <w:color w:val="auto"/>
              </w:rPr>
            </w:pP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9"/>
              </w:rPr>
              <w:t>December 31, 2011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Equity securities (net of $2 and $4 of securities sold, not yet purchased, at March</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31, 2012 and December 31, 2011, respectively) (c)</w:t>
            </w:r>
          </w:p>
        </w:tc>
        <w:tc>
          <w:tcPr>
            <w:tcW w:w="160" w:type="dxa"/>
            <w:vAlign w:val="bottom"/>
          </w:tcPr>
          <w:p>
            <w:pPr>
              <w:spacing w:after="0"/>
              <w:rPr>
                <w:sz w:val="19"/>
                <w:szCs w:val="19"/>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168</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152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asset management funds owned (principally general partnership</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 in Lazard-managed hedge funds) (d)</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Private equity owned (e)</w:t>
            </w:r>
          </w:p>
        </w:tc>
        <w:tc>
          <w:tcPr>
            <w:tcW w:w="16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95</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 (f)</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Other (g)</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3"/>
            <w:vMerge w:val="continue"/>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w w:val="86"/>
              </w:rPr>
              <w:t>$ 2,976</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3"/>
          </w:tcPr>
          <w:p>
            <w:pPr>
              <w:jc w:val="right"/>
              <w:ind w:right="640"/>
              <w:spacing w:after="0"/>
              <w:rPr>
                <w:sz w:val="20"/>
                <w:szCs w:val="20"/>
                <w:color w:val="auto"/>
              </w:rPr>
            </w:pPr>
            <w:r>
              <w:rPr>
                <w:rFonts w:ascii="Arial" w:cs="Arial" w:eastAsia="Arial" w:hAnsi="Arial"/>
                <w:sz w:val="18"/>
                <w:szCs w:val="18"/>
                <w:color w:val="auto"/>
                <w:w w:val="86"/>
              </w:rPr>
              <w:t>$ 3,037</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 as a percentage of total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Investments above include investments held in connection with Lazard Fund Interests and other similar deferred compensation arrangements granted, with an aggregate fair value of $31 and $27 million at March 31, 2012 and December 31, 2011, respectively. Market risk associated with such investments is equally offset by any changes in the fair value related to the Company’s obligation pertaining to such awards.</w:t>
      </w:r>
    </w:p>
    <w:p>
      <w:pPr>
        <w:spacing w:after="0" w:line="25" w:lineRule="exact"/>
        <w:rPr>
          <w:rFonts w:ascii="Arial" w:cs="Arial" w:eastAsia="Arial" w:hAnsi="Arial"/>
          <w:sz w:val="16"/>
          <w:szCs w:val="16"/>
          <w:color w:val="auto"/>
        </w:rPr>
      </w:pPr>
    </w:p>
    <w:p>
      <w:pPr>
        <w:ind w:left="460" w:right="74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securities primarily relate to Asset Management seed investments and U.S. government debt securities and, at December 31, 2011, non-U.S. government securities which matured during the first quarter of 2012.</w:t>
      </w:r>
    </w:p>
    <w:p>
      <w:pPr>
        <w:spacing w:after="0" w:line="50" w:lineRule="exact"/>
        <w:rPr>
          <w:rFonts w:ascii="Arial" w:cs="Arial" w:eastAsia="Arial" w:hAnsi="Arial"/>
          <w:sz w:val="18"/>
          <w:szCs w:val="18"/>
          <w:color w:val="auto"/>
        </w:rPr>
      </w:pPr>
    </w:p>
    <w:p>
      <w:pPr>
        <w:ind w:left="460" w:right="20" w:hanging="452"/>
        <w:spacing w:after="0" w:line="31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equity securities primarily relate to seed investments in Asset Management products, which in turn invest in marketable equity securities of large-, mid- and small-cap domestic, international and global companies and include investments in public and private asset management funds managed both by LAM and third-party asset managers. Hedging strategies are employed to attempt to reduce market risk, and, in turn, the volatility to earnings. Additional information regarding equity securities is shown below:</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9"/>
              </w:rPr>
              <w:t>March 31,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826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26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2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1480"/>
              <w:spacing w:after="0"/>
              <w:rPr>
                <w:sz w:val="20"/>
                <w:szCs w:val="20"/>
                <w:color w:val="auto"/>
              </w:rPr>
            </w:pPr>
            <w:r>
              <w:rPr>
                <w:rFonts w:ascii="Arial" w:cs="Arial" w:eastAsia="Arial" w:hAnsi="Arial"/>
                <w:sz w:val="18"/>
                <w:szCs w:val="18"/>
                <w:color w:val="auto"/>
              </w:rPr>
              <w:t>Energy</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26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8260" w:type="dxa"/>
            <w:vAlign w:val="bottom"/>
          </w:tcPr>
          <w:p>
            <w:pPr>
              <w:ind w:left="190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50"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 Private equity investments primarily include (i) a mezzanine fund, which invests in mezzanine debt of a diversified selection of small- to mid-cap European companies; (ii) CP II, a private equity fund targeting significant noncontrolling investments in established public and private companies; (iii) Senior Housing, which targets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controlling interests in companies and assets in senior housing, extended stay and shopping center sectors, and (iv) Edgewater Growth Capital Partners III, L.P., a private equity fund primarily making growth equity and buyout investments in high-quality, lower middle market companies.</w:t>
      </w:r>
    </w:p>
    <w:p>
      <w:pPr>
        <w:spacing w:after="0" w:line="4" w:lineRule="exact"/>
        <w:rPr>
          <w:sz w:val="20"/>
          <w:szCs w:val="20"/>
          <w:color w:val="auto"/>
        </w:rPr>
      </w:pPr>
    </w:p>
    <w:p>
      <w:pPr>
        <w:ind w:left="460" w:right="4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Fixed income funds primarily consists of amounts seeding products of our Asset Management segment. Hedging strategies are employed to attempt to reduce market risk and, in turn, the volatility to earnings.</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“members’ equity” on the consolidated statements of financial condition.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March 31, 2012 and December 31, 2011, $123 million and $133 million, respectively, of our total investments at a fair value of $366 million and $351 million, respectively, or 34% and 38%, respectively, were classified as Level 3 assets. Substantially all of our Level 3 investments in both periods are priced based on a NAV or its equivalent. During the three month periods ended March 31, 2012 and 2011, gains of approximately $8 million and $0.3 million, respectively, were recognized in “revenue-other” on the condensed consolidated statements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market fluctuations related to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59" w:lineRule="exact"/>
        <w:rPr>
          <w:sz w:val="20"/>
          <w:szCs w:val="20"/>
          <w:color w:val="auto"/>
        </w:rPr>
      </w:pPr>
    </w:p>
    <w:p>
      <w:pPr>
        <w:ind w:left="1480" w:right="20" w:hanging="446"/>
        <w:spacing w:after="0" w:line="256"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360" w:hanging="446"/>
        <w:spacing w:after="0" w:line="332" w:lineRule="auto"/>
        <w:tabs>
          <w:tab w:leader="none" w:pos="1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Market and/or credit risks related to our investing activities are discussed under “Critical Accounting Policies and Estimates—Investments”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March 31, 2012, total receivables amounted to $715 million, net of an allowance for doubtful accounts of $21 million. As of that date, Financial Advisory and Asset Management fees, customer and related party receivables comprised 61%, 10% and 29% of total receivables, respectively. At December 31, 2011, total receivables amounted to $691 million, net of an allowance for doubtful accounts of $19 million. As of that date, Financial Advisory and Asset Management fees, customer and related party receivables comprised 58%, 12% and 30% of total receivables, respectively. At March 31, 2012 and December 31, 2011, the Company had receivables past due of approximately $22 million and $23 million, respectively. See also “Critical Accounting Policies and Estimates—Revenue Recognition” above and Note 3 of Notes to Condensed Consolidated Financial Statements for additional information regarding receivables.</w:t>
      </w:r>
    </w:p>
    <w:p>
      <w:pPr>
        <w:spacing w:after="0" w:line="34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LFB engages in lending activities, including commitments to extend credit. At March 31, 2012 and December 31, 2011, customer receivables included $25 million and $29 million of LFB loans, respectively. Such loans are closely monitored for counterparty creditworthiness to help minimize exposure. In addition, as of March 31, 2012, LFB had commitments to lend totaling $23 million, which are fully collateralized and generally contain requirements for the counterparty to maintain a minimum collateral level.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lending and borrowing transactions with fixed income securities.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March 31, 2012, excluding inter-bank counterparties, LFB had no exposure to an individual counterparty that exceeded $23 million, with such amount being fully collateralized.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With respect to activities outside LFB, as of March 31, 2012, the Company’s largest individual counterparty exposure was a Financial Advisory fee receivable of $33 million, which was subsequently collected.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equity investments. At March 31, 2012 and December 31, 2011, such derivative contracts are recorded at fair value. Derivative assets amounted to $1 million and $7 million at March 31, 2012 and December 31, 2011, respectively, and derivative liabilities, excluding the derivative liability arising from the Company’s obligation with respect to Lazard Fund Interests and other similar deferred compensation arrangements, amounted to $6 and $1 million at such respective dates.</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 The primary market risks associated with LFB’s foreign currency exchange hedging and lending activities are sensitivity to changes in the general level of interest rate and foreign exchange risk. Based on account balances as of March 31, 2012, LFB’s interest rate risk as measured by a 100+/– basis point change in interest rates and its currency risk associated with its open positions, in the aggregate, as measured by a 200+/– basis point change against the U.S. Dollar, would not have a material effect on the Company’s annual operating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March 31, 2012, Lazard estimates that its annual operating income relating to cash and short-term investments and corporate indebtedness would increase by approximately $7 million in the event interest rates were to increase by 1% and decrease by approximately $2 million if rates were to decrease by 1%.</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March 31, 2012, the Company’s cash and cash equivalents totaled approximately $676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20"/>
          </w:cols>
          <w:pgMar w:left="24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520"/>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1 to the Operating Agreement of Lazard Group LLC, dated as of December 19, 2005 (incorporated by reference to Exhibit</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3.01 to the Registrant’s Current Report on Form 8-K (File No. 333-126751) filed on December 19,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Amendment No. 2, dated as of May 7, 2008,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3.1 to the Registrant’s Current Report on Form 8-K (File No. 333-126751)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3.6</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3.6 to the Registrant’s Quarterly Report (File No. 333-126751)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the Registrant and The Bank of New York, as</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trustee (and incorporated by reference to Exhibit 4.1 to the Registrants’ Current Report on Form 8-K (Commission File No. 333-126751) filed</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600"/>
              <w:spacing w:after="0"/>
              <w:rPr>
                <w:sz w:val="20"/>
                <w:szCs w:val="20"/>
                <w:color w:val="auto"/>
              </w:rPr>
            </w:pPr>
            <w:r>
              <w:rPr>
                <w:rFonts w:ascii="Arial" w:cs="Arial" w:eastAsia="Arial" w:hAnsi="Arial"/>
                <w:sz w:val="18"/>
                <w:szCs w:val="18"/>
                <w:color w:val="auto"/>
              </w:rPr>
              <w:t>Form of Senior Note (included in Exhibit 4.2).</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$546 million, 7.125% Senior Notes Due 2015, issued by the Registrant (incorporated by reference to Exhibit 4.5 to the Registrant’s Quarterly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Report (File No. 333-126751) on Form 10-Q filed on November 14,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60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Ltd, LAZ-MD Holdings LLC and LFCM</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5"/>
              </w:rPr>
              <w:t>Holdings LLC (incorporated by reference to Exhibit 2.1 to Lazard Ltd’s Quarterly Report (File No. 001-32492) on Form 10-Q filed on</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60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dated as of May 10, 2005, by and among the Registrant, Lazard Ltd and LAZ-MD Holdings LLC (incorporated by reference to Exhibit 10.2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the Registrant’s Quarterly Report (File No. 333-126751)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600"/>
              <w:spacing w:after="0"/>
              <w:rPr>
                <w:sz w:val="20"/>
                <w:szCs w:val="20"/>
                <w:color w:val="auto"/>
              </w:rPr>
            </w:pPr>
            <w:r>
              <w:rPr>
                <w:rFonts w:ascii="Arial" w:cs="Arial" w:eastAsia="Arial" w:hAnsi="Arial"/>
                <w:sz w:val="18"/>
                <w:szCs w:val="18"/>
                <w:color w:val="auto"/>
                <w:w w:val="87"/>
              </w:rPr>
              <w:t>Second Amendment, dated as of May 7, 2008, to the Master Separation Agreement, dated as of May 10, 2005, as amended, by and among the</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Registrant, Lazard Ltd and LAZ-MD Holdings LLC (incorporated by reference to Exhibit 2.1 to the Registrant’s Current Report on Form 8-K</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(File No. 333-126751) filed on May 9, 2008).</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80"/>
              <w:spacing w:after="0"/>
              <w:rPr>
                <w:sz w:val="20"/>
                <w:szCs w:val="20"/>
                <w:color w:val="auto"/>
              </w:rPr>
            </w:pPr>
            <w:r>
              <w:rPr>
                <w:rFonts w:ascii="Arial" w:cs="Arial" w:eastAsia="Arial" w:hAnsi="Arial"/>
                <w:sz w:val="18"/>
                <w:szCs w:val="18"/>
                <w:color w:val="auto"/>
                <w:w w:val="88"/>
              </w:rPr>
              <w:t>Class B-1 and Class C Members Transaction Agreement (incorporated by reference to Exhibit 2.2 to Lazard Ltd’s Registration Statement (File</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certain members of LAZ-MD Holdings LLC (incorporated by reference to Exhibit 10.4 to the Registrant’s Quarterly Report (File No. 333-</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8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LAZ-MD Holdings LLC and Lazard Ltd (incorporated by reference to Exhibit 10.6 to the Registrant’s Quarterly Report (File No. 333-</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126751) on Form 10-Q filed on May 9, 2008).</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Ltd, LAZ-MD Holdings LLC and LFCM</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Holdings LLC (incorporated by reference to Exhibit 10.4 to Lazard Ltd’s Quarterly Report (File No. 001-32492) on Form 10-Q filed on</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Insurance Matters Agreement, dated as of May 10, 2005, by and between Lazard Group LLC and LFCM Holdings LLC (incorporated by</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License Agreement, dated as of May 10, 2005, by and among Lazard Strategic Coordination Company LLC, Lazard Frères &amp; Co. LLC,</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Lazard Frères S.A.S., Lazard &amp; Co., Holdings Limited and LFCM Holdings LLC (incorporated by reference to Exhibit 10.6 to Lazard Ltd’s</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80"/>
              <w:spacing w:after="0"/>
              <w:rPr>
                <w:sz w:val="20"/>
                <w:szCs w:val="20"/>
                <w:color w:val="auto"/>
              </w:rPr>
            </w:pPr>
            <w:r>
              <w:rPr>
                <w:rFonts w:ascii="Arial" w:cs="Arial" w:eastAsia="Arial" w:hAnsi="Arial"/>
                <w:sz w:val="18"/>
                <w:szCs w:val="18"/>
                <w:color w:val="auto"/>
                <w:w w:val="96"/>
              </w:rPr>
              <w:t>Administrative Services Agreement, dated as of May 10, 2005, by and among LAZ-MD Holdings LLC, LFCM Holdings LLC and the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Registrant (incorporated by reference to Exhibit 10.7 to Lazard Ltd’s Quarterly Report (File No. 001-32492) on Form 10-Q filed on June 16,</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80"/>
              <w:spacing w:after="0"/>
              <w:rPr>
                <w:sz w:val="20"/>
                <w:szCs w:val="20"/>
                <w:color w:val="auto"/>
              </w:rPr>
            </w:pPr>
            <w:r>
              <w:rPr>
                <w:rFonts w:ascii="Arial" w:cs="Arial" w:eastAsia="Arial" w:hAnsi="Arial"/>
                <w:sz w:val="18"/>
                <w:szCs w:val="18"/>
                <w:color w:val="auto"/>
                <w:w w:val="89"/>
              </w:rPr>
              <w:t>Business Alliance Agreement, dated as of May 10, 2005, by and between the Registrant and LFCM Holdings LLC (incorporated by reference</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to Exhibit 10.8 to Lazard Ltd’s Quarterly Report (File No. 001-32492) on Form 10-Q filed on June 16,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Amendment and Consent, dated February 9, 2009, to the Business Alliance Agreement, dated as of May 10, 2005, by and between the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Registrant and LFCM Holdings LLC (incorporated by reference to Exhibit 10.12 to Lazard Ltd’s Annual Report (File No. 001-32492) on</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80"/>
              <w:spacing w:after="0"/>
              <w:rPr>
                <w:sz w:val="20"/>
                <w:szCs w:val="20"/>
                <w:color w:val="auto"/>
              </w:rPr>
            </w:pPr>
            <w:r>
              <w:rPr>
                <w:rFonts w:ascii="Arial" w:cs="Arial" w:eastAsia="Arial" w:hAnsi="Arial"/>
                <w:sz w:val="18"/>
                <w:szCs w:val="18"/>
                <w:color w:val="auto"/>
                <w:w w:val="89"/>
              </w:rPr>
              <w:t>Amended and Restated Operating Agreement of Lazard Strategic Coordination Company LLC, dated as of January 1, 2002 (incorporated by</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reference to Exhibit 10.16 to Lazard Ltd’s Registration Statement (File No. 333-121407) on Form S-1/A filed on February 11,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4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to Exhibit 10.19 to Lazard Ltd’s Registration Statement (File No. 333-121407) on Form S-1/A filed on February 11, 2005).</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Amendment dated as of February 16, 2011, by and among RCPI Landmark Properties, L.L.C. (as the successor in interest to Rockefeller</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Frères &amp; Co. LLC), to the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Frères &amp; Co. LLC (incorporated by reference to</w:t>
            </w:r>
          </w:p>
        </w:tc>
      </w:tr>
      <w:tr>
        <w:trPr>
          <w:trHeight w:val="222"/>
        </w:trPr>
        <w:tc>
          <w:tcPr>
            <w:tcW w:w="900" w:type="dxa"/>
            <w:vAlign w:val="bottom"/>
          </w:tcPr>
          <w:p>
            <w:pPr>
              <w:spacing w:after="0"/>
              <w:rPr>
                <w:sz w:val="19"/>
                <w:szCs w:val="19"/>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65"/>
        </w:trPr>
        <w:tc>
          <w:tcPr>
            <w:tcW w:w="900" w:type="dxa"/>
            <w:vAlign w:val="bottom"/>
          </w:tcPr>
          <w:p>
            <w:pPr>
              <w:spacing w:after="0"/>
              <w:rPr>
                <w:sz w:val="24"/>
                <w:szCs w:val="24"/>
                <w:color w:val="auto"/>
              </w:rPr>
            </w:pPr>
          </w:p>
        </w:tc>
        <w:tc>
          <w:tcPr>
            <w:tcW w:w="10500" w:type="dxa"/>
            <w:vAlign w:val="bottom"/>
          </w:tcPr>
          <w:p>
            <w:pPr>
              <w:ind w:left="4720"/>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Lease with an Option to Purchase, dated as of July 11, 1990, by and between Sicomibail and Finabail and SCI du 121 Boulevard Hausmann</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(English translation) (incorporated by reference to Exhibit 10.20 to the Lazard Ltd’s Registration Statement (File No. 333-121407) on Form S-</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Burford (Stratton) Limited, Lazard &amp; Co., Limited and Lazard LLC (incorporated by reference to Exhibit 10.21 to Lazard Ltd’s Registration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Lazard Ltd’s 2005 Equity Incentive Plan (incorporated by reference to Exhibit 10.21 to Lazard Ltd’s Registration Statement (File No. 333-</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Lazard Ltd’s 2005 Bonus Plan (incorporated by reference to Exhibit 10.23 to Lazard Ltd’s Registration Statement (File No. 333-121407) on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Schedule I for each of Michael J. Castellano and Scott D. Hoffman (incorporated by reference to Exhibit 10.26 to Lazard Ltd’s Quarterly</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of May 4, 2005, for each of Michael J. Castellano and Scott D. Hoffman (incorporated by reference to Exhibit 10.2 to the Registrant’s Current</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Report on Form 8-K (File No. 333-126751) filed on May 9,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February 26, 2009, to the Agreement Relating to Retention and Noncompetition and Other Covenants, dated</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as of May 4, 2005 (as amended from time to time), for Michael J. Castellano (incorporated by reference to Exhibit 10.26 to Registrant’s</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Annual Report (File No. 333-126751)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Second Amendment, dated as of February 23, 2011, to the Agreement Relating to Retention and Noncompetition and Other Covenants, dated</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as of May 4, 2005 and amended as of May 7, 2008, for Scott D. Hoffman (incorporated by reference to Exhibit 10.24 to the Registrant’s</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Quarterly 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Ltd’s Registration Statement (File No. 333-121407) on Form S-1/A filed on April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October 4, 2004, with Alexander F. Stern (incorporated by reference to Exhibit 10.2 to the Registrant’s Current Report on Form 8-K</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940" w:type="dxa"/>
            <w:vAlign w:val="bottom"/>
          </w:tcPr>
          <w:p>
            <w:pPr>
              <w:spacing w:after="0"/>
              <w:rPr>
                <w:sz w:val="19"/>
                <w:szCs w:val="19"/>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on March 1, 2010).</w:t>
            </w:r>
          </w:p>
        </w:tc>
      </w:tr>
      <w:tr>
        <w:trPr>
          <w:trHeight w:val="365"/>
        </w:trPr>
        <w:tc>
          <w:tcPr>
            <w:tcW w:w="94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10.29*</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March 18, 2005, with Kenneth M. Jacobs (incorporated by reference to Exhibit 10.1 to the Registrant’s Current Report on Form 8-K</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(File No. 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10.31*</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10.32*</w:t>
            </w: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Amended and Restated Letter Agreement, effective as of January 1, 2004, between Vernon E. Jordan, Jr. and Lazard Frères &amp; Co. LLC</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(incorporated by reference to Exhibit 10.28 to Lazard Ltd’s Quarterly Report (File No. 001-32492) on Form 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10.33*</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Acknowledgement Letter, dated as of November 6, 2006 from the Registrant to certain managing directors of the Registrant modifying the</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terms of the retention agreements of persons party to the Amended and Restated Stockholders’ Agreement, dated as of November 6, 2006</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(incorporated by reference to Exhibit 10.23 to the Registrant’s Quarterly Report (File No. 333-126751) on Form 10-Q filed on November 7,</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10.34</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Letter Agreement, dated as of March 15, 2005, from IXIS Corporate and Investment Bank to Lazard LLC and Lazard Ltd (incorporated by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7"/>
              </w:rPr>
              <w:t>reference to Exhibit 10.27 to Lazard Ltd’s Registration Statement (File No. 333-121407) on Form S-1/A filed on March 21,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Ltd and IXIS</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Corporate and Investment Bank (incorporated by reference to Exhibit 10.30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10.36*</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10.37*</w:t>
            </w: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10.38*</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10.39*</w:t>
            </w: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10.41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10.40*</w:t>
            </w:r>
          </w:p>
        </w:tc>
        <w:tc>
          <w:tcPr>
            <w:tcW w:w="10420" w:type="dxa"/>
            <w:vAlign w:val="bottom"/>
          </w:tcPr>
          <w:p>
            <w:pPr>
              <w:ind w:left="440"/>
              <w:spacing w:after="0"/>
              <w:rPr>
                <w:sz w:val="20"/>
                <w:szCs w:val="20"/>
                <w:color w:val="auto"/>
              </w:rPr>
            </w:pPr>
            <w:r>
              <w:rPr>
                <w:rFonts w:ascii="Arial" w:cs="Arial" w:eastAsia="Arial" w:hAnsi="Arial"/>
                <w:sz w:val="18"/>
                <w:szCs w:val="18"/>
                <w:color w:val="auto"/>
                <w:w w:val="95"/>
              </w:rPr>
              <w:t>Form of Agreement evidencing a grant of Deferred Cash Award to Executive Officers under the 2008 Incentive Compensation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10.42 to Lazard Ltd’s Annual Report (File No. 001-32492) on Form 10-K filed on 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10.41*</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Directors’ Fee Deferral Unit Plan (incorporated by reference to Exhibit 10.39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May 11, 2006).</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67</w:t>
            </w:r>
          </w:p>
        </w:tc>
      </w:tr>
    </w:tbl>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10.42*</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(incorporated by reference to Exhibit 10.43 to Lazard Ltd’s Annual Report (File No. 001-32492) on Form 10-K filed on March 1, 2007).</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10.43</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Agreement and Plan of Merger, dated as of August 14, 2008, by and among Lazard Ltd, LAZ Sub I, Lazard Asset Management LLC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Lazard Asset Management Limited (incorporated by reference to Exhibit 2.1 to Lazard Ltd’s Current Report on Form 8-K (File No. 001-</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32492) filed on August 15,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to Exhibit 10.52 to the Registrant’s Quarterly Report (File No. 333-126751)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10.45*</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Amendment, dated as of February 27, 2012 to Letter Agreement regarding employment, dated as of April 21, 2010, between Lazard Group</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LLC and Gary W. Parr.</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10.46</w:t>
            </w: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Senior Revolving Credit Agreement, dated as of April 29, 2010, among the Registrant, the Banks from time to time parties thereto,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4"/>
              </w:rPr>
              <w:t>Citibank, N.A., as Administrative Agent (incorporated by reference to Exhibit 10.50 to the Registrant’s Quarterly Report (File No. 333-</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126751) on Form10-Q filed on August 4,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10.47</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Amendment No. 1, dated as of August 12, 2010, to the Senior Revolving Credit Agreement, dated as of April 29, 2010, among the Registrant,</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the Banks from time to time parties thereto, and Citibank, N.A., as Administrative Agent (incorporated by reference to Exhibit 10.47 to the</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Registrant’s Annual Report (File No. 333-126751) on Form 10-K filed on February 28,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10.48</w:t>
            </w: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Amendment No. 2, dated as of December 17, 2010, to the Senior Revolving Credit Agreement, dated as of April 29, 2010, among the</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Registrant, the Banks from time to time parties thereto, and Citibank, N.A., as Administrative Agent (incorporated by reference to Exhibit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10.48 to the Registrant’s Annual Report (File No. 333-126751) on Form 10-K filed on February 28,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10.49</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Amendment No. 3, dated as of March 31, 2012, to the Senior Revolving Credit Agreement, dated as of April 29, 2010, among the Registrant,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the Banks from time to time parties thereto, and Citibank, N.A., as Administrative Agent.</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10.50*</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Form of Agreement evidencing a grant of Restricted Stock under the 2008 Incentive Compensation Plan (incorporated by reference to Exhibit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10.51*</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Lazard Fund Interests under the 2008 Incentive Compensation Plan (incorporated by reference to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10.52*</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for retirement under the 2008 Incentive Compensation Plan.</w:t>
            </w: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10.53*</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(File No. 333-126751) on Form 10-Q filed on August 4, 2011).</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12.1</w:t>
            </w:r>
          </w:p>
        </w:tc>
        <w:tc>
          <w:tcPr>
            <w:tcW w:w="10420" w:type="dxa"/>
            <w:vAlign w:val="bottom"/>
          </w:tcPr>
          <w:p>
            <w:pPr>
              <w:ind w:left="44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440"/>
              <w:spacing w:after="0"/>
              <w:rPr>
                <w:sz w:val="20"/>
                <w:szCs w:val="20"/>
                <w:color w:val="auto"/>
              </w:rPr>
            </w:pPr>
            <w:r>
              <w:rPr>
                <w:rFonts w:ascii="Arial" w:cs="Arial" w:eastAsia="Arial" w:hAnsi="Arial"/>
                <w:sz w:val="18"/>
                <w:szCs w:val="18"/>
                <w:color w:val="auto"/>
              </w:rPr>
              <w:t>Rule 13a-14(a) Certification of Kenneth M. Jacobs.</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3920" w:type="dxa"/>
            <w:vAlign w:val="bottom"/>
            <w:gridSpan w:val="2"/>
          </w:tcPr>
          <w:p>
            <w:pPr>
              <w:ind w:left="300"/>
              <w:spacing w:after="0"/>
              <w:rPr>
                <w:sz w:val="20"/>
                <w:szCs w:val="20"/>
                <w:color w:val="auto"/>
              </w:rPr>
            </w:pPr>
            <w:r>
              <w:rPr>
                <w:rFonts w:ascii="Arial" w:cs="Arial" w:eastAsia="Arial" w:hAnsi="Arial"/>
                <w:sz w:val="18"/>
                <w:szCs w:val="18"/>
                <w:color w:val="auto"/>
                <w:w w:val="92"/>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240" w:type="dxa"/>
            <w:vAlign w:val="bottom"/>
          </w:tcPr>
          <w:p>
            <w:pPr>
              <w:ind w:left="300"/>
              <w:spacing w:after="0"/>
              <w:rPr>
                <w:sz w:val="20"/>
                <w:szCs w:val="20"/>
                <w:color w:val="auto"/>
              </w:rPr>
            </w:pPr>
            <w:r>
              <w:rPr>
                <w:rFonts w:ascii="Arial" w:cs="Arial" w:eastAsia="Arial" w:hAnsi="Arial"/>
                <w:sz w:val="18"/>
                <w:szCs w:val="18"/>
                <w:color w:val="auto"/>
                <w:w w:val="87"/>
              </w:rPr>
              <w:t>Section 1350</w:t>
            </w:r>
          </w:p>
        </w:tc>
        <w:tc>
          <w:tcPr>
            <w:tcW w:w="2680" w:type="dxa"/>
            <w:vAlign w:val="bottom"/>
          </w:tcPr>
          <w:p>
            <w:pPr>
              <w:ind w:left="20"/>
              <w:spacing w:after="0"/>
              <w:rPr>
                <w:sz w:val="20"/>
                <w:szCs w:val="20"/>
                <w:color w:val="auto"/>
              </w:rPr>
            </w:pPr>
            <w:r>
              <w:rPr>
                <w:rFonts w:ascii="Arial" w:cs="Arial" w:eastAsia="Arial" w:hAnsi="Arial"/>
                <w:sz w:val="18"/>
                <w:szCs w:val="18"/>
                <w:color w:val="auto"/>
                <w:w w:val="92"/>
              </w:rPr>
              <w:t>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240" w:type="dxa"/>
            <w:vAlign w:val="bottom"/>
          </w:tcPr>
          <w:p>
            <w:pPr>
              <w:ind w:left="300"/>
              <w:spacing w:after="0"/>
              <w:rPr>
                <w:sz w:val="20"/>
                <w:szCs w:val="20"/>
                <w:color w:val="auto"/>
              </w:rPr>
            </w:pPr>
            <w:r>
              <w:rPr>
                <w:rFonts w:ascii="Arial" w:cs="Arial" w:eastAsia="Arial" w:hAnsi="Arial"/>
                <w:sz w:val="18"/>
                <w:szCs w:val="18"/>
                <w:color w:val="auto"/>
                <w:w w:val="87"/>
              </w:rPr>
              <w:t>Section 1350</w:t>
            </w:r>
          </w:p>
        </w:tc>
        <w:tc>
          <w:tcPr>
            <w:tcW w:w="2680" w:type="dxa"/>
            <w:vAlign w:val="bottom"/>
          </w:tcPr>
          <w:p>
            <w:pPr>
              <w:ind w:left="20"/>
              <w:spacing w:after="0"/>
              <w:rPr>
                <w:sz w:val="20"/>
                <w:szCs w:val="20"/>
                <w:color w:val="auto"/>
              </w:rPr>
            </w:pPr>
            <w:r>
              <w:rPr>
                <w:rFonts w:ascii="Arial" w:cs="Arial" w:eastAsia="Arial" w:hAnsi="Arial"/>
                <w:sz w:val="18"/>
                <w:szCs w:val="18"/>
                <w:color w:val="auto"/>
                <w:w w:val="98"/>
              </w:rPr>
              <w:t>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3920" w:type="dxa"/>
            <w:vAlign w:val="bottom"/>
            <w:gridSpan w:val="2"/>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392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3920" w:type="dxa"/>
            <w:vAlign w:val="bottom"/>
            <w:gridSpan w:val="2"/>
          </w:tcPr>
          <w:p>
            <w:pPr>
              <w:ind w:left="30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3920" w:type="dxa"/>
            <w:vAlign w:val="bottom"/>
            <w:gridSpan w:val="2"/>
          </w:tcPr>
          <w:p>
            <w:pPr>
              <w:ind w:left="300"/>
              <w:spacing w:after="0"/>
              <w:rPr>
                <w:sz w:val="20"/>
                <w:szCs w:val="20"/>
                <w:color w:val="auto"/>
              </w:rPr>
            </w:pPr>
            <w:r>
              <w:rPr>
                <w:rFonts w:ascii="Arial" w:cs="Arial" w:eastAsia="Arial" w:hAnsi="Arial"/>
                <w:sz w:val="18"/>
                <w:szCs w:val="18"/>
                <w:color w:val="auto"/>
                <w:w w:val="95"/>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392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3920" w:type="dxa"/>
            <w:vAlign w:val="bottom"/>
            <w:gridSpan w:val="2"/>
          </w:tcPr>
          <w:p>
            <w:pPr>
              <w:ind w:left="300"/>
              <w:spacing w:after="0"/>
              <w:rPr>
                <w:sz w:val="20"/>
                <w:szCs w:val="20"/>
                <w:color w:val="auto"/>
              </w:rPr>
            </w:pPr>
            <w:r>
              <w:rPr>
                <w:rFonts w:ascii="Arial" w:cs="Arial" w:eastAsia="Arial" w:hAnsi="Arial"/>
                <w:sz w:val="18"/>
                <w:szCs w:val="18"/>
                <w:color w:val="auto"/>
                <w:w w:val="89"/>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45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10.45</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27,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Gary W. Parr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Lazard Frères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Mr. Parr:</w:t>
      </w:r>
    </w:p>
    <w:p>
      <w:pPr>
        <w:spacing w:after="0" w:line="90"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This letter (the “Amendment”) will confirm our understanding regarding certain terms that will be applicable to your compensation for 2011, as well as your entitlement to awards to be granted in 2012 and 2013. Reference is hereby made to the letter agreement, dated as of April 21, 2010, between you and Lazard Group LLC (“Lazard”), which amended and restated the letter agreement, dated as of September 3, 2008, between you and Lazard regarding your employment with Lazard and which set forth your right to guaranteed annual compensation of no less than $10,000,000 for each of 2009 through 2012, subject to certain terms and conditions (the 2010 letter agreement, the “Letter Agreement”). The parties desire to amend the Letter Agreement to reduce the portion of guaranteed annual compensation that is payable to you in cash and in the aggregate for 2011 under the Letter Agreement and to provide for the grant of equity awards in 2012 and 2013, as set forth below. All capitalized terms used in this Amendment but not otherwise defined herein will have the same meaning as defined in the Letter Agreement, and all section references are to a section of this Amendment, unless otherwise specified.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Accordingly, you and Lazard hereby agree that, notwithstanding anything to the contrary set forth in the Letter Agreement:</w:t>
      </w:r>
    </w:p>
    <w:p>
      <w:pPr>
        <w:spacing w:after="0" w:line="212" w:lineRule="exact"/>
        <w:rPr>
          <w:sz w:val="20"/>
          <w:szCs w:val="20"/>
          <w:color w:val="auto"/>
        </w:rPr>
      </w:pPr>
    </w:p>
    <w:p>
      <w:pPr>
        <w:ind w:left="1480" w:hanging="567"/>
        <w:spacing w:after="0"/>
        <w:tabs>
          <w:tab w:leader="none" w:pos="1480"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2011 Annual Payment</w:t>
      </w:r>
      <w:r>
        <w:rPr>
          <w:rFonts w:ascii="Arial" w:cs="Arial" w:eastAsia="Arial" w:hAnsi="Arial"/>
          <w:sz w:val="16"/>
          <w:szCs w:val="16"/>
          <w:color w:val="auto"/>
        </w:rPr>
        <w:t>: Notwithstanding any provision of the Letter Agreement, the Annual Payment for calendar year 2011 will be</w:t>
      </w:r>
    </w:p>
    <w:p>
      <w:pPr>
        <w:spacing w:after="0" w:line="38" w:lineRule="exact"/>
        <w:rPr>
          <w:rFonts w:ascii="Arial" w:cs="Arial" w:eastAsia="Arial" w:hAnsi="Arial"/>
          <w:sz w:val="16"/>
          <w:szCs w:val="16"/>
          <w:color w:val="auto"/>
        </w:rPr>
      </w:pPr>
    </w:p>
    <w:p>
      <w:pPr>
        <w:ind w:left="1480"/>
        <w:spacing w:after="0" w:line="254" w:lineRule="auto"/>
        <w:rPr>
          <w:rFonts w:ascii="Arial" w:cs="Arial" w:eastAsia="Arial" w:hAnsi="Arial"/>
          <w:sz w:val="16"/>
          <w:szCs w:val="16"/>
          <w:color w:val="auto"/>
        </w:rPr>
      </w:pPr>
      <w:r>
        <w:rPr>
          <w:rFonts w:ascii="Arial" w:cs="Arial" w:eastAsia="Arial" w:hAnsi="Arial"/>
          <w:sz w:val="18"/>
          <w:szCs w:val="18"/>
          <w:color w:val="auto"/>
        </w:rPr>
        <w:t>$7,500,000 (the “2011 Payment”). The cash portion of the 2011 Payment, including amounts paid in 2011 as salary, shall equal $3,500,000. The remaining portion of the 2011 Payment ($4,000,000) was granted to you in restricted stock units of Lazard Ltd (the “Company”) Class A Common Stock (“Shares”) (each such restricted stock unit, a “Stock Unit”) on February 10, 2012 in accordance with the terms and conditions of section 1 of the Letter Agreement.</w:t>
      </w:r>
    </w:p>
    <w:p>
      <w:pPr>
        <w:spacing w:after="0" w:line="184" w:lineRule="exact"/>
        <w:rPr>
          <w:rFonts w:ascii="Arial" w:cs="Arial" w:eastAsia="Arial" w:hAnsi="Arial"/>
          <w:sz w:val="16"/>
          <w:szCs w:val="16"/>
          <w:color w:val="auto"/>
        </w:rPr>
      </w:pPr>
    </w:p>
    <w:p>
      <w:pPr>
        <w:ind w:left="1480" w:hanging="567"/>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Grant and Vesting of Future Equity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500" w:right="40" w:hanging="8"/>
        <w:spacing w:after="0" w:line="289" w:lineRule="auto"/>
        <w:tabs>
          <w:tab w:leader="none" w:pos="1666" w:val="left"/>
        </w:tabs>
        <w:numPr>
          <w:ilvl w:val="1"/>
          <w:numId w:val="47"/>
        </w:numPr>
        <w:rPr>
          <w:rFonts w:ascii="Arial" w:cs="Arial" w:eastAsia="Arial" w:hAnsi="Arial"/>
          <w:sz w:val="16"/>
          <w:szCs w:val="16"/>
          <w:color w:val="auto"/>
        </w:rPr>
      </w:pPr>
      <w:r>
        <w:rPr>
          <w:rFonts w:ascii="Arial" w:cs="Arial" w:eastAsia="Arial" w:hAnsi="Arial"/>
          <w:sz w:val="16"/>
          <w:szCs w:val="16"/>
          <w:color w:val="auto"/>
        </w:rPr>
        <w:t>Lazard agrees to grant you, subject to the provisions of this Amendment and to the provisions of the Company’s 2008 Incentive Compensation Plan (the “Plan”): (i) 54,745 restricted Shares on February 27, 2012, which will vest on February 11, 2013, and (ii) 36,496 Stock Units on February 11, 2013, which will vest one-third on March 3, 2014 and two-thirds on March 2, 2015 (collectively, the “Special Awards”), in each case, upon the execution of an Award Agreement, which Award Agreement shall set forth substantially the same payment, vesting and other terms as apply to the Deputy Chairmen with respect to the prior year, except that (i) in the case of the restricted Shares, the dividends shall be paid in cash, subject to vesting on the same terms and conditions as the related restricted Shares, and (ii) as otherwise set forth in this section 2(a). Notwithstanding the foregoing, Lazard will not be obligated to grant you the Special Awards described in this section 2(a) if, prior to the grant date, you resign or are terminated for Cause.</w:t>
      </w:r>
    </w:p>
    <w:p>
      <w:pPr>
        <w:spacing w:after="0" w:line="37" w:lineRule="exact"/>
        <w:rPr>
          <w:rFonts w:ascii="Arial" w:cs="Arial" w:eastAsia="Arial" w:hAnsi="Arial"/>
          <w:sz w:val="16"/>
          <w:szCs w:val="16"/>
          <w:color w:val="auto"/>
        </w:rPr>
      </w:pPr>
    </w:p>
    <w:p>
      <w:pPr>
        <w:ind w:left="1500" w:right="140" w:hanging="8"/>
        <w:spacing w:after="0" w:line="335" w:lineRule="auto"/>
        <w:tabs>
          <w:tab w:leader="none" w:pos="1675" w:val="left"/>
        </w:tabs>
        <w:numPr>
          <w:ilvl w:val="1"/>
          <w:numId w:val="47"/>
        </w:numPr>
        <w:rPr>
          <w:rFonts w:ascii="Arial" w:cs="Arial" w:eastAsia="Arial" w:hAnsi="Arial"/>
          <w:sz w:val="15"/>
          <w:szCs w:val="15"/>
          <w:color w:val="auto"/>
        </w:rPr>
      </w:pPr>
      <w:r>
        <w:rPr>
          <w:rFonts w:ascii="Arial" w:cs="Arial" w:eastAsia="Arial" w:hAnsi="Arial"/>
          <w:sz w:val="15"/>
          <w:szCs w:val="15"/>
          <w:color w:val="auto"/>
        </w:rPr>
        <w:t>In the event of a Change in Control (as defined in the Plan) prior to February 11, 2013, any Special Awards that have not been granted as of the date of such Change in Control shall automatically be granted as of the date of such Change in Control, and such Special Awards, along with any unvested but already outstanding Special Awards, shall automatically vest as of the date of such Change in Control.</w:t>
      </w:r>
    </w:p>
    <w:p>
      <w:pPr>
        <w:sectPr>
          <w:pgSz w:w="11900" w:h="16838" w:orient="portrait"/>
          <w:cols w:equalWidth="0" w:num="1">
            <w:col w:w="11420"/>
          </w:cols>
          <w:pgMar w:left="240" w:top="125" w:right="239" w:bottom="1440" w:gutter="0" w:footer="0" w:header="0"/>
        </w:sectPr>
      </w:pPr>
    </w:p>
    <w:bookmarkStart w:id="73" w:name="page74"/>
    <w:bookmarkEnd w:id="73"/>
    <w:p>
      <w:pPr>
        <w:ind w:left="1500" w:right="1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In the event of a change in the Company’s capital structure of the nature described in section 3(b) of the Plan at any time following the date hereof and prior to the grant of all of the Special Awards pursuant to section 2(a), the number of ungranted Special Awards set forth in section 2(a) shall be adjusted in the same manner as the restricted Shares or Stock Units, as applicable, then outstanding under the Plan.</w:t>
      </w:r>
    </w:p>
    <w:p>
      <w:pPr>
        <w:spacing w:after="0" w:line="7" w:lineRule="exact"/>
        <w:rPr>
          <w:sz w:val="20"/>
          <w:szCs w:val="20"/>
          <w:color w:val="auto"/>
        </w:rPr>
      </w:pPr>
    </w:p>
    <w:p>
      <w:pPr>
        <w:ind w:left="1500" w:right="500"/>
        <w:spacing w:after="0" w:line="268" w:lineRule="auto"/>
        <w:rPr>
          <w:sz w:val="20"/>
          <w:szCs w:val="20"/>
          <w:color w:val="auto"/>
        </w:rPr>
      </w:pPr>
      <w:r>
        <w:rPr>
          <w:rFonts w:ascii="Arial" w:cs="Arial" w:eastAsia="Arial" w:hAnsi="Arial"/>
          <w:sz w:val="18"/>
          <w:szCs w:val="18"/>
          <w:color w:val="auto"/>
        </w:rPr>
        <w:t>d. For the avoidance of doubt, the awards referred to in this section 2 are in addition to, and shall not be credited against, your Annual Payment for calendar year 2012 under the Letter Agreement.</w:t>
      </w:r>
    </w:p>
    <w:p>
      <w:pPr>
        <w:spacing w:after="0" w:line="172" w:lineRule="exact"/>
        <w:rPr>
          <w:sz w:val="20"/>
          <w:szCs w:val="20"/>
          <w:color w:val="auto"/>
        </w:rPr>
      </w:pPr>
    </w:p>
    <w:p>
      <w:pPr>
        <w:ind w:left="1480" w:right="80" w:hanging="567"/>
        <w:spacing w:after="0" w:line="332" w:lineRule="auto"/>
        <w:tabs>
          <w:tab w:leader="none" w:pos="148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Full Force and Effect</w:t>
      </w:r>
      <w:r>
        <w:rPr>
          <w:rFonts w:ascii="Arial" w:cs="Arial" w:eastAsia="Arial" w:hAnsi="Arial"/>
          <w:sz w:val="16"/>
          <w:szCs w:val="16"/>
          <w:color w:val="auto"/>
        </w:rPr>
        <w:t>. Except as specifically set forth herein, this Amendment shall not, by implication or otherwise, alter, amend or modify in any way any terms of the Letter Agreement, and the Letter Agreement shall continue in full force and effect.</w:t>
      </w:r>
    </w:p>
    <w:p>
      <w:pPr>
        <w:spacing w:after="0" w:line="125" w:lineRule="exact"/>
        <w:rPr>
          <w:rFonts w:ascii="Arial" w:cs="Arial" w:eastAsia="Arial" w:hAnsi="Arial"/>
          <w:sz w:val="16"/>
          <w:szCs w:val="16"/>
          <w:color w:val="auto"/>
        </w:rPr>
      </w:pPr>
    </w:p>
    <w:p>
      <w:pPr>
        <w:ind w:left="1480" w:hanging="567"/>
        <w:spacing w:after="0"/>
        <w:tabs>
          <w:tab w:leader="none" w:pos="14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Section 6 of the Letter Agreement shall apply to this Amendment.</w:t>
      </w:r>
    </w:p>
    <w:p>
      <w:pPr>
        <w:spacing w:after="0" w:line="211" w:lineRule="exact"/>
        <w:rPr>
          <w:rFonts w:ascii="Arial" w:cs="Arial" w:eastAsia="Arial" w:hAnsi="Arial"/>
          <w:sz w:val="18"/>
          <w:szCs w:val="18"/>
          <w:color w:val="auto"/>
        </w:rPr>
      </w:pPr>
    </w:p>
    <w:p>
      <w:pPr>
        <w:ind w:left="1480" w:hanging="567"/>
        <w:spacing w:after="0" w:line="310" w:lineRule="auto"/>
        <w:tabs>
          <w:tab w:leader="none" w:pos="1480"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Amendment, together with the Letter Agreement, contains the entire agreement between you and Lazard concerning the subject matter hereof and supersedes all prior agreements, understandings, discussions, negotiations and undertakings, whether written or oral, between you and Lazard with respect hereto. No provision of this Amendment may be amended unless the amendment is agreed to in writing that is duly signed by each of the parties hereto and that expressly refers to the provision being amended. No waiver by either party of any breach by the other party of any condition or provision contained in this Amendment shall be deemed a waiver of a similar or dissimilar condition or provision at the same or any prior or subsequent time. Any waiver must be in writing and signed by an authorized officer of Lazard or you, depending on which party is granting a waiver, and must expressly refer to the provision being waived. Following the date hereof, all references to the Letter Agreement shall be deemed to refer to the Letter Agreement as amended by this Amendment.</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Please confirm your acceptance of the foregoing by executing the enclosed copy of this letter, upon which it shall become a binding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between us.</w:t>
      </w: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3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Scott D. Hoffman</w:t>
      </w:r>
    </w:p>
    <w:p>
      <w:pPr>
        <w:spacing w:after="0" w:line="15"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Managing Director and General Counsel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Gary W. Parr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Gary W. Parr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2012</w:t>
      </w:r>
    </w:p>
    <w:p>
      <w:pPr>
        <w:sectPr>
          <w:pgSz w:w="11900" w:h="16838" w:orient="portrait"/>
          <w:cols w:equalWidth="0" w:num="1">
            <w:col w:w="11380"/>
          </w:cols>
          <w:pgMar w:left="240" w:top="280" w:right="27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10.49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3</w:t>
      </w:r>
    </w:p>
    <w:p>
      <w:pPr>
        <w:spacing w:after="0" w:line="171"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AMENDMENT NO. 3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March 31, 2012 among LAZARD GROUP LLC (the “</w:t>
      </w:r>
      <w:r>
        <w:rPr>
          <w:rFonts w:ascii="Arial" w:cs="Arial" w:eastAsia="Arial" w:hAnsi="Arial"/>
          <w:sz w:val="16"/>
          <w:szCs w:val="16"/>
          <w:u w:val="single" w:color="auto"/>
          <w:color w:val="auto"/>
        </w:rPr>
        <w:t>Company</w:t>
      </w:r>
      <w:r>
        <w:rPr>
          <w:rFonts w:ascii="Arial" w:cs="Arial" w:eastAsia="Arial" w:hAnsi="Arial"/>
          <w:sz w:val="16"/>
          <w:szCs w:val="16"/>
          <w:color w:val="auto"/>
        </w:rPr>
        <w:t>”), the Banks executing this Amendment, each of which is a party to the Credit Agreement referred to below, and Citibank,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85" w:lineRule="exact"/>
        <w:rPr>
          <w:sz w:val="20"/>
          <w:szCs w:val="20"/>
          <w:color w:val="auto"/>
        </w:rPr>
      </w:pPr>
    </w:p>
    <w:p>
      <w:pPr>
        <w:ind w:right="120" w:firstLine="913"/>
        <w:spacing w:after="0" w:line="335" w:lineRule="auto"/>
        <w:rPr>
          <w:sz w:val="20"/>
          <w:szCs w:val="20"/>
          <w:color w:val="auto"/>
        </w:rPr>
      </w:pPr>
      <w:r>
        <w:rPr>
          <w:rFonts w:ascii="Arial" w:cs="Arial" w:eastAsia="Arial" w:hAnsi="Arial"/>
          <w:sz w:val="15"/>
          <w:szCs w:val="15"/>
          <w:color w:val="auto"/>
        </w:rPr>
        <w:t>The Company, the Banks party thereto (including the Banks executing this Amendment) and the Administrative Agent are parties to a Credit Agreement dated as of April 29, 2010 (as amended by Amendment No. 1 dated as of August 12, 2010 and by Amendment No. 2 dated as of December 17, 2010,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providing, subject to the terms and conditions thereof, for extensions of credit to be made by said Banks to the Company thereunder.</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parties hereto wish now to amend the Credit Agreement in certain respects and, accordingly, the parties hereto hereby agree as follows: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Except as otherwise defined in this Amendment, terms defined in the Credit Agreement are used herein as defined therein.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Amendments</w:t>
      </w:r>
      <w:r>
        <w:rPr>
          <w:rFonts w:ascii="Arial" w:cs="Arial" w:eastAsia="Arial" w:hAnsi="Arial"/>
          <w:sz w:val="15"/>
          <w:szCs w:val="15"/>
          <w:color w:val="auto"/>
        </w:rPr>
        <w:t>. Subject to the satisfaction of the conditions precedent specified in Section 4 below, the Credit Agreement shall be amended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84" w:lineRule="exact"/>
        <w:rPr>
          <w:sz w:val="20"/>
          <w:szCs w:val="20"/>
          <w:color w:val="auto"/>
        </w:rPr>
      </w:pPr>
    </w:p>
    <w:p>
      <w:pPr>
        <w:ind w:left="460" w:right="260" w:firstLine="438"/>
        <w:spacing w:after="0" w:line="259"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References Generally</w:t>
      </w:r>
      <w:r>
        <w:rPr>
          <w:rFonts w:ascii="Arial" w:cs="Arial" w:eastAsia="Arial" w:hAnsi="Arial"/>
          <w:sz w:val="18"/>
          <w:szCs w:val="18"/>
          <w:color w:val="auto"/>
        </w:rPr>
        <w:t>. References in the Credit Agreement (including references to the Credit Agreement as amended hereby) to “this Agreement” (and indirect references such as “hereunder”, “hereby”, “herein” and “hereof”) shall be deemed to be references to the Credit Agreement as amended hereby.</w:t>
      </w:r>
    </w:p>
    <w:p>
      <w:pPr>
        <w:spacing w:after="0" w:line="59" w:lineRule="exact"/>
        <w:rPr>
          <w:sz w:val="20"/>
          <w:szCs w:val="20"/>
          <w:color w:val="auto"/>
        </w:rPr>
      </w:pPr>
    </w:p>
    <w:p>
      <w:pPr>
        <w:ind w:left="460" w:right="620" w:firstLine="438"/>
        <w:spacing w:after="0" w:line="268"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Amendments to Section 1.1 (Defined Terms)</w:t>
      </w:r>
      <w:r>
        <w:rPr>
          <w:rFonts w:ascii="Arial" w:cs="Arial" w:eastAsia="Arial" w:hAnsi="Arial"/>
          <w:sz w:val="18"/>
          <w:szCs w:val="18"/>
          <w:color w:val="auto"/>
        </w:rPr>
        <w:t>. Section 1.1 (Defined Terms) of the Credit Agreement is hereby amended by inserting the following defined term in the appropriate alphabetical order therein:</w:t>
      </w:r>
    </w:p>
    <w:p>
      <w:pPr>
        <w:spacing w:after="0" w:line="51"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Reserve Letter Agreement</w:t>
      </w:r>
      <w:r>
        <w:rPr>
          <w:rFonts w:ascii="Arial" w:cs="Arial" w:eastAsia="Arial" w:hAnsi="Arial"/>
          <w:sz w:val="18"/>
          <w:szCs w:val="18"/>
          <w:color w:val="auto"/>
        </w:rPr>
        <w:t>”: the letter agreement dated June 30, 2009, from Holdings and Lazard &amp; Co., Holdings Limited to the Staff Pension Trustees and the Directors’ Pension Trustees (in each case as defined therein), in respect of reserves to be retained by Lazard &amp; Co., Holdings Limited, Lazard &amp; Co., Limited and Lazard &amp; Co., Services Limited for certain pension obligations, and as such letter agreement is further amended, restated, modified, supplemented or replaced from time to time, in each case with respect to the same or similar such reserves.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Amendments to Section 7.3 (Limitation on Liens)</w:t>
      </w:r>
      <w:r>
        <w:rPr>
          <w:rFonts w:ascii="Arial" w:cs="Arial" w:eastAsia="Arial" w:hAnsi="Arial"/>
          <w:sz w:val="18"/>
          <w:szCs w:val="18"/>
          <w:color w:val="auto"/>
        </w:rPr>
        <w:t>. Section 7.3 of the Credit Agreement is hereby amended by:</w:t>
      </w:r>
    </w:p>
    <w:p>
      <w:pPr>
        <w:spacing w:after="0" w:line="90" w:lineRule="exact"/>
        <w:rPr>
          <w:sz w:val="20"/>
          <w:szCs w:val="20"/>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deleting the word “and” at the end of clause 7.3(m);</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relabeling clause Section 7.3(n), “Section 7.3(o)”; and</w:t>
      </w:r>
    </w:p>
    <w:p>
      <w:pPr>
        <w:sectPr>
          <w:pgSz w:w="11900" w:h="16838" w:orient="portrait"/>
          <w:cols w:equalWidth="0" w:num="1">
            <w:col w:w="11420"/>
          </w:cols>
          <w:pgMar w:left="240" w:top="125" w:right="239" w:bottom="1440" w:gutter="0" w:footer="0" w:header="0"/>
        </w:sectPr>
      </w:pPr>
    </w:p>
    <w:bookmarkStart w:id="75" w:name="page76"/>
    <w:bookmarkEnd w:id="75"/>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inserting the following new clause immediately after Section 7.3(m):</w:t>
      </w:r>
    </w:p>
    <w:p>
      <w:pPr>
        <w:spacing w:after="0" w:line="90" w:lineRule="exact"/>
        <w:rPr>
          <w:sz w:val="20"/>
          <w:szCs w:val="20"/>
          <w:color w:val="auto"/>
        </w:rPr>
      </w:pPr>
    </w:p>
    <w:p>
      <w:pPr>
        <w:ind w:left="1940" w:right="120" w:firstLine="8"/>
        <w:spacing w:after="0" w:line="357" w:lineRule="auto"/>
        <w:tabs>
          <w:tab w:leader="none" w:pos="2189"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Liens on deposit accounts and securities accounts to secure certain pension obligations of Lazard &amp; Co., Services Limited,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aggregate amount of assets in the accounts subject to such Liens shall not exceed £15,000,000 at any one time; and</w:t>
      </w:r>
    </w:p>
    <w:p>
      <w:pPr>
        <w:ind w:left="460" w:right="20" w:firstLine="438"/>
        <w:spacing w:after="0" w:line="255" w:lineRule="auto"/>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Amendments to Section 7.7 (Clauses Restricting Subsidiary Distributions)</w:t>
      </w:r>
      <w:r>
        <w:rPr>
          <w:rFonts w:ascii="Arial" w:cs="Arial" w:eastAsia="Arial" w:hAnsi="Arial"/>
          <w:sz w:val="18"/>
          <w:szCs w:val="18"/>
          <w:color w:val="auto"/>
        </w:rPr>
        <w:t xml:space="preserve">. Section 7.7 of the Credit Agreement is hereby amended by deleting the word “and” directly preceding romanette (vi) and by inserting “, and (vii) restrictions and conditions imposed by the Pension Reserve Letter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are limited to distributable reserves to be retained by Lazard &amp; Co., Holdings Limited, Lazard &amp; Co., Limited and Lazard &amp; Co., Services Limited with an aggregate value not in excess of £18,000,000 at any one time” after the words “assignment thereof” at the end of the paragraph.</w:t>
      </w:r>
    </w:p>
    <w:p>
      <w:pPr>
        <w:spacing w:after="0" w:line="143"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Company represents and warrants to the Administrative Agent and the Banks that after giving effect to this Amendment (a) the representations and warranties set forth in Article 4 of the Credit Agreement are true and correct in all material respects on the date hereof as if made on and as of the date hereof (or, if any representation or warranty is expressly stated to have been made as of a specific date, such representation or warranty shall be true and correct in all material respects as of such specific date) and (b) no Default or Event of Default has occurred and is continuing.</w:t>
      </w:r>
    </w:p>
    <w:p>
      <w:pPr>
        <w:spacing w:after="0" w:line="9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amendments set forth in Section 2 hereof shall each become effective on the date this Amendment shall have been duly executed and delivered by the Company, the Administrative Agent and the Required Lenders.</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Company agrees to pay the reasonable costs and expenses of the Administrative Agent in connection with this Amendment as provided in Section 12.5(a) of the Credit Agreement.</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Miscellaneous</w:t>
      </w:r>
      <w:r>
        <w:rPr>
          <w:rFonts w:ascii="Arial" w:cs="Arial" w:eastAsia="Arial" w:hAnsi="Arial"/>
          <w:sz w:val="18"/>
          <w:szCs w:val="18"/>
          <w:color w:val="auto"/>
        </w:rPr>
        <w:t>. Except as herein provided, the Credit Agreement shall remain unchanged and in full force and effect. This Amendment may be executed in any number of counterparts and by different parties hereto in separate counterparts, each of which when so executed shall be deemed to be an original and both of which taken together shall constitute one and the same agreement. Delivery of an executed counterpart of a signature page to this Amendment by electronic transmission shall be effective as delivery of a manually executed counterpart of this Amendment. This Amendment shall be governed by, and construed in accordance with, the law of the State of New York.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the page intentionally left blank.</w:t>
      </w:r>
      <w:r>
        <w:rPr>
          <w:rFonts w:ascii="Arial" w:cs="Arial" w:eastAsia="Arial" w:hAnsi="Arial"/>
          <w:sz w:val="18"/>
          <w:szCs w:val="18"/>
          <w:color w:val="auto"/>
        </w:rPr>
        <w:t>]</w:t>
      </w:r>
    </w:p>
    <w:p>
      <w:pPr>
        <w:sectPr>
          <w:pgSz w:w="11900" w:h="16838" w:orient="portrait"/>
          <w:cols w:equalWidth="0" w:num="1">
            <w:col w:w="11380"/>
          </w:cols>
          <w:pgMar w:left="240" w:top="280" w:right="279" w:bottom="1440" w:gutter="0" w:footer="0" w:header="0"/>
        </w:sectPr>
      </w:pPr>
    </w:p>
    <w:bookmarkStart w:id="76" w:name="page77"/>
    <w:bookmarkEnd w:id="76"/>
    <w:p>
      <w:pPr>
        <w:ind w:right="4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and delivered in New York, New York by their proper and duly authorized officers as of the date first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LAZARD GROUP LLC</w:t>
      </w:r>
    </w:p>
    <w:p>
      <w:pPr>
        <w:spacing w:after="0" w:line="231" w:lineRule="exact"/>
        <w:rPr>
          <w:sz w:val="20"/>
          <w:szCs w:val="20"/>
          <w:color w:val="auto"/>
        </w:rPr>
      </w:pPr>
    </w:p>
    <w:tbl>
      <w:tblPr>
        <w:tblLayout w:type="fixed"/>
        <w:tblInd w:w="4360" w:type="dxa"/>
        <w:tblCellMar>
          <w:top w:w="0" w:type="dxa"/>
          <w:left w:w="0" w:type="dxa"/>
          <w:bottom w:w="0" w:type="dxa"/>
          <w:right w:w="0" w:type="dxa"/>
        </w:tblCellMar>
      </w:tblPr>
      <w:tr>
        <w:trPr>
          <w:trHeight w:val="222"/>
        </w:trPr>
        <w:tc>
          <w:tcPr>
            <w:tcW w:w="3080" w:type="dxa"/>
            <w:vAlign w:val="bottom"/>
          </w:tcPr>
          <w:p>
            <w:pPr>
              <w:ind w:left="25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Matthieu Bucaille</w:t>
            </w:r>
          </w:p>
        </w:tc>
      </w:tr>
      <w:tr>
        <w:trPr>
          <w:trHeight w:val="217"/>
        </w:trPr>
        <w:tc>
          <w:tcPr>
            <w:tcW w:w="3080" w:type="dxa"/>
            <w:vAlign w:val="bottom"/>
          </w:tcPr>
          <w:p>
            <w:pPr>
              <w:ind w:left="250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Matthieu Bucaille</w:t>
            </w:r>
          </w:p>
        </w:tc>
      </w:tr>
      <w:tr>
        <w:trPr>
          <w:trHeight w:val="222"/>
        </w:trPr>
        <w:tc>
          <w:tcPr>
            <w:tcW w:w="3080" w:type="dxa"/>
            <w:vAlign w:val="bottom"/>
          </w:tcPr>
          <w:p>
            <w:pPr>
              <w:ind w:left="250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78"/>
        </w:trPr>
        <w:tc>
          <w:tcPr>
            <w:tcW w:w="3080" w:type="dxa"/>
            <w:vAlign w:val="bottom"/>
          </w:tcPr>
          <w:p>
            <w:pPr>
              <w:spacing w:after="0"/>
              <w:rPr>
                <w:sz w:val="20"/>
                <w:szCs w:val="20"/>
                <w:color w:val="auto"/>
              </w:rPr>
            </w:pPr>
            <w:r>
              <w:rPr>
                <w:rFonts w:ascii="Arial" w:cs="Arial" w:eastAsia="Arial" w:hAnsi="Arial"/>
                <w:sz w:val="18"/>
                <w:szCs w:val="18"/>
                <w:color w:val="auto"/>
              </w:rPr>
              <w:t>[Signature Page to Amendment No. 3]</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77" w:name="page78"/>
    <w:bookmarkEnd w:id="7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5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Maureen P. Maroney</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3]</w:t>
      </w:r>
    </w:p>
    <w:p>
      <w:pPr>
        <w:sectPr>
          <w:pgSz w:w="11900" w:h="16838" w:orient="portrait"/>
          <w:cols w:equalWidth="0" w:num="1">
            <w:col w:w="9019"/>
          </w:cols>
          <w:pgMar w:left="1440" w:top="274" w:right="1440" w:bottom="1440" w:gutter="0" w:footer="0" w:header="0"/>
        </w:sectPr>
      </w:pPr>
    </w:p>
    <w:bookmarkStart w:id="78" w:name="page79"/>
    <w:bookmarkEnd w:id="7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Bank</w:t>
      </w:r>
    </w:p>
    <w:p>
      <w:pPr>
        <w:spacing w:after="0" w:line="219"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T. Daley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10795</wp:posOffset>
            </wp:positionV>
            <wp:extent cx="24612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8"/>
          <w:szCs w:val="18"/>
          <w:color w:val="auto"/>
        </w:rPr>
        <w:t>Name:</w:t>
        <w:tab/>
        <w:t>John T. Daley</w:t>
      </w:r>
    </w:p>
    <w:p>
      <w:pPr>
        <w:spacing w:after="0" w:line="15"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6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 Page to Amendment No. 3]</w:t>
      </w:r>
    </w:p>
    <w:p>
      <w:pPr>
        <w:sectPr>
          <w:pgSz w:w="11900" w:h="16838" w:orient="portrait"/>
          <w:cols w:equalWidth="0" w:num="1">
            <w:col w:w="9520"/>
          </w:cols>
          <w:pgMar w:left="1440" w:top="274" w:right="939" w:bottom="1440" w:gutter="0" w:footer="0" w:header="0"/>
        </w:sectPr>
      </w:pPr>
    </w:p>
    <w:bookmarkStart w:id="79" w:name="page80"/>
    <w:bookmarkEnd w:id="79"/>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Bank</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Thomas Caruso</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to Amendment No. 3]</w:t>
      </w:r>
    </w:p>
    <w:p>
      <w:pPr>
        <w:sectPr>
          <w:pgSz w:w="11900" w:h="16838" w:orient="portrait"/>
          <w:cols w:equalWidth="0" w:num="1">
            <w:col w:w="9019"/>
          </w:cols>
          <w:pgMar w:left="1440" w:top="274"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10.52</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STOCK UNIT</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RESTRICTED STOCK AGREEMENT</w:t>
      </w:r>
    </w:p>
    <w:p>
      <w:pPr>
        <w:spacing w:after="0" w:line="18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LAZARD LTD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as of</w:t>
      </w:r>
    </w:p>
    <w:p>
      <w:pPr>
        <w:sectPr>
          <w:pgSz w:w="11900" w:h="16838" w:orient="portrait"/>
          <w:cols w:equalWidth="0" w:num="1">
            <w:col w:w="10220"/>
          </w:cols>
          <w:pgMar w:left="1440" w:top="125"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2"/>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93"/>
              </w:rPr>
              <w:t>TABLE OF CONTENTS</w:t>
            </w:r>
          </w:p>
        </w:tc>
        <w:tc>
          <w:tcPr>
            <w:tcW w:w="260" w:type="dxa"/>
            <w:vAlign w:val="bottom"/>
          </w:tcPr>
          <w:p>
            <w:pPr>
              <w:spacing w:after="0"/>
              <w:rPr>
                <w:sz w:val="19"/>
                <w:szCs w:val="19"/>
                <w:color w:val="auto"/>
              </w:rPr>
            </w:pPr>
          </w:p>
        </w:tc>
      </w:tr>
      <w:tr>
        <w:trPr>
          <w:trHeight w:val="353"/>
        </w:trPr>
        <w:tc>
          <w:tcPr>
            <w:tcW w:w="110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410"/>
        </w:trPr>
        <w:tc>
          <w:tcPr>
            <w:tcW w:w="11060" w:type="dxa"/>
            <w:vAlign w:val="bottom"/>
          </w:tcPr>
          <w:p>
            <w:pPr>
              <w:ind w:left="4900"/>
              <w:spacing w:after="0"/>
              <w:rPr>
                <w:sz w:val="20"/>
                <w:szCs w:val="20"/>
                <w:color w:val="auto"/>
              </w:rPr>
            </w:pPr>
            <w:r>
              <w:rPr>
                <w:rFonts w:ascii="Arial" w:cs="Arial" w:eastAsia="Arial" w:hAnsi="Arial"/>
                <w:sz w:val="18"/>
                <w:szCs w:val="18"/>
                <w:color w:val="auto"/>
              </w:rPr>
              <w:t>ARTICLE I</w:t>
            </w:r>
          </w:p>
        </w:tc>
        <w:tc>
          <w:tcPr>
            <w:tcW w:w="260" w:type="dxa"/>
            <w:vAlign w:val="bottom"/>
          </w:tcPr>
          <w:p>
            <w:pPr>
              <w:spacing w:after="0"/>
              <w:rPr>
                <w:sz w:val="24"/>
                <w:szCs w:val="24"/>
                <w:color w:val="auto"/>
              </w:rPr>
            </w:pPr>
          </w:p>
        </w:tc>
      </w:tr>
      <w:tr>
        <w:trPr>
          <w:trHeight w:val="432"/>
        </w:trPr>
        <w:tc>
          <w:tcPr>
            <w:tcW w:w="11060" w:type="dxa"/>
            <w:vAlign w:val="bottom"/>
          </w:tcPr>
          <w:p>
            <w:pPr>
              <w:ind w:left="4900"/>
              <w:spacing w:after="0"/>
              <w:rPr>
                <w:sz w:val="20"/>
                <w:szCs w:val="20"/>
                <w:color w:val="auto"/>
              </w:rPr>
            </w:pPr>
            <w:r>
              <w:rPr>
                <w:rFonts w:ascii="Arial" w:cs="Arial" w:eastAsia="Arial" w:hAnsi="Arial"/>
                <w:sz w:val="18"/>
                <w:szCs w:val="18"/>
                <w:color w:val="auto"/>
              </w:rPr>
              <w:t>Stock Units</w:t>
            </w:r>
          </w:p>
        </w:tc>
        <w:tc>
          <w:tcPr>
            <w:tcW w:w="260" w:type="dxa"/>
            <w:vAlign w:val="bottom"/>
          </w:tcPr>
          <w:p>
            <w:pPr>
              <w:spacing w:after="0"/>
              <w:rPr>
                <w:sz w:val="24"/>
                <w:szCs w:val="24"/>
                <w:color w:val="auto"/>
              </w:rPr>
            </w:pPr>
          </w:p>
        </w:tc>
      </w:tr>
      <w:tr>
        <w:trPr>
          <w:trHeight w:val="426"/>
        </w:trPr>
        <w:tc>
          <w:tcPr>
            <w:tcW w:w="11060" w:type="dxa"/>
            <w:vAlign w:val="bottom"/>
          </w:tcPr>
          <w:p>
            <w:pPr>
              <w:spacing w:after="0"/>
              <w:rPr>
                <w:sz w:val="20"/>
                <w:szCs w:val="20"/>
                <w:color w:val="auto"/>
              </w:rPr>
            </w:pPr>
            <w:r>
              <w:rPr>
                <w:rFonts w:ascii="Arial" w:cs="Arial" w:eastAsia="Arial" w:hAnsi="Arial"/>
                <w:sz w:val="18"/>
                <w:szCs w:val="18"/>
                <w:color w:val="auto"/>
              </w:rPr>
              <w:t>SECTION 1.01. Grant and Vesting of Stock Units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1.02. Settlement of Units; Restrictions on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1.03. Nontransferability of Stock Units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1.04. Dividends, Dividend Equivalents, Rights as a Shareholder</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1.05. Payment of Transfer Taxes, Fees and Other Expenses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11060" w:type="dxa"/>
            <w:vAlign w:val="bottom"/>
          </w:tcPr>
          <w:p>
            <w:pPr>
              <w:spacing w:after="0"/>
              <w:rPr>
                <w:sz w:val="20"/>
                <w:szCs w:val="20"/>
                <w:color w:val="auto"/>
              </w:rPr>
            </w:pPr>
            <w:r>
              <w:rPr>
                <w:rFonts w:ascii="Arial" w:cs="Arial" w:eastAsia="Arial" w:hAnsi="Arial"/>
                <w:sz w:val="18"/>
                <w:szCs w:val="18"/>
                <w:color w:val="auto"/>
              </w:rPr>
              <w:t>SECTION 1.06. Taxes and Withholding</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8"/>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98"/>
              </w:rPr>
              <w:t>ARTICLE II</w:t>
            </w:r>
          </w:p>
        </w:tc>
        <w:tc>
          <w:tcPr>
            <w:tcW w:w="260" w:type="dxa"/>
            <w:vAlign w:val="bottom"/>
          </w:tcPr>
          <w:p>
            <w:pPr>
              <w:spacing w:after="0"/>
              <w:rPr>
                <w:sz w:val="24"/>
                <w:szCs w:val="24"/>
                <w:color w:val="auto"/>
              </w:rPr>
            </w:pPr>
          </w:p>
        </w:tc>
      </w:tr>
      <w:tr>
        <w:trPr>
          <w:trHeight w:val="378"/>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85"/>
              </w:rPr>
              <w:t>Restricted Shares</w:t>
            </w:r>
          </w:p>
        </w:tc>
        <w:tc>
          <w:tcPr>
            <w:tcW w:w="260" w:type="dxa"/>
            <w:vAlign w:val="bottom"/>
          </w:tcPr>
          <w:p>
            <w:pPr>
              <w:spacing w:after="0"/>
              <w:rPr>
                <w:sz w:val="24"/>
                <w:szCs w:val="24"/>
                <w:color w:val="auto"/>
              </w:rPr>
            </w:pPr>
          </w:p>
        </w:tc>
      </w:tr>
      <w:tr>
        <w:trPr>
          <w:trHeight w:val="412"/>
        </w:trPr>
        <w:tc>
          <w:tcPr>
            <w:tcW w:w="11060" w:type="dxa"/>
            <w:vAlign w:val="bottom"/>
          </w:tcPr>
          <w:p>
            <w:pPr>
              <w:spacing w:after="0"/>
              <w:rPr>
                <w:sz w:val="20"/>
                <w:szCs w:val="20"/>
                <w:color w:val="auto"/>
              </w:rPr>
            </w:pPr>
            <w:r>
              <w:rPr>
                <w:rFonts w:ascii="Arial" w:cs="Arial" w:eastAsia="Arial" w:hAnsi="Arial"/>
                <w:sz w:val="18"/>
                <w:szCs w:val="18"/>
                <w:color w:val="auto"/>
              </w:rPr>
              <w:t>SECTION 2.01. Issuance and Vesting of Restricted Shares; Tax Issues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2.02. Delivery of Certificates or Book Entry Credits; Restrictions on Remaining Restricted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2.03. Nontransferability of Remaining Restricted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2.04. Dividends, Rights as a Shareholder</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2.05. Disgorgement of Tax Benefits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11060" w:type="dxa"/>
            <w:vAlign w:val="bottom"/>
          </w:tcPr>
          <w:p>
            <w:pPr>
              <w:spacing w:after="0"/>
              <w:rPr>
                <w:sz w:val="20"/>
                <w:szCs w:val="20"/>
                <w:color w:val="auto"/>
              </w:rPr>
            </w:pPr>
            <w:r>
              <w:rPr>
                <w:rFonts w:ascii="Arial" w:cs="Arial" w:eastAsia="Arial" w:hAnsi="Arial"/>
                <w:sz w:val="18"/>
                <w:szCs w:val="18"/>
                <w:color w:val="auto"/>
              </w:rPr>
              <w:t>SECTION 2.06. Qualifying Termination</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78"/>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97"/>
              </w:rPr>
              <w:t>ARTICLE III</w:t>
            </w:r>
          </w:p>
        </w:tc>
        <w:tc>
          <w:tcPr>
            <w:tcW w:w="260" w:type="dxa"/>
            <w:vAlign w:val="bottom"/>
          </w:tcPr>
          <w:p>
            <w:pPr>
              <w:spacing w:after="0"/>
              <w:rPr>
                <w:sz w:val="24"/>
                <w:szCs w:val="24"/>
                <w:color w:val="auto"/>
              </w:rPr>
            </w:pPr>
          </w:p>
        </w:tc>
      </w:tr>
      <w:tr>
        <w:trPr>
          <w:trHeight w:val="378"/>
        </w:trPr>
        <w:tc>
          <w:tcPr>
            <w:tcW w:w="11060" w:type="dxa"/>
            <w:vAlign w:val="bottom"/>
          </w:tcPr>
          <w:p>
            <w:pPr>
              <w:jc w:val="center"/>
              <w:ind w:left="272"/>
              <w:spacing w:after="0"/>
              <w:rPr>
                <w:sz w:val="20"/>
                <w:szCs w:val="20"/>
                <w:color w:val="auto"/>
              </w:rPr>
            </w:pPr>
            <w:r>
              <w:rPr>
                <w:rFonts w:ascii="Arial" w:cs="Arial" w:eastAsia="Arial" w:hAnsi="Arial"/>
                <w:sz w:val="18"/>
                <w:szCs w:val="18"/>
                <w:color w:val="auto"/>
                <w:w w:val="88"/>
              </w:rPr>
              <w:t>General Provisions</w:t>
            </w:r>
          </w:p>
        </w:tc>
        <w:tc>
          <w:tcPr>
            <w:tcW w:w="260" w:type="dxa"/>
            <w:vAlign w:val="bottom"/>
          </w:tcPr>
          <w:p>
            <w:pPr>
              <w:spacing w:after="0"/>
              <w:rPr>
                <w:sz w:val="24"/>
                <w:szCs w:val="24"/>
                <w:color w:val="auto"/>
              </w:rPr>
            </w:pPr>
          </w:p>
        </w:tc>
      </w:tr>
      <w:tr>
        <w:trPr>
          <w:trHeight w:val="412"/>
        </w:trPr>
        <w:tc>
          <w:tcPr>
            <w:tcW w:w="11060" w:type="dxa"/>
            <w:vAlign w:val="bottom"/>
          </w:tcPr>
          <w:p>
            <w:pPr>
              <w:spacing w:after="0"/>
              <w:rPr>
                <w:sz w:val="20"/>
                <w:szCs w:val="20"/>
                <w:color w:val="auto"/>
              </w:rPr>
            </w:pPr>
            <w:r>
              <w:rPr>
                <w:rFonts w:ascii="Arial" w:cs="Arial" w:eastAsia="Arial" w:hAnsi="Arial"/>
                <w:sz w:val="18"/>
                <w:szCs w:val="18"/>
                <w:color w:val="auto"/>
              </w:rPr>
              <w:t>SECTION 3.01. Effect of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3.02. Laws Applicable to Construction; Consent to Jurisdiction</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3.03. Conflicts and Interpretation</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3.04. Amendment</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3.05. Sections 409A and 457A of the Code</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SECTION 3.06. Headings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11060" w:type="dxa"/>
            <w:vAlign w:val="bottom"/>
          </w:tcPr>
          <w:p>
            <w:pPr>
              <w:spacing w:after="0"/>
              <w:rPr>
                <w:sz w:val="20"/>
                <w:szCs w:val="20"/>
                <w:color w:val="auto"/>
              </w:rPr>
            </w:pPr>
            <w:r>
              <w:rPr>
                <w:rFonts w:ascii="Arial" w:cs="Arial" w:eastAsia="Arial" w:hAnsi="Arial"/>
                <w:sz w:val="18"/>
                <w:szCs w:val="18"/>
                <w:color w:val="auto"/>
              </w:rPr>
              <w:t>SECTION 3.07. Counterparts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bl>
    <w:p>
      <w:pPr>
        <w:jc w:val="right"/>
        <w:spacing w:after="0"/>
        <w:rPr>
          <w:sz w:val="20"/>
          <w:szCs w:val="20"/>
          <w:color w:val="auto"/>
        </w:rPr>
        <w:sectPr>
          <w:pgSz w:w="11900" w:h="16838" w:orient="portrait"/>
          <w:cols w:equalWidth="0" w:num="1">
            <w:col w:w="11320"/>
          </w:cols>
          <w:pgMar w:left="240" w:top="28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document constitutes part of a prospectus covering securities that have been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registered under the Securities Act of 1933.</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UNIT AGREEMENT AND RESTRICTED STOCK AGREEMENT</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STOCK UNIT AGREEMENT AND RESTRICTED STOCK AGREEMENT dated as of , between Lazard Ltd, a Bermuda exempted company (the “Company”), on behalf of its applicable Affiliate (as defined under the definitional rules of Section 1.01(a) below), and (the “Employee”).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171"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In consideration of the mutual promises and covenants made herein and the mutual benefits to be derived herefrom, the parties hereto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Stock Units</w:t>
      </w:r>
    </w:p>
    <w:p>
      <w:pPr>
        <w:spacing w:after="0" w:line="171" w:lineRule="exact"/>
        <w:rPr>
          <w:sz w:val="20"/>
          <w:szCs w:val="20"/>
          <w:color w:val="auto"/>
        </w:rPr>
      </w:pPr>
    </w:p>
    <w:p>
      <w:pPr>
        <w:ind w:right="20" w:firstLine="913"/>
        <w:spacing w:after="0" w:line="305"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Grant and Vesting of Stock Units.</w:t>
      </w:r>
      <w:r>
        <w:rPr>
          <w:rFonts w:ascii="Arial" w:cs="Arial" w:eastAsia="Arial" w:hAnsi="Arial"/>
          <w:sz w:val="15"/>
          <w:szCs w:val="15"/>
          <w:color w:val="auto"/>
        </w:rPr>
        <w:t xml:space="preserve"> (a) Subject to the provisions of this Agreement and to the provisions of the Company’s 2008 Incentive Compensation Plan (the “Plan”) (all capitalized terms used herein, to the extent not defined, shall have the meaning set forth in the Plan), the Company,</w:t>
      </w:r>
    </w:p>
    <w:p>
      <w:pPr>
        <w:ind w:right="20"/>
        <w:spacing w:after="0" w:line="261" w:lineRule="auto"/>
        <w:rPr>
          <w:sz w:val="20"/>
          <w:szCs w:val="20"/>
          <w:color w:val="auto"/>
        </w:rPr>
      </w:pPr>
      <w:r>
        <w:rPr>
          <w:rFonts w:ascii="Arial" w:cs="Arial" w:eastAsia="Arial" w:hAnsi="Arial"/>
          <w:sz w:val="18"/>
          <w:szCs w:val="18"/>
          <w:color w:val="auto"/>
        </w:rPr>
        <w:t>on behalf of its applicable Affiliate, hereby grants to the Employee, as of (the “Grant Date”), Stock Units (the “Stock Units”), each with respect to one Share.</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(b) Subject to the terms and conditions of this Agreement and to the provisions of the Plan, the Stock Units shall vest and no longer be subject to any</w:t>
      </w:r>
    </w:p>
    <w:p>
      <w:pPr>
        <w:spacing w:after="0" w:line="5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restriction (such period during which restrictions apply to the Stock Units is the “Restriction Period”) in accordance with the following schedule: of the Stock Units shall vest on and of the Stock Units shall vest on . Each of and is referred to herein, as applicable, as the “Vesting Date”.</w:t>
      </w:r>
    </w:p>
    <w:p>
      <w:pPr>
        <w:spacing w:after="0" w:line="354" w:lineRule="exact"/>
        <w:rPr>
          <w:sz w:val="20"/>
          <w:szCs w:val="20"/>
          <w:color w:val="auto"/>
        </w:rPr>
      </w:pPr>
    </w:p>
    <w:p>
      <w:pPr>
        <w:ind w:right="20" w:firstLine="921"/>
        <w:spacing w:after="0" w:line="298" w:lineRule="auto"/>
        <w:tabs>
          <w:tab w:leader="none" w:pos="11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event that the Employee incurs a Termination of Employment during the applicable Restriction Period for any reason not set forth in Section 1.01(d) or Section 2.01(f), all unvested Stock Units shall be forfeited by the Employee effective immediately upon such Termination of Employment. For purposes of this Section 1.01(c), the Employee will be deemed to have incurred a Termination of Employment on the date that the Employee provides notice of termination to the Company, and accordingly, all unvested Stock Units shall be forfeited by the Employee immediately upon delivery of any such notice.</w:t>
      </w:r>
    </w:p>
    <w:p>
      <w:pPr>
        <w:spacing w:after="0" w:line="112" w:lineRule="exact"/>
        <w:rPr>
          <w:rFonts w:ascii="Arial" w:cs="Arial" w:eastAsia="Arial" w:hAnsi="Arial"/>
          <w:sz w:val="16"/>
          <w:szCs w:val="16"/>
          <w:color w:val="auto"/>
        </w:rPr>
      </w:pPr>
    </w:p>
    <w:p>
      <w:pPr>
        <w:jc w:val="both"/>
        <w:ind w:right="20" w:firstLine="921"/>
        <w:spacing w:after="0" w:line="298" w:lineRule="auto"/>
        <w:tabs>
          <w:tab w:leader="none" w:pos="116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 In the event that the Employee incurs a Termination of Employment during the applicable Restriction Period due to the Employee’s Disability or due to a Termination of Employment by the Company other than for Cause (each, a “Qualifying Termination”), subject to Section 1.01(e) and Section 1.02, all Shares underlying the Employee’s Stock Units shall be delivered to the Employee within 30 days following the date that the Employee is no longer required to perform any additional services in order to retain such Stock Units (the date that such Shares are delivered to the Employee is the “Initial Delivery Date”).</w:t>
      </w:r>
    </w:p>
    <w:p>
      <w:pPr>
        <w:sectPr>
          <w:pgSz w:w="11900" w:h="16838" w:orient="portrait"/>
          <w:cols w:equalWidth="0" w:num="1">
            <w:col w:w="11380"/>
          </w:cols>
          <w:pgMar w:left="240" w:top="274" w:right="279" w:bottom="1440" w:gutter="0" w:footer="0" w:header="0"/>
        </w:sectPr>
      </w:pPr>
    </w:p>
    <w:bookmarkStart w:id="83" w:name="page84"/>
    <w:bookmarkEnd w:id="8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approval of the Compliance Department of the Company or an Affiliate, the Employee will be permitted to dispose of 50% of the Shares (such Shares, the “Transferable Shares”) delivered to the Employee pursuant to the preceding sentence immediately following the date that such Shares are delivered to the Employee. All Shares underlying the Employee’s Stock Units following the Initial Delivery Date that are not Transferable Shares (such Shares, the “Remaining Shares”), will remain subject to the restrictions set forth in this Agreement until the earlier of the applicable Vesting Date and the date that the Stock Units would have become vested in accordance with Section 1.01(d)(ii) or 1.01(f) (such date, the “Final Delivery Date”). Accordingly, prior to the relevant Final Delivery Date, neither the Employee nor any of the Employee’s creditors or beneficiaries will have the right to subject the Remaining Shares to any anticipation, alienation, sale, transfer, assignment, pledge, encumbrance, hedge, exchange, attachment or garnishment or any similar transaction. Furthermore, for the avoidance of doubt, the Remaining Shares shall continue to be subject to the forfeiture provisions set forth in this Agreement (including, without limitation, those relating to violation of the Restrictive Covenants) until the applicable Final Delivery Date.</w:t>
      </w:r>
    </w:p>
    <w:p>
      <w:pPr>
        <w:spacing w:after="0" w:line="120" w:lineRule="exact"/>
        <w:rPr>
          <w:sz w:val="20"/>
          <w:szCs w:val="20"/>
          <w:color w:val="auto"/>
        </w:rPr>
      </w:pPr>
    </w:p>
    <w:p>
      <w:pPr>
        <w:jc w:val="both"/>
        <w:ind w:right="280" w:firstLine="921"/>
        <w:spacing w:after="0" w:line="335" w:lineRule="auto"/>
        <w:tabs>
          <w:tab w:leader="none" w:pos="1171"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 the event that the Employee incurs a Termination of Employment during the applicable Restriction Period due to the Employee’s death or, subject to Section 1.01(e), dies during the applicable Restriction Period subsequent to a Termination of Employment described in Section 1.01(d)(i), all Stock Units shall remain outstanding and vest and be settled within 30 days following the first to occur of (x) the applicable Vesting Date and (y) the date of death.</w:t>
      </w:r>
    </w:p>
    <w:p>
      <w:pPr>
        <w:spacing w:after="0" w:line="88" w:lineRule="exact"/>
        <w:rPr>
          <w:sz w:val="20"/>
          <w:szCs w:val="20"/>
          <w:color w:val="auto"/>
        </w:rPr>
      </w:pPr>
    </w:p>
    <w:p>
      <w:pPr>
        <w:ind w:right="20" w:firstLine="921"/>
        <w:spacing w:after="0" w:line="268" w:lineRule="auto"/>
        <w:tabs>
          <w:tab w:leader="none" w:pos="11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that the Employee violates any of the provisions of Appendix A, which is incorporated herein by reference, all outstanding vested or unvested Stock Units and, if applicable, all Remaining Shares, shall be forfeited and canceled.</w:t>
      </w:r>
    </w:p>
    <w:p>
      <w:pPr>
        <w:spacing w:after="0" w:line="131" w:lineRule="exact"/>
        <w:rPr>
          <w:rFonts w:ascii="Arial" w:cs="Arial" w:eastAsia="Arial" w:hAnsi="Arial"/>
          <w:sz w:val="18"/>
          <w:szCs w:val="18"/>
          <w:color w:val="auto"/>
        </w:rPr>
      </w:pPr>
    </w:p>
    <w:p>
      <w:pPr>
        <w:ind w:right="160" w:firstLine="921"/>
        <w:spacing w:after="0" w:line="332" w:lineRule="auto"/>
        <w:tabs>
          <w:tab w:leader="none" w:pos="1132"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Notwithstanding the foregoing, in the event of a Change in Control, any unvested but outstanding Stock Units shall automatically vest as of the date of such Change in Control and shall be settled within 30 days following the date of such Change in Control in accordance with Section 1.02.</w:t>
      </w:r>
    </w:p>
    <w:p>
      <w:pPr>
        <w:spacing w:after="0" w:line="8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Settlement of Units; Restrictions on Shares.</w:t>
      </w:r>
      <w:r>
        <w:rPr>
          <w:rFonts w:ascii="Arial" w:cs="Arial" w:eastAsia="Arial" w:hAnsi="Arial"/>
          <w:sz w:val="16"/>
          <w:szCs w:val="16"/>
          <w:color w:val="auto"/>
        </w:rPr>
        <w:t xml:space="preserve"> As soon as practicable (but in no event more than 30 days) after any Stock Unit has vested and is no longer subject to the applicable Restriction Period, the Company shall, subject to Section 1.01(d) and Section 1.06, cause its applicable Affiliate to deliver to the Employee one or more unlegended, freely-transferable stock certificates or book entry credits in respect of such Shares issued upon settlement of the vested Stock Units. Notwithstanding the foregoing, (i) the Company shall be entitled to hold the Shares or cash issuable upon settlement of Stock Units that have vested until the Company shall have received from the Employee a duly executed Form W-9 or W-8, as applicable, and (ii) any certificate or book entry credit issued or entered in respect of the Remaining Shares shall be registered in the Employee’s name and shall bear an appropriate legend referring to the terms, conditions and restrictions applicable to the Remaining Shares, substantially in the following form:</w:t>
      </w:r>
    </w:p>
    <w:p>
      <w:pPr>
        <w:spacing w:after="0" w:line="37"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“The transferability of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84" w:name="page85"/>
    <w:bookmarkEnd w:id="84"/>
    <w:p>
      <w:pPr>
        <w:ind w:right="12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require that the certificates or book entry credits evidencing title of the Remaining Shares be held in custody by the Company until the restrictions thereon shall have lapsed and that, as a condition of receiving the Remaining Shares, the Employee shall have delivered to the Company a stock power, endorsed in blank, relating to such Remaining Shares. If and when the applicable Final Delivery Date occurs with respect to the Remaining Shares, the legend set forth shall be removed from the certificates or book entry credits evidencing such Shares.</w:t>
      </w:r>
    </w:p>
    <w:p>
      <w:pPr>
        <w:spacing w:after="0" w:line="113" w:lineRule="exact"/>
        <w:rPr>
          <w:sz w:val="20"/>
          <w:szCs w:val="20"/>
          <w:color w:val="auto"/>
        </w:rPr>
      </w:pPr>
    </w:p>
    <w:p>
      <w:pPr>
        <w:jc w:val="both"/>
        <w:ind w:right="320" w:firstLine="913"/>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Nontransferability of Stock Units.</w:t>
      </w:r>
      <w:r>
        <w:rPr>
          <w:rFonts w:ascii="Arial" w:cs="Arial" w:eastAsia="Arial" w:hAnsi="Arial"/>
          <w:sz w:val="18"/>
          <w:szCs w:val="18"/>
          <w:color w:val="auto"/>
        </w:rPr>
        <w:t xml:space="preserve"> During the applicable Restriction Period and until such time as the Stock Units are ultimately settled as provided in Section 1.02, the Stock Units shall not be transferable by the Employee by means of sale, assignment, exchange, encumbrance, pledge, hedge or otherwise.</w:t>
      </w:r>
    </w:p>
    <w:p>
      <w:pPr>
        <w:spacing w:after="0" w:line="14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Dividends, Dividend Equivalents, Rights as a Shareholder.</w:t>
      </w:r>
      <w:r>
        <w:rPr>
          <w:rFonts w:ascii="Arial" w:cs="Arial" w:eastAsia="Arial" w:hAnsi="Arial"/>
          <w:sz w:val="16"/>
          <w:szCs w:val="16"/>
          <w:color w:val="auto"/>
        </w:rPr>
        <w:t xml:space="preserve"> If the Company declares and pays ordinary quarterly cash dividends on the Common Stock during the applicable Restriction Period, the Employee’s outstanding Stock Units shall be credited with additional Stock Units (determined by dividing the aggregate dividend amount that would have been paid with respect to the Stock Units if they had been actual Shares by the Fair Market Value of a Share on the dividend payment date), which additional Stock Units shall vest and be settled concurrently with the underlying Stock Units and be treated as Stock Units for all purposes of this Agreement (it being understood that the provisions of this sentence shall not apply to any extraordinary dividends or distributions). Notwithstanding the foregoing, subject to Section 1.01(d)(i) and Section 1.02 and any other applicable law or agreement, from and after the Initial Delivery Date, the Employee will have all rights and privileges of a shareholder with respect to the Shares, including the right to vote the Shares and to receive dividends and other distributions with respect thereto, provided that, any dividends that are paid on the Remaining Shares prior to the applicable Final Delivery Date (whether payable in cash or in kind) will be held until the applicable Final Delivery Date by Lazard Capital Markets LLC or any other escrow agent that is subsequently designated by the Company (the “Designated Escrow Agent”), and in the event that the Remaining Shares are forfeited in accordance with Section 1.01(e), such dividends will also be forfeited.</w:t>
      </w:r>
    </w:p>
    <w:p>
      <w:pPr>
        <w:spacing w:after="0" w:line="127"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Payment of Transfer Taxes, Fees and Other Expenses.</w:t>
      </w:r>
      <w:r>
        <w:rPr>
          <w:rFonts w:ascii="Arial" w:cs="Arial" w:eastAsia="Arial" w:hAnsi="Arial"/>
          <w:sz w:val="16"/>
          <w:szCs w:val="16"/>
          <w:color w:val="auto"/>
        </w:rPr>
        <w:t xml:space="preserve"> The Company agrees, or will cause its applicable Affiliate, to pay any and all original issue taxes and stock transfer taxes that may be imposed on the issuance of Shares received by an Employee in connection with the Stock Units, together with any and all other fees and expenses necessarily incurred by the Company in connection therewith.</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Taxes and Withholding.</w:t>
      </w:r>
      <w:r>
        <w:rPr>
          <w:rFonts w:ascii="Arial" w:cs="Arial" w:eastAsia="Arial" w:hAnsi="Arial"/>
          <w:sz w:val="18"/>
          <w:szCs w:val="18"/>
          <w:color w:val="auto"/>
        </w:rPr>
        <w:t xml:space="preserve"> No later than the date as of which an amount first becomes includible in the gross income of the Employee for federal, state, local or foreign income tax purposes with respect to any Stock Units,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such amount. Except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5" w:name="page86"/>
    <w:bookmarkEnd w:id="85"/>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otherwise required by applicable law, the Company will report that the Employee will be taxed on the full value of the Shares underlying the Employee’s Stock Units on the date that the Shares (including any Remaining Shares) are delivered to the Employee pursuant to Section 1.01(d), 1.01(f) or 1.02, as applicable. The obligations of the Company under this Agreement shall be conditioned on compliance by the Employee with this Section 1.06, and the Company or its applicable Affiliate shall, to the extent permitted by law, have the right to deduct any such taxes from any payment otherwise due to the Employee, including deducting such amount from the delivery of Shares or cash issued upon settlement of the Stock Units that gives rise to the withholding requirement. Notwithstanding the foregoing, the Company may, in its sole discretion and subject to such other terms and conditions as the Company may determine, retain some or all of the Transferable Shares and have the Company or such Affiliate either (1) remit the relevant taxes on the Employee’s behalf to the appropriate taxing authorities or</w:t>
      </w:r>
    </w:p>
    <w:p>
      <w:pPr>
        <w:spacing w:after="0" w:line="5" w:lineRule="exact"/>
        <w:rPr>
          <w:sz w:val="20"/>
          <w:szCs w:val="20"/>
          <w:color w:val="auto"/>
        </w:rPr>
      </w:pPr>
    </w:p>
    <w:p>
      <w:pPr>
        <w:ind w:right="320" w:firstLine="8"/>
        <w:spacing w:after="0" w:line="302"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deposit cash equal to the value of the Shares retained by the Company or an Affiliate (as reasonably determined by the Company) into the Employee’s tax advance account. Prior to the Initial Delivery Date, the Company will notify the Employee of (i) how many Shares will be delivered to the Employee on the Initial Delivery Date and (ii) whether the Employee will be permitted to surrender any portion of the Transferable Shares to the Company or an Affiliate.</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Restricted Shares</w:t>
      </w:r>
    </w:p>
    <w:p>
      <w:pPr>
        <w:spacing w:after="0" w:line="17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Issuance and Vesting of Restricted Shares; Tax Issues.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Delivery of Restricted Shares.</w:t>
      </w:r>
      <w:r>
        <w:rPr>
          <w:rFonts w:ascii="Arial" w:cs="Arial" w:eastAsia="Arial" w:hAnsi="Arial"/>
          <w:sz w:val="16"/>
          <w:szCs w:val="16"/>
          <w:color w:val="auto"/>
        </w:rPr>
        <w:t xml:space="preserve"> In the event that the Employee, prior to the relevant Vesting Date, meets all of the following retirement eligibility requirements: (i) minimum age fifty-six (56); (ii) minimum of five (5) years of service with the Company or its Affiliates; and (iii) actual age plus years of service with the Company or its Affiliates at least seventy (70), the provisions of this Article II shall govern. As soon as practicable (but in no event more than 10 days) after the later of (A) the date that you return a signed copy of this Agreement to the Company (which must be no later than 10 days following the date of this Agreement) and (B) the date the Employee meets such retirement eligibility requirements (the later of such dates, the “Retirement Eligibility Date”), the Company shall issue one Share for each then outstanding Stock Unit to its applicable Affiliate and cause such Affiliate to deliver to the Employee one or more stock certificates or book entry credits in respect of such Shares issued upon the Employee’s eligibility to retire (such Shares, the “Restricted Shares”). The date that such Restricted Shares are issued to the Employee is hereinafter referred to as the “Retirement Eligibility Issue Date”. The Restricted Shares issued pursuant to this Section 2.01(a) will be in satisfaction of all then outstanding Stock Units granted pursuant to this Agreement, and following the Retirement Eligibility Issue, such Stock Units will no longer be outstanding.</w:t>
      </w:r>
    </w:p>
    <w:p>
      <w:pPr>
        <w:spacing w:after="0" w:line="123" w:lineRule="exact"/>
        <w:rPr>
          <w:sz w:val="20"/>
          <w:szCs w:val="20"/>
          <w:color w:val="auto"/>
        </w:rPr>
      </w:pPr>
    </w:p>
    <w:p>
      <w:pPr>
        <w:ind w:right="160" w:firstLine="921"/>
        <w:spacing w:after="0" w:line="268" w:lineRule="auto"/>
        <w:tabs>
          <w:tab w:leader="none" w:pos="116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Tax Reporting.</w:t>
      </w:r>
      <w:r>
        <w:rPr>
          <w:rFonts w:ascii="Arial" w:cs="Arial" w:eastAsia="Arial" w:hAnsi="Arial"/>
          <w:sz w:val="18"/>
          <w:szCs w:val="18"/>
          <w:color w:val="auto"/>
        </w:rPr>
        <w:t xml:space="preserve"> Except as otherwise required by applicable law, the Company will report that the Employee will be taxed on the full value of all Restricted Shares on the Retirement Eligibility Issue Date.</w:t>
      </w:r>
    </w:p>
    <w:p>
      <w:pPr>
        <w:spacing w:after="0" w:line="131" w:lineRule="exact"/>
        <w:rPr>
          <w:rFonts w:ascii="Arial" w:cs="Arial" w:eastAsia="Arial" w:hAnsi="Arial"/>
          <w:sz w:val="18"/>
          <w:szCs w:val="18"/>
          <w:color w:val="auto"/>
        </w:rPr>
      </w:pPr>
    </w:p>
    <w:p>
      <w:pPr>
        <w:ind w:right="380" w:firstLine="921"/>
        <w:spacing w:after="0" w:line="332" w:lineRule="auto"/>
        <w:tabs>
          <w:tab w:leader="none" w:pos="115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Section 83(b) Election.</w:t>
      </w:r>
      <w:r>
        <w:rPr>
          <w:rFonts w:ascii="Arial" w:cs="Arial" w:eastAsia="Arial" w:hAnsi="Arial"/>
          <w:sz w:val="16"/>
          <w:szCs w:val="16"/>
          <w:color w:val="auto"/>
        </w:rPr>
        <w:t xml:space="preserve"> The Employee agrees that the Employee will make an election to be taxed immediately on the value of all Restricted Shares (calculated without regard to the restrictions) on the Retirement Eligibility Issue Date. In order to do so, the Employee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6" w:name="page87"/>
    <w:bookmarkEnd w:id="8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 file an election with the Internal Revenue Service pursuant to Section 83(b) of the Internal Revenue Code of 1986, as amended (the “Code”), and the applicable Treasury Regulations thereunder with respect to the Restricted Shares within 30 days following the Retirement Eligibility Date, but in no event prior to Retirement Eligibility Issue Date. The Employee agrees that such Section 83(b) election will apply to all of the Restricted Shares covered by this Agreement. The Employee further agrees that the Employee will provide a copy of such Section 83(b) election to the Company not later than ten (10) days after filing the election with the Internal Revenue Service or other governmental authority.</w:t>
      </w:r>
    </w:p>
    <w:p>
      <w:pPr>
        <w:spacing w:after="0" w:line="143" w:lineRule="exact"/>
        <w:rPr>
          <w:sz w:val="20"/>
          <w:szCs w:val="20"/>
          <w:color w:val="auto"/>
        </w:rPr>
      </w:pPr>
    </w:p>
    <w:p>
      <w:pPr>
        <w:ind w:right="120" w:firstLine="921"/>
        <w:spacing w:after="0" w:line="283" w:lineRule="auto"/>
        <w:tabs>
          <w:tab w:leader="none" w:pos="116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Disposition of Shares to Pay Taxes.</w:t>
      </w:r>
      <w:r>
        <w:rPr>
          <w:rFonts w:ascii="Arial" w:cs="Arial" w:eastAsia="Arial" w:hAnsi="Arial"/>
          <w:sz w:val="16"/>
          <w:szCs w:val="16"/>
          <w:color w:val="auto"/>
        </w:rPr>
        <w:t xml:space="preserve"> (i) Subject to approval of the Compliance Department of the Company or an Affiliate, the Employee will be permitted to dispose of 50% of the Restricted Shares (such Shares, the “Transferable Restricted Shares”) issued to the Employee pursuant to Section 2.01(a) immediately following the Retirement Eligibility Issue Date. All Restricted Shares that are not Transferable Restricted Shares (such Shares, the “Remaining Restricted Shares”), will remain subject to the restrictions set forth in this Agreement until the relevant Restricted Share Delivery Date (as defined in</w:t>
      </w:r>
    </w:p>
    <w:p>
      <w:pPr>
        <w:spacing w:after="0" w:line="2" w:lineRule="exact"/>
        <w:rPr>
          <w:rFonts w:ascii="Arial" w:cs="Arial" w:eastAsia="Arial" w:hAnsi="Arial"/>
          <w:sz w:val="16"/>
          <w:szCs w:val="16"/>
          <w:color w:val="auto"/>
        </w:rPr>
      </w:pPr>
    </w:p>
    <w:p>
      <w:pPr>
        <w:ind w:right="120"/>
        <w:spacing w:after="0" w:line="295" w:lineRule="auto"/>
        <w:rPr>
          <w:rFonts w:ascii="Arial" w:cs="Arial" w:eastAsia="Arial" w:hAnsi="Arial"/>
          <w:sz w:val="16"/>
          <w:szCs w:val="16"/>
          <w:color w:val="auto"/>
        </w:rPr>
      </w:pPr>
      <w:r>
        <w:rPr>
          <w:rFonts w:ascii="Arial" w:cs="Arial" w:eastAsia="Arial" w:hAnsi="Arial"/>
          <w:sz w:val="16"/>
          <w:szCs w:val="16"/>
          <w:color w:val="auto"/>
        </w:rPr>
        <w:t>Section 2.01(g) below). Accordingly, prior to the relevant Restricted Share Delivery Date, neither the Employee nor any of the Employee’s creditors or beneficiaries shall have the right to subject the Remaining Restricted Shares to any anticipation, alienation, sale, transfer, assignment, pledge, encumbrance, hedge, exchange, attachment or garnishment or any similar transaction. For the avoidance of doubt, the Remaining Restricted Shares shall continue to be subject to the forfeiture provisions set forth in Section 2.01(g) until the relevant Restricted Share Delivery Date.</w:t>
      </w:r>
    </w:p>
    <w:p>
      <w:pPr>
        <w:spacing w:after="0" w:line="115" w:lineRule="exact"/>
        <w:rPr>
          <w:sz w:val="20"/>
          <w:szCs w:val="20"/>
          <w:color w:val="auto"/>
        </w:rPr>
      </w:pPr>
    </w:p>
    <w:p>
      <w:pPr>
        <w:ind w:firstLine="921"/>
        <w:spacing w:after="0" w:line="286" w:lineRule="auto"/>
        <w:tabs>
          <w:tab w:leader="none" w:pos="1171"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later than the earlier of (A) the Retirement Eligibility Issue Date and (B) the relevant Vesting Date, the Employee shall pay to the Company or its applicable Affiliate, or make arrangements satisfactory to the Company or its applicable Affiliate regarding the payment of, any federal, state, local and foreign taxes that are required by applicable laws and regulations to be withheld with respect to the Restricted Shares. The obligations of the Company under this Agreement shall be conditioned on compliance by the Employee with this Section 2.01(d)(ii), and the Company or its applicable Affiliate shall, to the extent permitted by law, have the right to deduct any such taxes from any payment otherwise due to the Employee. Notwithstanding the foregoing, on the Retirement Eligibility Issue Date, the Company or an Affiliate may, in the Company’s sole discretion and subject to such other terms and conditions as the Company may determine, retain some or all of the Transferable Restricted Shares and have the Company or such Affiliate either (1) remit the relevant taxes on the Employee’s behalf to the appropriate taxing authorities or (2) deposit cash equal to the value of the Shares retained by the Company or an Affiliate (as reasonably determined by the Company) into the Employee’s tax advance account. Prior to the Retirement Eligibility Issue Date, the Company will notify the Employee of (x) how many Restricted Shares will be delivered to the Employee on the Retirement Eligibility Issue Date and (y) if the Company or an Affiliate will retain any portion of the Transferable Restricted Shares.</w:t>
      </w:r>
    </w:p>
    <w:p>
      <w:pPr>
        <w:spacing w:after="0" w:line="127" w:lineRule="exact"/>
        <w:rPr>
          <w:sz w:val="20"/>
          <w:szCs w:val="20"/>
          <w:color w:val="auto"/>
        </w:rPr>
      </w:pPr>
    </w:p>
    <w:p>
      <w:pPr>
        <w:ind w:right="200" w:firstLine="921"/>
        <w:spacing w:after="0" w:line="268"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Vesting of Remaining Restricted Shares.</w:t>
      </w:r>
      <w:r>
        <w:rPr>
          <w:rFonts w:ascii="Arial" w:cs="Arial" w:eastAsia="Arial" w:hAnsi="Arial"/>
          <w:sz w:val="18"/>
          <w:szCs w:val="18"/>
          <w:color w:val="auto"/>
        </w:rPr>
        <w:t xml:space="preserve"> Subject to the terms and conditions of this Agreement, the Remaining Restricted Shares shall vest and such Shares shall no longer be subject to any restriction on the relevant Vesting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7" w:name="page88"/>
    <w:bookmarkEnd w:id="87"/>
    <w:p>
      <w:pPr>
        <w:ind w:right="280" w:firstLine="921"/>
        <w:spacing w:after="0" w:line="259" w:lineRule="auto"/>
        <w:tabs>
          <w:tab w:leader="none" w:pos="113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w:t>
      </w:r>
      <w:r>
        <w:rPr>
          <w:rFonts w:ascii="Arial" w:cs="Arial" w:eastAsia="Arial" w:hAnsi="Arial"/>
          <w:sz w:val="18"/>
          <w:szCs w:val="18"/>
          <w:color w:val="auto"/>
        </w:rPr>
        <w:t xml:space="preserve"> On and after the Retirement Eligibility Date, the Employee will be permitted to retire from the Company and its Subsidiaries and, subject to the restrictions set forth in this Agreement, the Remaining Restricted Shares issued pursuant to Section 2.01(a) will continue to vest following retirement.</w:t>
      </w:r>
    </w:p>
    <w:p>
      <w:pPr>
        <w:spacing w:after="0" w:line="140" w:lineRule="exact"/>
        <w:rPr>
          <w:rFonts w:ascii="Arial" w:cs="Arial" w:eastAsia="Arial" w:hAnsi="Arial"/>
          <w:sz w:val="18"/>
          <w:szCs w:val="18"/>
          <w:color w:val="auto"/>
        </w:rPr>
      </w:pPr>
    </w:p>
    <w:p>
      <w:pPr>
        <w:ind w:right="180" w:firstLine="921"/>
        <w:spacing w:after="0" w:line="289" w:lineRule="auto"/>
        <w:tabs>
          <w:tab w:leader="none" w:pos="116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Forfeiture of Remaining Restricted Shares.</w:t>
      </w:r>
      <w:r>
        <w:rPr>
          <w:rFonts w:ascii="Arial" w:cs="Arial" w:eastAsia="Arial" w:hAnsi="Arial"/>
          <w:sz w:val="16"/>
          <w:szCs w:val="16"/>
          <w:color w:val="auto"/>
        </w:rPr>
        <w:t xml:space="preserve"> In the event that the Employee violates any of the provisions of Appendix A, which is incorporated herein by reference, all outstanding vested or unvested Restricted Shares shall be forfeited and canceled. Notwithstanding that certain Restrictive Covenants in Appendix A apply for only a limited period following Termination of Employment, in the event that the Employee’s employment with the Company terminates by reason of retirement in accordance with Section 2.01(f) above, the Employee will forfeit any outstanding Remaining Restricted Shares that were issued pursuant to Section 2.01(a) if the Employee does not comply with all Restrictive Covenants in Appendix A until the earlier of the relevant Vesting Date and the date the Remaining Restricted Shares otherwise become vested in accordance with Section 2.01(h) (such date, the “Restricted Share Delivery Date”). Furthermore, in the event that the Employee incurs a Termination of Employment for Cause, the Employee will forfeit all outstanding Remaining Restricted Shares that were issued pursuant to Section 2.01(a).</w:t>
      </w:r>
    </w:p>
    <w:p>
      <w:pPr>
        <w:spacing w:after="0" w:line="118" w:lineRule="exact"/>
        <w:rPr>
          <w:rFonts w:ascii="Arial" w:cs="Arial" w:eastAsia="Arial" w:hAnsi="Arial"/>
          <w:sz w:val="16"/>
          <w:szCs w:val="16"/>
          <w:color w:val="auto"/>
        </w:rPr>
      </w:pPr>
    </w:p>
    <w:p>
      <w:pPr>
        <w:ind w:right="180" w:firstLine="921"/>
        <w:spacing w:after="0" w:line="256" w:lineRule="auto"/>
        <w:tabs>
          <w:tab w:leader="none" w:pos="116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Accelerated Vesting Events.</w:t>
      </w:r>
      <w:r>
        <w:rPr>
          <w:rFonts w:ascii="Arial" w:cs="Arial" w:eastAsia="Arial" w:hAnsi="Arial"/>
          <w:sz w:val="18"/>
          <w:szCs w:val="18"/>
          <w:color w:val="auto"/>
        </w:rPr>
        <w:t xml:space="preserve"> Notwithstanding the foregoing, in the event of a Change in Control, any unvested but outstanding Remaining Restricted Shares shall automatically vest as of the date of such Change in Control. Furthermore, in the event that the Employee dies following the Retirement Eligibility Issue Date but prior to the end of the Restriction Period, any unvested but outstanding Remaining Restricted Shares shall automatically vest as of the date of death.</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Delivery of Certificates or Book Entry Credits; Restrictions on Remaining Restricted Shares.</w:t>
      </w:r>
      <w:r>
        <w:rPr>
          <w:rFonts w:ascii="Arial" w:cs="Arial" w:eastAsia="Arial" w:hAnsi="Arial"/>
          <w:sz w:val="16"/>
          <w:szCs w:val="16"/>
          <w:color w:val="auto"/>
        </w:rPr>
        <w:t xml:space="preserve"> The Remaining Restricted Shares shall be evidenced in such manner as the Committee may deem appropriate, including book-entry registration or issuance of one or more stock certificates. Any certificate or book entry credit issued or entered in respect of the Remaining Restricted Shares shall be registered in the Employee’s name and shall bear an appropriate legend referring to the terms, conditions and restrictions applicable to the Remaining Restricted Shares, substantially in the following form:</w:t>
      </w:r>
    </w:p>
    <w:p>
      <w:pPr>
        <w:spacing w:after="0" w:line="32"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“The transferability of the shares of stock represented hereby is subject to the terms and conditions (including forfeiture) of the Lazard Ltd 2008 Incentive Compensation Plan and an Award Agreement, as well as the terms and conditions of applicable law. Copies of such Plan and Agreement are on file at the offices of Lazard Ltd.”</w:t>
      </w:r>
    </w:p>
    <w:p>
      <w:pPr>
        <w:spacing w:after="0" w:line="14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Employee agrees that the certificates or book entry credits evidencing title of the Remaining Restricted Shares shall be held in escrow by the Designated Escrow Agent until the relevant Restricted Share Delivery Date and that, as a condition of the Company’s issuance of the Remaining Restricted Shares, the Employee shall have delivered to the Company a stock power, endorsed in blank, relating to such Remaining Restricted Shares. If and when the relevant Restricted Share Delivery Date occurs with respect to the Remaining Restricted Shares, provided that the Remaining Restricted Shares have not been forfeited pursuant to Section 2.01(g),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8" w:name="page89"/>
    <w:bookmarkEnd w:id="8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 shall be removed from the certificates or book entry credits evidencing such Shares. As soon as practicable (but in no event more than 30 days) after the relevant Restricted Share Delivery Date, the Company shall, subject to Section 2.01(d), cause the Designated Escrow Agent to transfer to the Employee one or more unlegended, freely-transferable stock certificates or book entry credits in respect of such Remaining Restricted Shares. Notwithstanding the foregoing, the Company shall be entitled to hold the Remaining Restricted Shares until the Company shall have received from the Employee a duly executed Form W-9 or W-8, as applicable.</w:t>
      </w:r>
    </w:p>
    <w:p>
      <w:pPr>
        <w:spacing w:after="0" w:line="14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Nontransferability of Remaining Restricted Shares.</w:t>
      </w:r>
      <w:r>
        <w:rPr>
          <w:rFonts w:ascii="Arial" w:cs="Arial" w:eastAsia="Arial" w:hAnsi="Arial"/>
          <w:sz w:val="18"/>
          <w:szCs w:val="18"/>
          <w:color w:val="auto"/>
        </w:rPr>
        <w:t xml:space="preserve"> All Remaining Restricted Shares shall remain subject to the restrictions set forth in this Agreement, including the forfeiture provisions set forth in Section 2.01(g), until the relevant Restricted Share Delivery Date. Prior to the relevant Restricted Share Delivery Date, the Remaining Restricted Shares shall not be transferable by the Employee, and neither the Employee nor its creditors shall have the right to subject the Remaining Restricted Shares to any anticipation, alienation, sale, transfer, assignment, pledge, encumbrance, hedge, exchange, attachment or garnishment or any similar transaction.</w:t>
      </w:r>
    </w:p>
    <w:p>
      <w:pPr>
        <w:spacing w:after="0" w:line="143"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Dividends, Rights as a Shareholder.</w:t>
      </w:r>
      <w:r>
        <w:rPr>
          <w:rFonts w:ascii="Arial" w:cs="Arial" w:eastAsia="Arial" w:hAnsi="Arial"/>
          <w:sz w:val="16"/>
          <w:szCs w:val="16"/>
          <w:color w:val="auto"/>
        </w:rPr>
        <w:t xml:space="preserve"> Subject to Section 2.01(g) and Section 2.03 and any other applicable law or agreement, from and after the Retirement Eligibility Issue Date, the Employee will have all rights and privileges of a shareholder with respect to the Restricted Shares (including the Remaining Restricted Shares), including the right to vote the Restricted Shares and to receive dividends and other distributions with respect thereto, provided that, any dividends or other distributions that are paid on the Remaining Restricted Shares prior to the relevant Restricted Share Delivery Date (whether payable in cash or in kind) will be held by the Designated Escrow Agent until the relevant Restricted Share Delivery Date. In the event that any Remaining Restricted Shares are forfeited in accordance with Section 2.01(g), all dividends and other distributions held by the Designated Escrow Agent with respect to such Remaining Restricted Shares will also be forfeited.</w:t>
      </w:r>
    </w:p>
    <w:p>
      <w:pPr>
        <w:spacing w:after="0" w:line="118"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Disgorgement of Tax Benefits.</w:t>
      </w:r>
      <w:r>
        <w:rPr>
          <w:rFonts w:ascii="Arial" w:cs="Arial" w:eastAsia="Arial" w:hAnsi="Arial"/>
          <w:sz w:val="16"/>
          <w:szCs w:val="16"/>
          <w:color w:val="auto"/>
        </w:rPr>
        <w:t xml:space="preserve"> In the event that the Employee retires from the Company in accordance with Section 2.01(f) and, after the Employee’s retirement, the Employee forfeits the Remaining Restricted Shares and the dividends held by the Designated Escrow Agent, the Employee shall disgorge to the Company any current or future tax benefit the Employee may derive from the forfeiture of any Restricted Shares at the time the Employee derives such tax benefit. The Employee agrees to use reasonable best efforts to claim any tax benefit from such forfeiture that the Company reasonably determines is available to the Employee on all relevant tax returns. Notwithstanding the foregoing, this Section 2.05 shall not apply in the event of a Qualifying Termination, a Change in Control or a Termination of Employment due to death.</w:t>
      </w:r>
    </w:p>
    <w:p>
      <w:pPr>
        <w:spacing w:after="0" w:line="12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xml:space="preserve"> In the event of a Qualifying Termination following the Retirement Eligibility Issue Date, the Restrictive Covenants set forth in Appendix A that apply for only a limited period following Termination of Employment shall apply for such limited period, rather than until the relevant Restricted Share Delivery Date.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Effect of Agreement.</w:t>
      </w:r>
      <w:r>
        <w:rPr>
          <w:rFonts w:ascii="Arial" w:cs="Arial" w:eastAsia="Arial" w:hAnsi="Arial"/>
          <w:sz w:val="18"/>
          <w:szCs w:val="18"/>
          <w:color w:val="auto"/>
        </w:rPr>
        <w:t xml:space="preserve"> 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 Nothing in this Agreement or the Plan shall confer upon the Employee any right to continue in the employ of the Company or any of its Affiliates or interfere in any way with the right of the Company or any such Affiliates to terminate the Employee’s employment at any time. Until Shares are actually delivered to the Employee upon settlement of the Stock Units, the Employee shall not have any rights as a shareholder with respect to the Stock Units, except as specifically provided herein.</w:t>
      </w:r>
    </w:p>
    <w:p>
      <w:pPr>
        <w:spacing w:after="0" w:line="144"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Laws Applicable to Construction; Consent to Jurisdiction.</w:t>
      </w:r>
      <w:r>
        <w:rPr>
          <w:rFonts w:ascii="Arial" w:cs="Arial" w:eastAsia="Arial" w:hAnsi="Arial"/>
          <w:sz w:val="16"/>
          <w:szCs w:val="16"/>
          <w:color w:val="auto"/>
        </w:rPr>
        <w:t xml:space="preserve"> (a) This Agreement shall be governed by and construed in accordance with the laws of the State of New York (United States of America), without regard to principles of conflict of laws which could cause the application of the law of any jurisdiction other than the State of New York. In addition to the terms and conditions set forth in this Agreement and Appendix A, the Stock Units and Restricted Shares are subject to the terms and conditions of the Plan, which is hereby incorporated by reference. By signing this Agreement, the Employee agrees to and is bound by the Plan and the restrictive covenants set forth in Appendix A.</w:t>
      </w:r>
    </w:p>
    <w:p>
      <w:pPr>
        <w:spacing w:after="0" w:line="116" w:lineRule="exact"/>
        <w:rPr>
          <w:sz w:val="20"/>
          <w:szCs w:val="20"/>
          <w:color w:val="auto"/>
        </w:rPr>
      </w:pPr>
    </w:p>
    <w:p>
      <w:pPr>
        <w:ind w:right="260" w:firstLine="921"/>
        <w:spacing w:after="0" w:line="256"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controversy or claim between the Employee and the Company or its Affiliates arising out of or relating to or concerning the provisions of this Agreement or the Plan shall be finally settled by arbitration in New York City before, and in accordance with the rules then obtaining of, the Financial Industry Regulatory Authority (“FINRA”) or, if FINRA declines to arbitrate the matter, the American Arbitration Association (the “AAA”) in accordance with the commercial arbitration rules of the AAA.</w:t>
      </w:r>
    </w:p>
    <w:p>
      <w:pPr>
        <w:spacing w:after="0" w:line="143" w:lineRule="exact"/>
        <w:rPr>
          <w:rFonts w:ascii="Arial" w:cs="Arial" w:eastAsia="Arial" w:hAnsi="Arial"/>
          <w:sz w:val="18"/>
          <w:szCs w:val="18"/>
          <w:color w:val="auto"/>
        </w:rPr>
      </w:pPr>
    </w:p>
    <w:p>
      <w:pPr>
        <w:ind w:firstLine="921"/>
        <w:spacing w:after="0" w:line="287" w:lineRule="auto"/>
        <w:tabs>
          <w:tab w:leader="none" w:pos="11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Employee and the Company hereby irrevocably submit to the exclusive jurisdiction of any state or federal court located in the City of New York over any suit, action, or proceeding arising out of relating to or concerning this Agreement or the Plan that is not otherwise required to be arbitrated or resolved in accordance with the provisions of Section 3.02(b). This includes any suit, action or proceeding to compel arbitration or to enforce an arbitration award. The Employee and the Company acknowledge that the forum designated by this Section 3.02(c) has a reasonable relation to this Agreement, and to the Employee’s relationship to the Company. Notwithstanding the foregoing, nothing herein shall preclude the Company or the Employee from bringing any action or proceeding in any other court for the purpose of enforcing the provisions of Section 3.02(a), 3.02(b) or this Section 3.02(c). The agreement of the Employee and the Company as to forum is independent of the law that may be applied in the action, and the Employee and the Company agree to such forum even if the forum may under applicable law choose to apply non-forum law. The Employee and the Company hereby waive, to the fullest extent permitted by applicable law, any objection which the Employee or the Company now or hereafter may have to personal jurisdiction or to the laying of venue of any such suit, action or proceeding in any court referred to in this Section 3.02(c).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0" w:name="page91"/>
    <w:bookmarkEnd w:id="90"/>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and the Company undertake not to commence any action arising out of or relating to or concerning this Agreement in any forum other than a forum described in this Section 3.02(c), or, to the extent applicable, Section 3.02(b). The Employee and the Company agree that, to the fullest extent permitted by applicable law, a final and non-appealable judgment in any such suit, action or proceeding in any such court shall be conclusive and binding upon the Employee and the Company.</w:t>
      </w:r>
    </w:p>
    <w:p>
      <w:pPr>
        <w:spacing w:after="0" w:line="143"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Conflicts and Interpretation.</w:t>
      </w:r>
      <w:r>
        <w:rPr>
          <w:rFonts w:ascii="Arial" w:cs="Arial" w:eastAsia="Arial" w:hAnsi="Arial"/>
          <w:sz w:val="16"/>
          <w:szCs w:val="16"/>
          <w:color w:val="auto"/>
        </w:rPr>
        <w:t xml:space="preserve"> In the event of any conflict between this Agreement and the Plan, the Plan shall control. In the event of any ambiguity in this Agreement, or any matters as to which this Agreement is silent, the Plan shall govern including, without limitation, the provisions thereof pursuant to which the Committee has the power, among others, to (i) interpret the Plan, (ii) prescribe, amend and rescind rules and regulations relating to the Plan, and (iii) make all other determinations deemed necessary or advisable for the administration of the Plan.</w:t>
      </w:r>
    </w:p>
    <w:p>
      <w:pPr>
        <w:spacing w:after="0" w:line="113"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Any modification, amendment or waiver to this Agreement that shall materially impair the rights of the Employee with respect to the Stock Units or the Restricted Shares shall require an instrument in writing to be signed by both parties hereto, except such a modification, amendment or waiver made to cause the Plan or the Stock Units or the Restricted Shares to comply with applicable law, tax rules, stock exchange rules or accounting rules and which is made to similarly situated employees.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16"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Sections 409A and 457A of the Code.</w:t>
      </w:r>
      <w:r>
        <w:rPr>
          <w:rFonts w:ascii="Arial" w:cs="Arial" w:eastAsia="Arial" w:hAnsi="Arial"/>
          <w:sz w:val="18"/>
          <w:szCs w:val="18"/>
          <w:color w:val="auto"/>
        </w:rPr>
        <w:t xml:space="preserve"> It is intended that the Stock Units and the Restricted Shares shall be exempt from Sections 409A and 457A of the Code pursuant to the “short-term deferral” rule applicable to each such section, as set forth in the regulations or other guidance published by the Internal Revenue Service thereunder.</w:t>
      </w:r>
    </w:p>
    <w:p>
      <w:pPr>
        <w:spacing w:after="0" w:line="14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paragraphs herein are included solely for convenience of reference and shall not affect the meaning or interpretation of any of the provisions of this Agreement.</w:t>
      </w:r>
    </w:p>
    <w:p>
      <w:pPr>
        <w:spacing w:after="0" w:line="132" w:lineRule="exact"/>
        <w:rPr>
          <w:sz w:val="20"/>
          <w:szCs w:val="20"/>
          <w:color w:val="auto"/>
        </w:rPr>
      </w:pPr>
    </w:p>
    <w:p>
      <w:pPr>
        <w:jc w:val="center"/>
        <w:ind w:left="420" w:right="740"/>
        <w:spacing w:after="0" w:line="440"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counterparts, which together shall constitute one and the same original. 9</w:t>
      </w:r>
    </w:p>
    <w:p>
      <w:pPr>
        <w:sectPr>
          <w:pgSz w:w="11900" w:h="16838" w:orient="portrait"/>
          <w:cols w:equalWidth="0" w:num="1">
            <w:col w:w="11420"/>
          </w:cols>
          <w:pgMar w:left="240" w:top="280" w:right="239" w:bottom="1440" w:gutter="0" w:footer="0" w:header="0"/>
        </w:sectPr>
      </w:pPr>
    </w:p>
    <w:bookmarkStart w:id="91" w:name="page92"/>
    <w:bookmarkEnd w:id="91"/>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as of the date first above written, the Company has caused this Agreement to be executed on behalf of its applicable Affiliate by a duly authorized officer and the Employee has hereunto set the Employee’s hand.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10795</wp:posOffset>
            </wp:positionV>
            <wp:extent cx="23152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281305</wp:posOffset>
            </wp:positionV>
            <wp:extent cx="23152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240" w:top="280" w:right="65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17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The Employee acknowledges that the grant of the Stock Units and/or Restricted Shares pursuant to the Stock Unit and Restricted Stock Agreement (the “Agreement”) confers a substantial benefit upon the Employee, and agrees to the following covenants, which are designed, among other things, to protect the interests of the Company and its Affiliates (collectively, the “Firm”) in confidential and proprietary information, trade secrets, customer and employee relationships, orderly transition of responsibilities, and other legitimate business interests. The Employee acknowledges that, pursuant to Sections 1.01(e) and 2.01(g) of the Agreement, all outstanding vested or unvested Stock Units and, if applicable, all Remaining Shares or Remaining Restricted Shares, will be forfeited upon a violation by the Employee of the following covenants:</w:t>
      </w:r>
    </w:p>
    <w:p>
      <w:pPr>
        <w:spacing w:after="0" w:line="12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The Employee shall not at any time (whether prior to or following the Employee’s Termination of Employment) disclose or use for the Employee’s own benefit or purposes or the benefit or purposes of any other person, corporation or other business organization or entity, other than the Firm, any trade secrets, information, data, or other confidential or proprietary information relating to the customers, developments, programs, plans or business and affairs of the Firm, provided that the foregoing shall not apply to information that is not unique to the Firm or that is generally known to the industry or the public other than as a result of the Employee’s breach of this covenant or as required pursuant to an order of a court, governmental agency or other authorized tribunal (provided that the Employee shall provide the Firm prior written notice of any such required disclosure). The Employee agrees that upon the Employee’s Termination of Employment, the Employee or, in the event of the Employee’s death, the Employee’s heirs or estate at the request of the Firm, shall return to the Firm immediately all books, papers, plans, information, letters and other data, and all copies thereof or therefrom, in any way relating to the business of the Firm. Without limiting the foregoing, the existence of, and any information concerning, any dispute between the Employee and the Firm shall be subject to the terms of this Section 1, except that the Employee may disclose information concerning such dispute to the arbitrator or court that is considering such dispute, and to the Employee’s legal counsel, spouse or domestic partner, and tax and financial advisors (provided that such persons agree not to disclose any such information).</w:t>
      </w:r>
    </w:p>
    <w:p>
      <w:pPr>
        <w:spacing w:after="0" w:line="124"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Non-Competition.</w:t>
      </w:r>
      <w:r>
        <w:rPr>
          <w:rFonts w:ascii="Arial" w:cs="Arial" w:eastAsia="Arial" w:hAnsi="Arial"/>
          <w:sz w:val="16"/>
          <w:szCs w:val="16"/>
          <w:color w:val="auto"/>
        </w:rPr>
        <w:t xml:space="preserve"> The Employee acknowledges and recognizes the highly competitive nature of the businesses of the Firm. The Employee further acknowledges that the Employee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Employee further acknowledges that such proprietary information and relationships are extremely valuable assets in which the Firm has invested and shall continue to invest substantial time, effort and expense. The Employee agrees that while employed by the Firm and thereafter until</w:t>
      </w:r>
    </w:p>
    <w:p>
      <w:pPr>
        <w:sectPr>
          <w:pgSz w:w="11900" w:h="16838" w:orient="portrait"/>
          <w:cols w:equalWidth="0" w:num="1">
            <w:col w:w="11420"/>
          </w:cols>
          <w:pgMar w:left="240" w:top="280" w:right="239" w:bottom="1440" w:gutter="0" w:footer="0" w:header="0"/>
        </w:sectPr>
      </w:pPr>
    </w:p>
    <w:bookmarkStart w:id="93" w:name="page94"/>
    <w:bookmarkEnd w:id="93"/>
    <w:p>
      <w:pPr>
        <w:ind w:firstLine="8"/>
        <w:spacing w:after="0" w:line="285" w:lineRule="auto"/>
        <w:tabs>
          <w:tab w:leader="none" w:pos="210"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three months after the Employee’s date of Termination of Employment for any reason other than a termination by the Firm without Cause or (B) one month after the date of the Employee’s Termination of Employment by the Firm without Cause (in either case, the date of such Termination of Employment, the “Date of Termination”) or (ii) the end of any longer period during which any similar covenants would be applicable to the Employee pursuant to any other agreement between the Employee and the Firm (such period, the “Noncompete Restriction Period”), the Employee shall not, directly or indirectly, on the Employee’s behalf or on behalf of any other person, firm, corporation, association or other entity, as an employee, director, advisor, partner, consultant or otherwise, provide services or perform activities for, or acquire or maintain any ownership interest in, a “Competitive Enterprise.” For purposes of this Appendix, “Competitive Enterprise” shall mean a business (or business unit) that (x) engages in any activity or (y) owns or controls a significant interest in any entity that engages in any activity, that in either case, competes anywhere with any activity that is similar to an activity in which the Firm is engaged up to and including the Employee’s Date of Termination. Notwithstanding anything in this Appendix, the Employee shall not be considered to be in violation of this Appendix solely by reason of owning, directly or indirectly, any stock or other securities of a Competitive Enterprise (or comparable interest, including a voting or profit participation interest, in any such Competitive Enterprise) if the Employee’s interest does not exceed 5% of the outstanding capital stock of such Competitive Enterprise (or comparable interest, including a voting or profit participation interest, in such Competitive Enterprise). The Employee acknowledges that the Firm is engaged in business throughout the world. Accordingly, and in view of the nature of the Employee’s position and responsibilities, the Employee agrees that the provisions of this Section 2 shall be applicable to each jurisdiction, foreign country, state, possession or territory in which the Firm may be engaged in business while the Employee is providing services to the Firm.</w:t>
      </w:r>
    </w:p>
    <w:p>
      <w:pPr>
        <w:spacing w:after="0" w:line="12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Nonsolicitation of Clients.</w:t>
      </w:r>
      <w:r>
        <w:rPr>
          <w:rFonts w:ascii="Arial" w:cs="Arial" w:eastAsia="Arial" w:hAnsi="Arial"/>
          <w:sz w:val="16"/>
          <w:szCs w:val="16"/>
          <w:color w:val="auto"/>
        </w:rPr>
        <w:t xml:space="preserve"> The Employee hereby agrees that during the Noncompete Restriction Period, the Employee shall not, in any manner, directly or indirectly, (i) Solicit a Client to transact business with a Competitive Enterprise or to reduce or refrain from doing any business with the Firm, to the extent the Employee is soliciting a Client to provide them with services the performance of which would violate Section 2 above if such services were provided by the Employee, or (ii) interfere with or damage (or attempt to interfere with or damage) any relationship between the Firm and a Client. For purposes of this Appendix, the term “Solicit” means any direct or indirect communication of any kind whatsoever, regardless of by whom initiated, inviting, advising, persuading, encouraging or requesting any person or entity, in any manner, to take or refrain from taking any action, and the term “Client” means any client or prospective client of the Firm to whom the Employee provided services, or for whom the Employee transacted business, or whose identity became known to the Employee in connection with the Employee’s relationship with or employment by the Firm, whether or not the Firm has been engaged by such Client pursuant to a written agreement; provided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94" w:name="page95"/>
    <w:bookmarkEnd w:id="94"/>
    <w:p>
      <w:pPr>
        <w:ind w:right="8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6"/>
          <w:szCs w:val="16"/>
          <w:u w:val="single" w:color="auto"/>
          <w:color w:val="auto"/>
        </w:rPr>
        <w:t>No Hire of Employees.</w:t>
      </w:r>
      <w:r>
        <w:rPr>
          <w:rFonts w:ascii="Arial" w:cs="Arial" w:eastAsia="Arial" w:hAnsi="Arial"/>
          <w:sz w:val="16"/>
          <w:szCs w:val="16"/>
          <w:color w:val="auto"/>
        </w:rPr>
        <w:t xml:space="preserve"> The Employee hereby agrees that while employed by the Firm and thereafter until (i) six months after the Date of the Termination of Employment for any reason or (ii) the end of any longer period during which any similar covenants would be applicable to the Employee pursuant to any other agreement between the Employee and the Firm (such period, the “No Hire Restriction Period”), the Employee shall not, directly or indirectly, for himself or on behalf of any third party at any time in any manner, Solicit, hire, or otherwise cause any employee who is at the associate level or above (including, without limitation, managing directors),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1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The Employee shall not at any time (whether prior to or following the Employee’s Termination of Employment), and shall instruct the Employee’s spouse, domestic partner, parents, and any of their lineal descendants (it being agreed that in any dispute between the parties regarding whether the Employee breached such obligation to instruct, the Firm shall bear the burden of demonstrating that the Employee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Notice of Termination Required.</w:t>
      </w:r>
      <w:r>
        <w:rPr>
          <w:rFonts w:ascii="Arial" w:cs="Arial" w:eastAsia="Arial" w:hAnsi="Arial"/>
          <w:sz w:val="16"/>
          <w:szCs w:val="16"/>
          <w:color w:val="auto"/>
        </w:rPr>
        <w:t xml:space="preserve"> The Employee agrees to provide a period of advance written notice to the Firm prior to the Employee’s Termination of Employment equal to (i) three months or (ii) any longer notice period required pursuant to any other agreement between the Employee and the Firm. The Employee hereby agrees that, if, during the three-month period after the Employee has provided notice of termination to the Firm or prior thereto, the Employee enters (or has entered into) a written agreement to provide services or perform activities for a Competitive Enterprise that would violate Section 2 if performed during the Noncompete Restriction Period, such action shall be deemed a violation of this Section 6.</w:t>
      </w:r>
    </w:p>
    <w:p>
      <w:pPr>
        <w:spacing w:after="0" w:line="116"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Covenants Generally.</w:t>
      </w:r>
      <w:r>
        <w:rPr>
          <w:rFonts w:ascii="Arial" w:cs="Arial" w:eastAsia="Arial" w:hAnsi="Arial"/>
          <w:sz w:val="16"/>
          <w:szCs w:val="16"/>
          <w:color w:val="auto"/>
        </w:rPr>
        <w:t xml:space="preserve"> The Employee’s covenants as set forth in this Appendix are referred to herein as the “Covenants.”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5" w:name="page96"/>
    <w:bookmarkEnd w:id="95"/>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 enforceable hereunder. The Employee hereby agrees that prior to accepting employment with any other person or entity during his period of service with the Firm or during the Noncompete Restriction Period or the No Hire Restriction Period, the Employee shall provide such prospective employer with written notice of the provisions of this Appendix, with a copy of such notice delivered no later than the date of the Employee’s commencement of such employment with such prospective employer, to the General Counsel of the Company. The Employee acknowledges and agrees that the terms of the Covenants: (i) are reasonable in light of all of the circumstances, (ii) are sufficiently limited to protect the legitimate interests of the Firm, (iii) impose no undue hardship on the Employee and</w:t>
      </w:r>
    </w:p>
    <w:p>
      <w:pPr>
        <w:spacing w:after="0" w:line="2" w:lineRule="exact"/>
        <w:rPr>
          <w:sz w:val="20"/>
          <w:szCs w:val="20"/>
          <w:color w:val="auto"/>
        </w:rPr>
      </w:pPr>
    </w:p>
    <w:p>
      <w:pPr>
        <w:jc w:val="both"/>
        <w:ind w:right="100" w:firstLine="8"/>
        <w:spacing w:after="0" w:line="254" w:lineRule="auto"/>
        <w:tabs>
          <w:tab w:leader="none" w:pos="2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are not injurious to the public. The Employee acknowledges and agrees that the Employee’s breach of the Covenants will cause the Firm irreparable harm, which cannot be adequately compensated by money damages. The Employee further acknowledges that the Covenants and notice period requirements set forth herein shall operate independently of, and not instead of, any other restrictive covenants or notice period requirements to which the Employee is subject pursuant to other plans and agreements involving the Firm.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96" w:name="page97"/>
    <w:bookmarkEnd w:id="96"/>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58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Ended</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March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8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10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w w:val="94"/>
              </w:rPr>
              <w:t>(dollars 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$32,578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$246,809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(181,988)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$436,064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580" w:type="dxa"/>
            <w:vAlign w:val="bottom"/>
          </w:tcPr>
          <w:p>
            <w:pPr>
              <w:jc w:val="right"/>
              <w:spacing w:after="0"/>
              <w:rPr>
                <w:sz w:val="20"/>
                <w:szCs w:val="20"/>
                <w:color w:val="auto"/>
              </w:rPr>
            </w:pPr>
            <w:r>
              <w:rPr>
                <w:rFonts w:ascii="Arial" w:cs="Arial" w:eastAsia="Arial" w:hAnsi="Arial"/>
                <w:sz w:val="18"/>
                <w:szCs w:val="18"/>
                <w:color w:val="auto"/>
              </w:rPr>
              <w:t>28,033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114,998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121,656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132,785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161,665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154,790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60,611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368,465</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(49,203)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203,694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590,854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$22,620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$102,249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113,280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141,413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$136,529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580" w:type="dxa"/>
            <w:vAlign w:val="bottom"/>
          </w:tcPr>
          <w:p>
            <w:pPr>
              <w:jc w:val="right"/>
              <w:spacing w:after="0"/>
              <w:rPr>
                <w:sz w:val="20"/>
                <w:szCs w:val="20"/>
                <w:color w:val="auto"/>
              </w:rPr>
            </w:pPr>
            <w:r>
              <w:rPr>
                <w:rFonts w:ascii="Arial" w:cs="Arial" w:eastAsia="Arial" w:hAnsi="Arial"/>
                <w:sz w:val="18"/>
                <w:szCs w:val="18"/>
                <w:color w:val="auto"/>
              </w:rPr>
              <w:t>5,413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19,407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19,505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20,252</w:t>
            </w:r>
          </w:p>
        </w:tc>
        <w:tc>
          <w:tcPr>
            <w:tcW w:w="660" w:type="dxa"/>
            <w:vAlign w:val="bottom"/>
          </w:tcPr>
          <w:p>
            <w:pPr>
              <w:jc w:val="right"/>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114,998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121,656</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132,785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161,665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154,790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4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tcPr>
          <w:p>
            <w:pPr>
              <w:jc w:val="right"/>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4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3.03(d)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1.26(f)</w:t>
            </w: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 before</w:t>
            </w: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181,988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8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Excluding the impact of such items, the ratio of earnings to fixed charges would have been 3.95.</w:t>
      </w:r>
    </w:p>
    <w:p>
      <w:pPr>
        <w:spacing w:after="0" w:line="59"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 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20"/>
          </w:cols>
          <w:pgMar w:left="240" w:top="12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2012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2012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2,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decimal"/>
      <w:start w:val="2"/>
    </w:lvl>
  </w:abstractNum>
  <w:abstractNum w:abstractNumId="7">
    <w:nsid w:val="77465F01"/>
    <w:multiLevelType w:val="hybridMultilevel"/>
    <w:lvl w:ilvl="0">
      <w:lvlJc w:val="left"/>
      <w:lvlText w:val="%1."/>
      <w:numFmt w:val="decimal"/>
      <w:start w:val="3"/>
    </w:lvl>
  </w:abstractNum>
  <w:abstractNum w:abstractNumId="8">
    <w:nsid w:val="7724C67E"/>
    <w:multiLevelType w:val="hybridMultilevel"/>
    <w:lvl w:ilvl="0">
      <w:lvlJc w:val="left"/>
      <w:lvlText w:val="%1."/>
      <w:numFmt w:val="decimal"/>
      <w:start w:val="4"/>
    </w:lvl>
  </w:abstractNum>
  <w:abstractNum w:abstractNumId="9">
    <w:nsid w:val="5C482A97"/>
    <w:multiLevelType w:val="hybridMultilevel"/>
    <w:lvl w:ilvl="0">
      <w:lvlJc w:val="left"/>
      <w:lvlText w:val="(%1)"/>
      <w:numFmt w:val="lowerLetter"/>
      <w:start w:val="1"/>
    </w:lvl>
  </w:abstractNum>
  <w:abstractNum w:abstractNumId="10">
    <w:nsid w:val="2463B9EA"/>
    <w:multiLevelType w:val="hybridMultilevel"/>
    <w:lvl w:ilvl="0">
      <w:lvlJc w:val="left"/>
      <w:lvlText w:val="%1."/>
      <w:numFmt w:val="decimal"/>
      <w:start w:val="5"/>
    </w:lvl>
  </w:abstractNum>
  <w:abstractNum w:abstractNumId="11">
    <w:nsid w:val="5E884ADC"/>
    <w:multiLevelType w:val="hybridMultilevel"/>
    <w:lvl w:ilvl="0">
      <w:lvlJc w:val="left"/>
      <w:lvlText w:val="(%1)"/>
      <w:numFmt w:val="lowerLetter"/>
      <w:start w:val="1"/>
    </w:lvl>
  </w:abstractNum>
  <w:abstractNum w:abstractNumId="12">
    <w:nsid w:val="51EAD36B"/>
    <w:multiLevelType w:val="hybridMultilevel"/>
    <w:lvl w:ilvl="0">
      <w:lvlJc w:val="left"/>
      <w:lvlText w:val="%1."/>
      <w:numFmt w:val="decimal"/>
      <w:start w:val="6"/>
    </w:lvl>
  </w:abstractNum>
  <w:abstractNum w:abstractNumId="13">
    <w:nsid w:val="2D517796"/>
    <w:multiLevelType w:val="hybridMultilevel"/>
    <w:lvl w:ilvl="0">
      <w:lvlJc w:val="left"/>
      <w:lvlText w:val="%1."/>
      <w:numFmt w:val="decimal"/>
      <w:start w:val="7"/>
    </w:lvl>
  </w:abstractNum>
  <w:abstractNum w:abstractNumId="14">
    <w:nsid w:val="580BD78F"/>
    <w:multiLevelType w:val="hybridMultilevel"/>
    <w:lvl w:ilvl="0">
      <w:lvlJc w:val="left"/>
      <w:lvlText w:val="%1."/>
      <w:numFmt w:val="decimal"/>
      <w:start w:val="8"/>
    </w:lvl>
  </w:abstractNum>
  <w:abstractNum w:abstractNumId="15">
    <w:nsid w:val="153EA438"/>
    <w:multiLevelType w:val="hybridMultilevel"/>
    <w:lvl w:ilvl="0">
      <w:lvlJc w:val="left"/>
      <w:lvlText w:val="%1"/>
      <w:numFmt w:val="decimal"/>
      <w:start w:val="1"/>
    </w:lvl>
    <w:lvl w:ilvl="1">
      <w:lvlJc w:val="left"/>
      <w:lvlText w:val="(%2)"/>
      <w:numFmt w:val="lowerLetter"/>
      <w:start w:val="1"/>
    </w:lvl>
  </w:abstractNum>
  <w:abstractNum w:abstractNumId="16">
    <w:nsid w:val="3855585C"/>
    <w:multiLevelType w:val="hybridMultilevel"/>
    <w:lvl w:ilvl="0">
      <w:lvlJc w:val="left"/>
      <w:lvlText w:val="%1."/>
      <w:numFmt w:val="decimal"/>
      <w:start w:val="9"/>
    </w:lvl>
    <w:lvl w:ilvl="1">
      <w:lvlJc w:val="left"/>
      <w:lvlText w:val="%2"/>
      <w:numFmt w:val="lowerLetter"/>
      <w:start w:val="1"/>
    </w:lvl>
  </w:abstractNum>
  <w:abstractNum w:abstractNumId="17">
    <w:nsid w:val="70A64E2A"/>
    <w:multiLevelType w:val="hybridMultilevel"/>
    <w:lvl w:ilvl="0">
      <w:lvlJc w:val="left"/>
      <w:lvlText w:val="%1."/>
      <w:numFmt w:val="decimal"/>
      <w:start w:val="10"/>
    </w:lvl>
  </w:abstractNum>
  <w:abstractNum w:abstractNumId="18">
    <w:nsid w:val="6A2342EC"/>
    <w:multiLevelType w:val="hybridMultilevel"/>
    <w:lvl w:ilvl="0">
      <w:lvlJc w:val="left"/>
      <w:lvlText w:val="%1."/>
      <w:numFmt w:val="decimal"/>
      <w:start w:val="11"/>
    </w:lvl>
  </w:abstractNum>
  <w:abstractNum w:abstractNumId="19">
    <w:nsid w:val="2A487CB0"/>
    <w:multiLevelType w:val="hybridMultilevel"/>
    <w:lvl w:ilvl="0">
      <w:lvlJc w:val="left"/>
      <w:lvlText w:val="%1."/>
      <w:numFmt w:val="decimal"/>
      <w:start w:val="12"/>
    </w:lvl>
  </w:abstractNum>
  <w:abstractNum w:abstractNumId="20">
    <w:nsid w:val="1D4ED43B"/>
    <w:multiLevelType w:val="hybridMultilevel"/>
    <w:lvl w:ilvl="0">
      <w:lvlJc w:val="left"/>
      <w:lvlText w:val="%1."/>
      <w:numFmt w:val="decimal"/>
      <w:start w:val="13"/>
    </w:lvl>
  </w:abstractNum>
  <w:abstractNum w:abstractNumId="21">
    <w:nsid w:val="725A06FB"/>
    <w:multiLevelType w:val="hybridMultilevel"/>
    <w:lvl w:ilvl="0">
      <w:lvlJc w:val="left"/>
      <w:lvlText w:val="%1."/>
      <w:numFmt w:val="decimal"/>
      <w:start w:val="14"/>
    </w:lvl>
  </w:abstractNum>
  <w:abstractNum w:abstractNumId="22">
    <w:nsid w:val="2CD89A32"/>
    <w:multiLevelType w:val="hybridMultilevel"/>
    <w:lvl w:ilvl="0">
      <w:lvlJc w:val="left"/>
      <w:lvlText w:val="%1."/>
      <w:numFmt w:val="decimal"/>
      <w:start w:val="15"/>
    </w:lvl>
  </w:abstractNum>
  <w:abstractNum w:abstractNumId="23">
    <w:nsid w:val="57E4CCAF"/>
    <w:multiLevelType w:val="hybridMultilevel"/>
    <w:lvl w:ilvl="0">
      <w:lvlJc w:val="left"/>
      <w:lvlText w:val="%1."/>
      <w:numFmt w:val="decimal"/>
      <w:start w:val="16"/>
    </w:lvl>
  </w:abstractNum>
  <w:abstractNum w:abstractNumId="24">
    <w:nsid w:val="7A6D8D3C"/>
    <w:multiLevelType w:val="hybridMultilevel"/>
    <w:lvl w:ilvl="0">
      <w:lvlJc w:val="left"/>
      <w:lvlText w:val="%1."/>
      <w:numFmt w:val="decimal"/>
      <w:start w:val="17"/>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1)"/>
      <w:numFmt w:val="lowerRoman"/>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lowerLetter"/>
      <w:start w:val="1"/>
    </w:lvl>
  </w:abstractNum>
  <w:abstractNum w:abstractNumId="34">
    <w:nsid w:val="3DC240FB"/>
    <w:multiLevelType w:val="hybridMultilevel"/>
    <w:lvl w:ilvl="0">
      <w:lvlJc w:val="left"/>
      <w:lvlText w:val="(%1)"/>
      <w:numFmt w:val="lowerRoman"/>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1"/>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lowerLetter"/>
      <w:start w:val="2"/>
    </w:lvl>
  </w:abstractNum>
  <w:abstractNum w:abstractNumId="39">
    <w:nsid w:val="70C6A529"/>
    <w:multiLevelType w:val="hybridMultilevel"/>
    <w:lvl w:ilvl="0">
      <w:lvlJc w:val="left"/>
      <w:lvlText w:val="(%1)"/>
      <w:numFmt w:val="lowerLetter"/>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lowerLetter"/>
      <w:start w:val="1"/>
    </w:lvl>
  </w:abstractNum>
  <w:abstractNum w:abstractNumId="42">
    <w:nsid w:val="4F4EF005"/>
    <w:multiLevelType w:val="hybridMultilevel"/>
    <w:lvl w:ilvl="0">
      <w:lvlJc w:val="left"/>
      <w:lvlText w:val="(%1)"/>
      <w:numFmt w:val="lowerLetter"/>
      <w:start w:val="4"/>
    </w:lvl>
  </w:abstractNum>
  <w:abstractNum w:abstractNumId="43">
    <w:nsid w:val="23F9C13C"/>
    <w:multiLevelType w:val="hybridMultilevel"/>
    <w:lvl w:ilvl="0">
      <w:lvlJc w:val="left"/>
      <w:lvlText w:val="(%1)"/>
      <w:numFmt w:val="lowerLetter"/>
      <w:start w:val="6"/>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1."/>
      <w:numFmt w:val="decimal"/>
      <w:start w:val="1"/>
    </w:lvl>
    <w:lvl w:ilvl="1">
      <w:lvlJc w:val="left"/>
      <w:lvlText w:val="%2."/>
      <w:numFmt w:val="lowerLetter"/>
      <w:start w:val="1"/>
    </w:lvl>
  </w:abstractNum>
  <w:abstractNum w:abstractNumId="47">
    <w:nsid w:val="1CF10FD8"/>
    <w:multiLevelType w:val="hybridMultilevel"/>
    <w:lvl w:ilvl="0">
      <w:lvlJc w:val="left"/>
      <w:lvlText w:val="%1."/>
      <w:numFmt w:val="decimal"/>
      <w:start w:val="3"/>
    </w:lvl>
  </w:abstractNum>
  <w:abstractNum w:abstractNumId="48">
    <w:nsid w:val="180115BE"/>
    <w:multiLevelType w:val="hybridMultilevel"/>
    <w:lvl w:ilvl="0">
      <w:lvlJc w:val="left"/>
      <w:lvlText w:val="(%1)"/>
      <w:numFmt w:val="lowerRoman"/>
      <w:start w:val="1"/>
    </w:lvl>
  </w:abstractNum>
  <w:abstractNum w:abstractNumId="49">
    <w:nsid w:val="235BA861"/>
    <w:multiLevelType w:val="hybridMultilevel"/>
    <w:lvl w:ilvl="0">
      <w:lvlJc w:val="left"/>
      <w:lvlText w:val="(%1)"/>
      <w:numFmt w:val="lowerRoman"/>
      <w:start w:val="3"/>
    </w:lvl>
  </w:abstractNum>
  <w:abstractNum w:abstractNumId="50">
    <w:nsid w:val="47398C89"/>
    <w:multiLevelType w:val="hybridMultilevel"/>
    <w:lvl w:ilvl="0">
      <w:lvlJc w:val="left"/>
      <w:lvlText w:val="(%1)"/>
      <w:numFmt w:val="lowerLetter"/>
      <w:start w:val="14"/>
    </w:lvl>
  </w:abstractNum>
  <w:abstractNum w:abstractNumId="51">
    <w:nsid w:val="354FE9F9"/>
    <w:multiLevelType w:val="hybridMultilevel"/>
    <w:lvl w:ilvl="0">
      <w:lvlJc w:val="left"/>
      <w:lvlText w:val="(%1)"/>
      <w:numFmt w:val="lowerLetter"/>
      <w:start w:val="3"/>
    </w:lvl>
  </w:abstractNum>
  <w:abstractNum w:abstractNumId="52">
    <w:nsid w:val="15B5AF5C"/>
    <w:multiLevelType w:val="hybridMultilevel"/>
    <w:lvl w:ilvl="0">
      <w:lvlJc w:val="left"/>
      <w:lvlText w:val="(%1)"/>
      <w:numFmt w:val="lowerRoman"/>
      <w:start w:val="2"/>
    </w:lvl>
  </w:abstractNum>
  <w:abstractNum w:abstractNumId="53">
    <w:nsid w:val="741226BB"/>
    <w:multiLevelType w:val="hybridMultilevel"/>
    <w:lvl w:ilvl="0">
      <w:lvlJc w:val="left"/>
      <w:lvlText w:val="(%1)"/>
      <w:numFmt w:val="lowerLetter"/>
      <w:start w:val="5"/>
    </w:lvl>
  </w:abstractNum>
  <w:abstractNum w:abstractNumId="54">
    <w:nsid w:val="D34B6A8"/>
    <w:multiLevelType w:val="hybridMultilevel"/>
    <w:lvl w:ilvl="0">
      <w:lvlJc w:val="left"/>
      <w:lvlText w:val="(%1)"/>
      <w:numFmt w:val="decimal"/>
      <w:start w:val="2"/>
    </w:lvl>
  </w:abstractNum>
  <w:abstractNum w:abstractNumId="55">
    <w:nsid w:val="10233C99"/>
    <w:multiLevelType w:val="hybridMultilevel"/>
    <w:lvl w:ilvl="0">
      <w:lvlJc w:val="left"/>
      <w:lvlText w:val="(%1)"/>
      <w:numFmt w:val="lowerLetter"/>
      <w:start w:val="2"/>
    </w:lvl>
  </w:abstractNum>
  <w:abstractNum w:abstractNumId="56">
    <w:nsid w:val="3F6AB60F"/>
    <w:multiLevelType w:val="hybridMultilevel"/>
    <w:lvl w:ilvl="0">
      <w:lvlJc w:val="left"/>
      <w:lvlText w:val="(%1)"/>
      <w:numFmt w:val="lowerLetter"/>
      <w:start w:val="4"/>
    </w:lvl>
  </w:abstractNum>
  <w:abstractNum w:abstractNumId="57">
    <w:nsid w:val="61574095"/>
    <w:multiLevelType w:val="hybridMultilevel"/>
    <w:lvl w:ilvl="0">
      <w:lvlJc w:val="left"/>
      <w:lvlText w:val="(%1)"/>
      <w:numFmt w:val="lowerRoman"/>
      <w:start w:val="2"/>
    </w:lvl>
  </w:abstractNum>
  <w:abstractNum w:abstractNumId="58">
    <w:nsid w:val="7E0C57B1"/>
    <w:multiLevelType w:val="hybridMultilevel"/>
    <w:lvl w:ilvl="0">
      <w:lvlJc w:val="left"/>
      <w:lvlText w:val="(%1)"/>
      <w:numFmt w:val="lowerLetter"/>
      <w:start w:val="5"/>
    </w:lvl>
  </w:abstractNum>
  <w:abstractNum w:abstractNumId="59">
    <w:nsid w:val="77AE35EB"/>
    <w:multiLevelType w:val="hybridMultilevel"/>
    <w:lvl w:ilvl="0">
      <w:lvlJc w:val="left"/>
      <w:lvlText w:val="(%1)"/>
      <w:numFmt w:val="lowerLetter"/>
      <w:start w:val="6"/>
    </w:lvl>
  </w:abstractNum>
  <w:abstractNum w:abstractNumId="60">
    <w:nsid w:val="579BE4F1"/>
    <w:multiLevelType w:val="hybridMultilevel"/>
    <w:lvl w:ilvl="0">
      <w:lvlJc w:val="left"/>
      <w:lvlText w:val="(%1)"/>
      <w:numFmt w:val="lowerLetter"/>
      <w:start w:val="2"/>
    </w:lvl>
  </w:abstractNum>
  <w:abstractNum w:abstractNumId="61">
    <w:nsid w:val="310C50B3"/>
    <w:multiLevelType w:val="hybridMultilevel"/>
    <w:lvl w:ilvl="0">
      <w:lvlJc w:val="left"/>
      <w:lvlText w:val="(%1)"/>
      <w:numFmt w:val="lowerRoman"/>
      <w:start w:val="1"/>
    </w:lvl>
  </w:abstractNum>
  <w:abstractNum w:abstractNumId="62">
    <w:nsid w:val="5FF87E05"/>
    <w:multiLevelType w:val="hybridMultilevel"/>
    <w:lvl w:ilvl="0">
      <w:lvlJc w:val="left"/>
      <w:lvlText w:val="(%1)"/>
      <w:numFmt w:val="lowerRoman"/>
      <w:start w:val="4"/>
    </w:lvl>
  </w:abstractNum>
  <w:abstractNum w:abstractNumId="63">
    <w:nsid w:val="2F305DEF"/>
    <w:multiLevelType w:val="hybridMultilevel"/>
    <w:lvl w:ilvl="0">
      <w:lvlJc w:val="left"/>
      <w:lvlText w:val="(%1)"/>
      <w:numFmt w:val="lowerLetter"/>
      <w:start w:val="1"/>
    </w:lvl>
    <w:lvl w:ilvl="1">
      <w:lvlJc w:val="left"/>
      <w:lvlText w:val="•"/>
      <w:numFmt w:val="bullet"/>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2019-12-09T17:34:48Z</dcterms:created>
  <dcterms:modified xsi:type="dcterms:W3CDTF">2019-12-09T17:34:48Z</dcterms:modified>
</cp:coreProperties>
</file>