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22225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43180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7" w:lineRule="exact"/>
        <w:rPr>
          <w:sz w:val="24"/>
          <w:szCs w:val="24"/>
          <w:color w:val="auto"/>
        </w:rPr>
      </w:pPr>
    </w:p>
    <w:p>
      <w:pPr>
        <w:ind w:left="760" w:right="4740" w:hanging="752"/>
        <w:spacing w:after="0" w:line="283" w:lineRule="auto"/>
        <w:tabs>
          <w:tab w:leader="none" w:pos="74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0" w:lineRule="exact"/>
        <w:rPr>
          <w:sz w:val="24"/>
          <w:szCs w:val="24"/>
          <w:color w:val="auto"/>
        </w:rPr>
      </w:pPr>
    </w:p>
    <w:p>
      <w:pPr>
        <w:ind w:left="760" w:right="4420" w:hanging="752"/>
        <w:spacing w:after="0" w:line="328" w:lineRule="auto"/>
        <w:tabs>
          <w:tab w:leader="none" w:pos="75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4220" w:type="dxa"/>
        <w:tblCellMar>
          <w:top w:w="0" w:type="dxa"/>
          <w:left w:w="0" w:type="dxa"/>
          <w:bottom w:w="0" w:type="dxa"/>
          <w:right w:w="0" w:type="dxa"/>
        </w:tblCellMar>
      </w:tblPr>
      <w:tr>
        <w:trPr>
          <w:trHeight w:val="159"/>
        </w:trPr>
        <w:tc>
          <w:tcPr>
            <w:tcW w:w="27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For the transition period from</w:t>
            </w:r>
          </w:p>
        </w:tc>
        <w:tc>
          <w:tcPr>
            <w:tcW w:w="98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to</w:t>
            </w:r>
          </w:p>
        </w:tc>
      </w:tr>
      <w:tr>
        <w:trPr>
          <w:trHeight w:val="173"/>
        </w:trPr>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001-32492</w:t>
            </w: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186"/>
        </w:trPr>
        <w:tc>
          <w:tcPr>
            <w:tcW w:w="27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(Commission File Number)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50800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18"/>
        </w:trPr>
        <w:tc>
          <w:tcPr>
            <w:tcW w:w="4400" w:type="dxa"/>
            <w:vAlign w:val="bottom"/>
          </w:tcPr>
          <w:p>
            <w:pPr>
              <w:spacing w:after="0"/>
              <w:rPr>
                <w:sz w:val="24"/>
                <w:szCs w:val="24"/>
                <w:color w:val="auto"/>
              </w:rPr>
            </w:pPr>
          </w:p>
        </w:tc>
        <w:tc>
          <w:tcPr>
            <w:tcW w:w="3060" w:type="dxa"/>
            <w:vAlign w:val="bottom"/>
            <w:gridSpan w:val="4"/>
          </w:tcPr>
          <w:p>
            <w:pPr>
              <w:jc w:val="center"/>
              <w:ind w:right="420"/>
              <w:spacing w:after="0"/>
              <w:rPr>
                <w:sz w:val="20"/>
                <w:szCs w:val="20"/>
                <w:color w:val="auto"/>
              </w:rPr>
            </w:pPr>
            <w:r>
              <w:rPr>
                <w:rFonts w:ascii="Arial" w:cs="Arial" w:eastAsia="Arial" w:hAnsi="Arial"/>
                <w:sz w:val="34"/>
                <w:szCs w:val="34"/>
                <w:b w:val="1"/>
                <w:bCs w:val="1"/>
                <w:color w:val="auto"/>
              </w:rPr>
              <w:t>LAZARD LTD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400" w:type="dxa"/>
            <w:vAlign w:val="bottom"/>
          </w:tcPr>
          <w:p>
            <w:pPr>
              <w:spacing w:after="0"/>
              <w:rPr>
                <w:sz w:val="13"/>
                <w:szCs w:val="13"/>
                <w:color w:val="auto"/>
              </w:rPr>
            </w:pPr>
          </w:p>
        </w:tc>
        <w:tc>
          <w:tcPr>
            <w:tcW w:w="3060" w:type="dxa"/>
            <w:vAlign w:val="bottom"/>
            <w:gridSpan w:val="4"/>
          </w:tcPr>
          <w:p>
            <w:pPr>
              <w:jc w:val="center"/>
              <w:ind w:right="440"/>
              <w:spacing w:after="0"/>
              <w:rPr>
                <w:sz w:val="20"/>
                <w:szCs w:val="20"/>
                <w:color w:val="auto"/>
              </w:rPr>
            </w:pPr>
            <w:r>
              <w:rPr>
                <w:rFonts w:ascii="Arial" w:cs="Arial" w:eastAsia="Arial" w:hAnsi="Arial"/>
                <w:sz w:val="12"/>
                <w:szCs w:val="12"/>
                <w:b w:val="1"/>
                <w:bCs w:val="1"/>
                <w:color w:val="auto"/>
                <w:w w:val="87"/>
              </w:rPr>
              <w:t>(Exact name of registrant as specified in its charter)</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40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746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5"/>
              </w:rPr>
              <w:t>Bermuda</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jc w:val="right"/>
              <w:ind w:right="2368"/>
              <w:spacing w:after="0"/>
              <w:rPr>
                <w:sz w:val="20"/>
                <w:szCs w:val="20"/>
                <w:color w:val="auto"/>
              </w:rPr>
            </w:pPr>
            <w:r>
              <w:rPr>
                <w:rFonts w:ascii="Arial" w:cs="Arial" w:eastAsia="Arial" w:hAnsi="Arial"/>
                <w:sz w:val="14"/>
                <w:szCs w:val="14"/>
                <w:b w:val="1"/>
                <w:bCs w:val="1"/>
                <w:color w:val="auto"/>
              </w:rPr>
              <w:t>98-0437848</w:t>
            </w:r>
          </w:p>
        </w:tc>
        <w:tc>
          <w:tcPr>
            <w:tcW w:w="0" w:type="dxa"/>
            <w:vAlign w:val="bottom"/>
          </w:tcPr>
          <w:p>
            <w:pPr>
              <w:spacing w:after="0"/>
              <w:rPr>
                <w:sz w:val="1"/>
                <w:szCs w:val="1"/>
                <w:color w:val="auto"/>
              </w:rPr>
            </w:pPr>
          </w:p>
        </w:tc>
      </w:tr>
      <w:tr>
        <w:trPr>
          <w:trHeight w:val="135"/>
        </w:trPr>
        <w:tc>
          <w:tcPr>
            <w:tcW w:w="7460" w:type="dxa"/>
            <w:vAlign w:val="bottom"/>
            <w:gridSpan w:val="5"/>
          </w:tcPr>
          <w:p>
            <w:pPr>
              <w:jc w:val="center"/>
              <w:ind w:right="1740"/>
              <w:spacing w:after="0" w:line="135" w:lineRule="exact"/>
              <w:rPr>
                <w:sz w:val="20"/>
                <w:szCs w:val="20"/>
                <w:color w:val="auto"/>
              </w:rPr>
            </w:pPr>
            <w:r>
              <w:rPr>
                <w:rFonts w:ascii="Arial" w:cs="Arial" w:eastAsia="Arial" w:hAnsi="Arial"/>
                <w:sz w:val="12"/>
                <w:szCs w:val="12"/>
                <w:b w:val="1"/>
                <w:bCs w:val="1"/>
                <w:color w:val="auto"/>
                <w:w w:val="89"/>
              </w:rPr>
              <w:t>(State or Other Jurisdiction of Incorporation</w:t>
            </w:r>
          </w:p>
        </w:tc>
        <w:tc>
          <w:tcPr>
            <w:tcW w:w="3960" w:type="dxa"/>
            <w:vAlign w:val="bottom"/>
            <w:gridSpan w:val="3"/>
          </w:tcPr>
          <w:p>
            <w:pPr>
              <w:jc w:val="right"/>
              <w:ind w:right="1888"/>
              <w:spacing w:after="0" w:line="135" w:lineRule="exact"/>
              <w:rPr>
                <w:sz w:val="20"/>
                <w:szCs w:val="20"/>
                <w:color w:val="auto"/>
              </w:rPr>
            </w:pPr>
            <w:r>
              <w:rPr>
                <w:rFonts w:ascii="Arial" w:cs="Arial" w:eastAsia="Arial" w:hAnsi="Arial"/>
                <w:sz w:val="12"/>
                <w:szCs w:val="12"/>
                <w:b w:val="1"/>
                <w:bCs w:val="1"/>
                <w:color w:val="auto"/>
              </w:rPr>
              <w:t>(I.R.S. Employer Identification No.)</w:t>
            </w:r>
          </w:p>
        </w:tc>
        <w:tc>
          <w:tcPr>
            <w:tcW w:w="0" w:type="dxa"/>
            <w:vAlign w:val="bottom"/>
          </w:tcPr>
          <w:p>
            <w:pPr>
              <w:spacing w:after="0"/>
              <w:rPr>
                <w:sz w:val="1"/>
                <w:szCs w:val="1"/>
                <w:color w:val="auto"/>
              </w:rPr>
            </w:pPr>
          </w:p>
        </w:tc>
      </w:tr>
      <w:tr>
        <w:trPr>
          <w:trHeight w:val="150"/>
        </w:trPr>
        <w:tc>
          <w:tcPr>
            <w:tcW w:w="7460" w:type="dxa"/>
            <w:vAlign w:val="bottom"/>
            <w:gridSpan w:val="5"/>
          </w:tcPr>
          <w:p>
            <w:pPr>
              <w:jc w:val="center"/>
              <w:ind w:right="1740"/>
              <w:spacing w:after="0"/>
              <w:rPr>
                <w:sz w:val="20"/>
                <w:szCs w:val="20"/>
                <w:color w:val="auto"/>
              </w:rPr>
            </w:pPr>
            <w:r>
              <w:rPr>
                <w:rFonts w:ascii="Arial" w:cs="Arial" w:eastAsia="Arial" w:hAnsi="Arial"/>
                <w:sz w:val="12"/>
                <w:szCs w:val="12"/>
                <w:b w:val="1"/>
                <w:bCs w:val="1"/>
                <w:color w:val="auto"/>
                <w:w w:val="90"/>
              </w:rPr>
              <w:t>or Organization)</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3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Clarendon House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0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2 Church Street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0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Hamilton HM11, Bermuda</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30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60" w:type="dxa"/>
            <w:vAlign w:val="bottom"/>
            <w:gridSpan w:val="5"/>
          </w:tcPr>
          <w:p>
            <w:pPr>
              <w:jc w:val="center"/>
              <w:ind w:left="3912"/>
              <w:spacing w:after="0"/>
              <w:rPr>
                <w:sz w:val="20"/>
                <w:szCs w:val="20"/>
                <w:color w:val="auto"/>
              </w:rPr>
            </w:pPr>
            <w:r>
              <w:rPr>
                <w:rFonts w:ascii="Arial" w:cs="Arial" w:eastAsia="Arial" w:hAnsi="Arial"/>
                <w:sz w:val="14"/>
                <w:szCs w:val="14"/>
                <w:b w:val="1"/>
                <w:bCs w:val="1"/>
                <w:color w:val="auto"/>
                <w:w w:val="92"/>
              </w:rPr>
              <w:t>Registrant’s telephone number: (441) 295-1422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40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7460" w:type="dxa"/>
            <w:vAlign w:val="bottom"/>
            <w:gridSpan w:val="5"/>
          </w:tcPr>
          <w:p>
            <w:pPr>
              <w:jc w:val="center"/>
              <w:ind w:left="3892"/>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60" w:type="dxa"/>
            <w:vAlign w:val="bottom"/>
            <w:gridSpan w:val="5"/>
          </w:tcPr>
          <w:p>
            <w:pPr>
              <w:jc w:val="center"/>
              <w:ind w:right="1860"/>
              <w:spacing w:after="0"/>
              <w:rPr>
                <w:sz w:val="20"/>
                <w:szCs w:val="20"/>
                <w:color w:val="auto"/>
              </w:rPr>
            </w:pPr>
            <w:r>
              <w:rPr>
                <w:rFonts w:ascii="Arial" w:cs="Arial" w:eastAsia="Arial" w:hAnsi="Arial"/>
                <w:sz w:val="12"/>
                <w:szCs w:val="12"/>
                <w:b w:val="1"/>
                <w:bCs w:val="1"/>
                <w:color w:val="auto"/>
                <w:w w:val="85"/>
              </w:rPr>
              <w:t>Title of each class</w:t>
            </w:r>
          </w:p>
        </w:tc>
        <w:tc>
          <w:tcPr>
            <w:tcW w:w="3960" w:type="dxa"/>
            <w:vAlign w:val="bottom"/>
            <w:gridSpan w:val="3"/>
          </w:tcPr>
          <w:p>
            <w:pPr>
              <w:jc w:val="right"/>
              <w:ind w:right="1568"/>
              <w:spacing w:after="0"/>
              <w:rPr>
                <w:sz w:val="20"/>
                <w:szCs w:val="20"/>
                <w:color w:val="auto"/>
              </w:rPr>
            </w:pPr>
            <w:r>
              <w:rPr>
                <w:rFonts w:ascii="Arial" w:cs="Arial" w:eastAsia="Arial" w:hAnsi="Arial"/>
                <w:sz w:val="12"/>
                <w:szCs w:val="12"/>
                <w:b w:val="1"/>
                <w:bCs w:val="1"/>
                <w:color w:val="auto"/>
                <w:w w:val="90"/>
              </w:rPr>
              <w:t>Name of each exchange on which registered</w:t>
            </w:r>
          </w:p>
        </w:tc>
        <w:tc>
          <w:tcPr>
            <w:tcW w:w="0" w:type="dxa"/>
            <w:vAlign w:val="bottom"/>
          </w:tcPr>
          <w:p>
            <w:pPr>
              <w:spacing w:after="0"/>
              <w:rPr>
                <w:sz w:val="1"/>
                <w:szCs w:val="1"/>
                <w:color w:val="auto"/>
              </w:rPr>
            </w:pPr>
          </w:p>
        </w:tc>
      </w:tr>
      <w:tr>
        <w:trPr>
          <w:trHeight w:val="180"/>
        </w:trPr>
        <w:tc>
          <w:tcPr>
            <w:tcW w:w="56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Class A Common Stock, par value $0.01 per share</w:t>
            </w:r>
          </w:p>
        </w:tc>
        <w:tc>
          <w:tcPr>
            <w:tcW w:w="240" w:type="dxa"/>
            <w:vAlign w:val="bottom"/>
          </w:tcPr>
          <w:p>
            <w:pPr>
              <w:spacing w:after="0"/>
              <w:rPr>
                <w:sz w:val="15"/>
                <w:szCs w:val="15"/>
                <w:color w:val="auto"/>
              </w:rPr>
            </w:pPr>
          </w:p>
        </w:tc>
        <w:tc>
          <w:tcPr>
            <w:tcW w:w="16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34"/>
        </w:trPr>
        <w:tc>
          <w:tcPr>
            <w:tcW w:w="7760" w:type="dxa"/>
            <w:vAlign w:val="bottom"/>
            <w:gridSpan w:val="6"/>
          </w:tcPr>
          <w:p>
            <w:pPr>
              <w:jc w:val="center"/>
              <w:ind w:left="3612"/>
              <w:spacing w:after="0"/>
              <w:rPr>
                <w:sz w:val="20"/>
                <w:szCs w:val="20"/>
                <w:color w:val="auto"/>
              </w:rPr>
            </w:pPr>
            <w:r>
              <w:rPr>
                <w:rFonts w:ascii="Arial" w:cs="Arial" w:eastAsia="Arial" w:hAnsi="Arial"/>
                <w:sz w:val="14"/>
                <w:szCs w:val="14"/>
                <w:color w:val="auto"/>
                <w:w w:val="92"/>
              </w:rPr>
              <w:t>Securities Registered Pursuant to Section 12(g) of the Act: None</w:t>
            </w: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440" w:type="dxa"/>
            <w:vAlign w:val="bottom"/>
            <w:vMerge w:val="restart"/>
          </w:tcPr>
          <w:p>
            <w:pPr>
              <w:jc w:val="right"/>
              <w:ind w:right="286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9"/>
        </w:trPr>
        <w:tc>
          <w:tcPr>
            <w:tcW w:w="7460" w:type="dxa"/>
            <w:vAlign w:val="bottom"/>
            <w:gridSpan w:val="5"/>
          </w:tcPr>
          <w:p>
            <w:pPr>
              <w:ind w:left="60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Arial" w:cs="Arial" w:eastAsia="Arial" w:hAnsi="Arial"/>
                <w:sz w:val="14"/>
                <w:szCs w:val="14"/>
                <w:color w:val="auto"/>
                <w:w w:val="82"/>
              </w:rPr>
              <w:t>Yes</w:t>
            </w:r>
          </w:p>
        </w:tc>
        <w:tc>
          <w:tcPr>
            <w:tcW w:w="220" w:type="dxa"/>
            <w:vAlign w:val="bottom"/>
            <w:vMerge w:val="continue"/>
          </w:tcPr>
          <w:p>
            <w:pPr>
              <w:spacing w:after="0"/>
              <w:rPr>
                <w:sz w:val="19"/>
                <w:szCs w:val="19"/>
                <w:color w:val="auto"/>
              </w:rPr>
            </w:pPr>
          </w:p>
        </w:tc>
        <w:tc>
          <w:tcPr>
            <w:tcW w:w="3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gridSpan w:val="5"/>
          </w:tcPr>
          <w:p>
            <w:pPr>
              <w:ind w:left="600"/>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No</w:t>
            </w:r>
          </w:p>
        </w:tc>
        <w:tc>
          <w:tcPr>
            <w:tcW w:w="3440" w:type="dxa"/>
            <w:vAlign w:val="bottom"/>
          </w:tcPr>
          <w:p>
            <w:pPr>
              <w:jc w:val="right"/>
              <w:ind w:right="32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6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340" w:firstLine="598"/>
        <w:spacing w:after="0" w:line="247"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ind w:right="60" w:firstLine="59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180" w:firstLine="598"/>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55" w:right="239" w:bottom="1440" w:gutter="0" w:footer="0" w:header="0"/>
        </w:sectPr>
      </w:pPr>
    </w:p>
    <w:p>
      <w:pPr>
        <w:spacing w:after="0" w:line="28" w:lineRule="exact"/>
        <w:rPr>
          <w:sz w:val="24"/>
          <w:szCs w:val="24"/>
          <w:color w:val="auto"/>
        </w:rPr>
      </w:pPr>
    </w:p>
    <w:p>
      <w:pPr>
        <w:ind w:left="60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1900" w:space="60"/>
            <w:col w:w="2000" w:space="720"/>
            <w:col w:w="960" w:space="80"/>
            <w:col w:w="5700"/>
          </w:cols>
          <w:pgMar w:left="240" w:top="355" w:right="23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820" w:space="80"/>
            <w:col w:w="2060" w:space="720"/>
            <w:col w:w="1580" w:space="60"/>
            <w:col w:w="5100"/>
          </w:cols>
          <w:pgMar w:left="240" w:top="355" w:right="239" w:bottom="1440" w:gutter="0" w:footer="0" w:header="0"/>
          <w:type w:val="continuous"/>
        </w:sectPr>
      </w:pPr>
    </w:p>
    <w:p>
      <w:pPr>
        <w:ind w:right="140" w:firstLine="598"/>
        <w:spacing w:after="0" w:line="191"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61" w:lineRule="exact"/>
        <w:tabs>
          <w:tab w:leader="none" w:pos="7320" w:val="left"/>
          <w:tab w:leader="none" w:pos="7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1" w:lineRule="exact"/>
        <w:rPr>
          <w:sz w:val="24"/>
          <w:szCs w:val="24"/>
          <w:color w:val="auto"/>
        </w:rPr>
      </w:pPr>
    </w:p>
    <w:p>
      <w:pPr>
        <w:ind w:left="600"/>
        <w:spacing w:after="0"/>
        <w:rPr>
          <w:sz w:val="20"/>
          <w:szCs w:val="20"/>
          <w:color w:val="auto"/>
        </w:rPr>
      </w:pPr>
      <w:r>
        <w:rPr>
          <w:rFonts w:ascii="Arial" w:cs="Arial" w:eastAsia="Arial" w:hAnsi="Arial"/>
          <w:sz w:val="14"/>
          <w:szCs w:val="14"/>
          <w:color w:val="auto"/>
        </w:rPr>
        <w:t>The aggregate market value of the common stock held by non-affiliates of the Registrant as of June 30, 2017 was approximately $5,558,845,377.</w:t>
      </w:r>
    </w:p>
    <w:p>
      <w:pPr>
        <w:spacing w:after="0" w:line="28" w:lineRule="exact"/>
        <w:rPr>
          <w:sz w:val="24"/>
          <w:szCs w:val="24"/>
          <w:color w:val="auto"/>
        </w:rPr>
      </w:pPr>
    </w:p>
    <w:p>
      <w:pPr>
        <w:ind w:left="600"/>
        <w:spacing w:after="0"/>
        <w:rPr>
          <w:sz w:val="20"/>
          <w:szCs w:val="20"/>
          <w:color w:val="auto"/>
        </w:rPr>
      </w:pPr>
      <w:r>
        <w:rPr>
          <w:rFonts w:ascii="Arial" w:cs="Arial" w:eastAsia="Arial" w:hAnsi="Arial"/>
          <w:sz w:val="14"/>
          <w:szCs w:val="14"/>
          <w:color w:val="auto"/>
        </w:rPr>
        <w:t>As of January 31, 2018, there were 129,766,091 shares of the Registrant’s Class A common stock outstanding (including 11,271,442 shares held by subsidiaries).</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1" w:lineRule="exact"/>
        <w:rPr>
          <w:sz w:val="24"/>
          <w:szCs w:val="24"/>
          <w:color w:val="auto"/>
        </w:rPr>
      </w:pPr>
    </w:p>
    <w:p>
      <w:pPr>
        <w:ind w:left="600"/>
        <w:spacing w:after="0"/>
        <w:rPr>
          <w:sz w:val="20"/>
          <w:szCs w:val="20"/>
          <w:color w:val="auto"/>
        </w:rPr>
      </w:pPr>
      <w:r>
        <w:rPr>
          <w:rFonts w:ascii="Arial" w:cs="Arial" w:eastAsia="Arial" w:hAnsi="Arial"/>
          <w:sz w:val="13"/>
          <w:szCs w:val="13"/>
          <w:color w:val="auto"/>
        </w:rPr>
        <w:t>Portions of the Registrant’s proxy statement for its 2018 annual general meeting of shareholders are incorporated by reference in this Form 10-K in response to Part III Items 10, 11, 12, 13</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626745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Form 10-K Item Number</w:t>
            </w:r>
          </w:p>
        </w:tc>
        <w:tc>
          <w:tcPr>
            <w:tcW w:w="940" w:type="dxa"/>
            <w:vAlign w:val="bottom"/>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480" w:type="dxa"/>
            <w:vAlign w:val="bottom"/>
            <w:gridSpan w:val="28"/>
            <w:vMerge w:val="continue"/>
          </w:tcPr>
          <w:p>
            <w:pPr>
              <w:spacing w:after="0"/>
              <w:rPr>
                <w:sz w:val="14"/>
                <w:szCs w:val="14"/>
                <w:color w:val="auto"/>
              </w:rPr>
            </w:pPr>
          </w:p>
        </w:tc>
        <w:tc>
          <w:tcPr>
            <w:tcW w:w="940" w:type="dxa"/>
            <w:vAlign w:val="bottom"/>
          </w:tcPr>
          <w:p>
            <w:pPr>
              <w:jc w:val="right"/>
              <w:ind w:right="271"/>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920" w:type="dxa"/>
            <w:vAlign w:val="bottom"/>
            <w:gridSpan w:val="2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 of the Registrant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1680" w:type="dxa"/>
            <w:vAlign w:val="bottom"/>
            <w:tcBorders>
              <w:top w:val="single" w:sz="8" w:color="0000EE"/>
            </w:tcBorders>
            <w:gridSpan w:val="6"/>
          </w:tcPr>
          <w:p>
            <w:pPr>
              <w:spacing w:after="0"/>
              <w:rPr>
                <w:sz w:val="24"/>
                <w:szCs w:val="24"/>
                <w:color w:val="auto"/>
              </w:rPr>
            </w:pPr>
          </w:p>
        </w:tc>
        <w:tc>
          <w:tcPr>
            <w:tcW w:w="6980" w:type="dxa"/>
            <w:vAlign w:val="bottom"/>
            <w:gridSpan w:val="1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Unresolved Staff Comments</w:t>
              </w:r>
            </w:hyperlink>
          </w:p>
        </w:tc>
        <w:tc>
          <w:tcPr>
            <w:tcW w:w="7520" w:type="dxa"/>
            <w:vAlign w:val="bottom"/>
            <w:gridSpan w:val="1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56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56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56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92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w:t>
              </w:r>
            </w:hyperlink>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956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150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Quantitative and Qualitative Disclosures About Market Risk</w:t>
              </w:r>
            </w:hyperlink>
          </w:p>
        </w:tc>
        <w:tc>
          <w:tcPr>
            <w:tcW w:w="520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56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Changes in and Disagreements with Accountants on Accounting and Financial Disclosure</w:t>
              </w:r>
            </w:hyperlink>
          </w:p>
        </w:tc>
        <w:tc>
          <w:tcPr>
            <w:tcW w:w="308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9560" w:type="dxa"/>
            <w:vAlign w:val="bottom"/>
            <w:gridSpan w:val="23"/>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Other Information</w:t>
              </w:r>
            </w:hyperlink>
          </w:p>
        </w:tc>
        <w:tc>
          <w:tcPr>
            <w:tcW w:w="7800" w:type="dxa"/>
            <w:vAlign w:val="bottom"/>
            <w:gridSpan w:val="1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318"/>
        </w:trPr>
        <w:tc>
          <w:tcPr>
            <w:tcW w:w="920" w:type="dxa"/>
            <w:vAlign w:val="bottom"/>
            <w:gridSpan w:val="5"/>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PART III</w:t>
              </w:r>
            </w:hyperlink>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560" w:type="dxa"/>
            <w:vAlign w:val="bottom"/>
            <w:gridSpan w:val="23"/>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Directors, Executive Officers and Corporate Governance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48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560" w:type="dxa"/>
            <w:vAlign w:val="bottom"/>
            <w:gridSpan w:val="23"/>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Security Ownership of Certain Beneficial Owners and Management and Related Stockholder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Certain Relationships and Related Transactions, and Director Independence</w:t>
              </w:r>
            </w:hyperlink>
          </w:p>
        </w:tc>
        <w:tc>
          <w:tcPr>
            <w:tcW w:w="228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Principal Accounting Fees and Services</w:t>
              </w:r>
            </w:hyperlink>
          </w:p>
        </w:tc>
        <w:tc>
          <w:tcPr>
            <w:tcW w:w="412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36">
              <w:r>
                <w:rPr>
                  <w:rFonts w:ascii="Arial" w:cs="Arial" w:eastAsia="Arial" w:hAnsi="Arial"/>
                  <w:sz w:val="18"/>
                  <w:szCs w:val="18"/>
                  <w:color w:val="0000EE"/>
                  <w:w w:val="94"/>
                </w:rPr>
                <w:t>PART IV</w:t>
              </w:r>
            </w:hyperlink>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Exhibits and Financial Statement Schedules</w:t>
              </w:r>
            </w:hyperlink>
          </w:p>
        </w:tc>
        <w:tc>
          <w:tcPr>
            <w:tcW w:w="640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Index to Financial Statements and Financial Statement Schedule Items 15(a)(1) and 15(a)(2)</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60" w:type="dxa"/>
            <w:vAlign w:val="bottom"/>
            <w:gridSpan w:val="18"/>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80" w:type="dxa"/>
            <w:vAlign w:val="bottom"/>
            <w:gridSpan w:val="28"/>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December 31, 2017 of all of the common membership interests in Lazard Group and its controlling interest in Lazard Group.</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12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Arial" w:cs="Arial" w:eastAsia="Arial" w:hAnsi="Arial"/>
          <w:sz w:val="18"/>
          <w:szCs w:val="18"/>
          <w:i w:val="1"/>
          <w:iCs w:val="1"/>
          <w:color w:val="auto"/>
        </w:rPr>
        <w:t>M&amp;A</w:t>
      </w:r>
      <w:r>
        <w:rPr>
          <w:rFonts w:ascii="Arial" w:cs="Arial" w:eastAsia="Arial" w:hAnsi="Arial"/>
          <w:sz w:val="18"/>
          <w:szCs w:val="18"/>
          <w:color w:val="auto"/>
        </w:rPr>
        <w:t>”) and other strategic matters, restructurings, capital structure, capital raising, shareholder advisory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88" w:lineRule="exact"/>
        <w:rPr>
          <w:sz w:val="20"/>
          <w:szCs w:val="20"/>
          <w:color w:val="auto"/>
        </w:rPr>
      </w:pPr>
    </w:p>
    <w:p>
      <w:pPr>
        <w:ind w:right="360" w:firstLine="598"/>
        <w:spacing w:after="0" w:line="279" w:lineRule="auto"/>
        <w:rPr>
          <w:sz w:val="20"/>
          <w:szCs w:val="20"/>
          <w:color w:val="auto"/>
        </w:rPr>
      </w:pPr>
      <w:r>
        <w:rPr>
          <w:rFonts w:ascii="Arial" w:cs="Arial" w:eastAsia="Arial" w:hAnsi="Arial"/>
          <w:sz w:val="17"/>
          <w:szCs w:val="17"/>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7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the years ended December 31, 2017, 2016 and 2015, our Financial Advisory segment net revenue totaled $1.388 billion, $1.301 billion and $1.280 billion, respectively, accounting for approximately 52%, 56% and 54%, respectively, of our consolidated net revenue for such years. We earned $1 million or more from 304 clients, 276 clients and 268 clients for the years ended December 31, 2017, 2016 and 2015, respectively. For the years ended December 31, 2017, 2016 and 2015, the ten largest fee paying clients constituted approximately 22%, 23% and 17%, respectively, of our Financial Advisory segment net revenue, with no client individually contributing more than 10% of segment net revenue during any of these years. For the years ended December 31, 2017, 2016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right="100"/>
        <w:spacing w:after="0" w:line="277" w:lineRule="auto"/>
        <w:rPr>
          <w:sz w:val="20"/>
          <w:szCs w:val="20"/>
          <w:color w:val="auto"/>
        </w:rPr>
      </w:pPr>
      <w:r>
        <w:rPr>
          <w:rFonts w:ascii="Arial" w:cs="Arial" w:eastAsia="Arial" w:hAnsi="Arial"/>
          <w:sz w:val="18"/>
          <w:szCs w:val="18"/>
          <w:color w:val="auto"/>
        </w:rPr>
        <w:t>2015, our Financial Advisory segment reported operating income of $244 million, $284 million and $274 million, respectively. At December 31, 2017, 2016 and 2015, our Financial Advisory segment had total assets of $843 million, $907 million and $763 million, respectively.</w:t>
      </w:r>
    </w:p>
    <w:p>
      <w:pPr>
        <w:spacing w:after="0" w:line="17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(the “U.S.”), the United Kingdom (the “U.K.”) and France, including a network of regional branch offices in the U.S., as well as a presence in Argentina, Australia, Belgium, Brazil, Canada, Chile, China, Colombia, Germany, Hong Kong, India, Italy, Japan, Mexico, the Netherlands, Panama, Peru, Singapore, Spain, Sweden, Switzerland and the Middle East region.</w:t>
      </w:r>
    </w:p>
    <w:p>
      <w:pPr>
        <w:spacing w:after="0" w:line="188"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173"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Our Financial Advisory business has made certain business acquisitions and entered into other strategic business relationships. For example, in 2014, we acquired certain securities sales and trading assets that facilitate the execution of exchange offers and other transactions related to financial advice provided by our Capital Advisory and Convertible Securities practice groups, and we took other steps that have enabled us to act as an underwriter in public offerings and other distributions of securities in order to buttress our Financial Advisory business. In 2015, we established a Lazard Central and Eastern Europe initiative to provide financial advisory services to businesses and governments in the region, as well as to our clients outside the region that are active in the region. In 2016, we expanded our North American Financial Advisory business through the acquisition of an independent financial advisory firm based in Canada, and we acquired the portion of MBA Lazard that we did not previously own, thereby fully integrating our Latin American operations.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Services Offered</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88" w:lineRule="exact"/>
        <w:rPr>
          <w:sz w:val="20"/>
          <w:szCs w:val="20"/>
          <w:color w:val="auto"/>
        </w:rPr>
      </w:pPr>
    </w:p>
    <w:p>
      <w:pPr>
        <w:ind w:right="220" w:firstLine="598"/>
        <w:spacing w:after="0" w:line="276" w:lineRule="auto"/>
        <w:rPr>
          <w:sz w:val="20"/>
          <w:szCs w:val="20"/>
          <w:color w:val="auto"/>
        </w:rPr>
      </w:pPr>
      <w:r>
        <w:rPr>
          <w:rFonts w:ascii="Arial" w:cs="Arial" w:eastAsia="Arial" w:hAnsi="Arial"/>
          <w:sz w:val="17"/>
          <w:szCs w:val="17"/>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ind w:firstLine="598"/>
        <w:spacing w:after="0" w:line="272" w:lineRule="auto"/>
        <w:rPr>
          <w:sz w:val="20"/>
          <w:szCs w:val="20"/>
          <w:color w:val="auto"/>
        </w:rPr>
      </w:pPr>
      <w:r>
        <w:rPr>
          <w:rFonts w:ascii="Arial" w:cs="Arial" w:eastAsia="Arial" w:hAnsi="Arial"/>
          <w:sz w:val="17"/>
          <w:szCs w:val="17"/>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7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70" w:lineRule="exact"/>
        <w:rPr>
          <w:sz w:val="20"/>
          <w:szCs w:val="20"/>
          <w:color w:val="auto"/>
        </w:rPr>
      </w:pPr>
    </w:p>
    <w:p>
      <w:pPr>
        <w:ind w:right="520" w:firstLine="598"/>
        <w:spacing w:after="0" w:line="264" w:lineRule="auto"/>
        <w:rPr>
          <w:sz w:val="20"/>
          <w:szCs w:val="20"/>
          <w:color w:val="auto"/>
        </w:rPr>
      </w:pPr>
      <w:r>
        <w:rPr>
          <w:rFonts w:ascii="Arial" w:cs="Arial" w:eastAsia="Arial" w:hAnsi="Arial"/>
          <w:sz w:val="18"/>
          <w:szCs w:val="18"/>
          <w:color w:val="auto"/>
        </w:rPr>
        <w:t>When we assist clients in connection with shareholder advisory and corporate preparedness matters, our services may include reviewing and analyzing the business and financial condition of the company and assisting in the evaluation of defense measures and strategic alternatives potentially available to the company.</w:t>
      </w:r>
    </w:p>
    <w:p>
      <w:pPr>
        <w:spacing w:after="0" w:line="18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When we assist clients in raising private or public market financing or capital, our services include assisting clients in connection with securing, refinancing or restructuring bank loans or other debt, including convertible securities, originating and executing, or participating in, public underwritings and private placements of equity, debt and convertible securities, and originating and executing private placements of partnership and similar interests in alternative investment funds such as leveraged buyout, mezzanine or real estate focused funds.</w:t>
      </w:r>
    </w:p>
    <w:p>
      <w:pPr>
        <w:spacing w:after="0" w:line="187"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We are at the forefront of providing independent advice to governments and governmental agencies challenged by economic developments. Lazard’s Sovereign Advisory Group has advised a number of countries and institutions with respect to sovereign debt and other financial matters.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Staffing</w:t>
      </w:r>
    </w:p>
    <w:p>
      <w:pPr>
        <w:spacing w:after="0" w:line="117"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We staff each of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shareholder advisory and other transactions or financial matters, depending on our clients’ needs. Many of our managing directors and senior employees come from diverse backgrounds, such as senior leadership positions in corporations, government, law and strategic consulting, which we believe enhances our ability to offer sophisticated advice and customized solutions to our clients. As of December 31, 2017, our Financial Advisory segment had 152 managing directors and 890 other professionals (which includes directors, vice presidents, associates and analysts).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Industries Served</w:t>
      </w:r>
    </w:p>
    <w:p>
      <w:pPr>
        <w:spacing w:after="0" w:line="117" w:lineRule="exact"/>
        <w:rPr>
          <w:sz w:val="20"/>
          <w:szCs w:val="20"/>
          <w:color w:val="auto"/>
        </w:rPr>
      </w:pPr>
    </w:p>
    <w:p>
      <w:pPr>
        <w:ind w:right="700" w:firstLine="598"/>
        <w:spacing w:after="0" w:line="342" w:lineRule="auto"/>
        <w:rPr>
          <w:sz w:val="20"/>
          <w:szCs w:val="20"/>
          <w:color w:val="auto"/>
        </w:rPr>
      </w:pPr>
      <w:r>
        <w:rPr>
          <w:rFonts w:ascii="Arial" w:cs="Arial" w:eastAsia="Arial" w:hAnsi="Arial"/>
          <w:sz w:val="16"/>
          <w:szCs w:val="16"/>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16"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and life sciences;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 w:name="page6"/>
    <w:bookmarkEnd w:id="5"/>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 addition to our Mergers and Acquisitions and Restructuring practices, we also maintain specialties in the following distinct practice areas within our Financial Advisory business:</w:t>
      </w:r>
    </w:p>
    <w:p>
      <w:pPr>
        <w:spacing w:after="0" w:line="62"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and sovereign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 and corporate preparedness advisory;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fund-raising for alternative investment funds; and</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finance and other services, including private placements, underwritten offerings related to our Financial Advisory business and transactions involving the exchange or issuance of convertible securities.</w:t>
      </w:r>
    </w:p>
    <w:p>
      <w:pPr>
        <w:spacing w:after="0" w:line="170"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focus in our Financial Advisory business is on:</w:t>
      </w:r>
    </w:p>
    <w:p>
      <w:pPr>
        <w:spacing w:after="0" w:line="117" w:lineRule="exact"/>
        <w:rPr>
          <w:sz w:val="20"/>
          <w:szCs w:val="20"/>
          <w:color w:val="auto"/>
        </w:rPr>
      </w:pPr>
    </w:p>
    <w:p>
      <w:pPr>
        <w:ind w:left="1200" w:hanging="598"/>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investing in our intellectual capital through senior professionals who we believe have strong client relationships and industry expertise;</w:t>
      </w:r>
    </w:p>
    <w:p>
      <w:pPr>
        <w:spacing w:after="0" w:line="128" w:lineRule="exact"/>
        <w:rPr>
          <w:rFonts w:ascii="Arial" w:cs="Arial" w:eastAsia="Arial" w:hAnsi="Arial"/>
          <w:sz w:val="17"/>
          <w:szCs w:val="17"/>
          <w:color w:val="auto"/>
        </w:rPr>
      </w:pPr>
    </w:p>
    <w:p>
      <w:pPr>
        <w:ind w:left="1200" w:right="7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contacts with existing clients to further enhance our long-term relationships and our efforts in developing new client relationships;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new client relationships;</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Shareholder Advisory and Sovereign Advisory groups;</w:t>
      </w:r>
    </w:p>
    <w:p>
      <w:pPr>
        <w:spacing w:after="0" w:line="62"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other professionals;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bolstering our existing presence in certain local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deploying our intellectual capital, strong client relationships and other assets to generate new revenue streams.</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62"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independent, unbiased financial advice;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recapitalization and related activities in developed and emerging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low interest rates and high corporate cash balances;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levels of cross-border M&amp;A and large capitalization M&amp;A, two of our areas of historical specialization;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M&amp;A activity that may result from tax, regulatory and similar reform in certain regions, including the U.S.</w:t>
      </w:r>
    </w:p>
    <w:p>
      <w:pPr>
        <w:spacing w:after="0" w:line="225"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through the active management of their portfolios. Our investment teams construct and manage portfolios using various techniques and investment philosophies, including traditional fundamental research and analysis and quantitative tools.</w:t>
      </w:r>
    </w:p>
    <w:p>
      <w:pPr>
        <w:spacing w:after="0" w:line="158"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As of December 31, 2017, total assets under management (“AUM”) were $249 billion, of which approximately 84% was invested in equities, 14% in fixed income, 1% in alternative investments and 1% in private equity funds. As of the same date, within the equity asset class, approximately 28% of our AUM was invested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21% in emerging markets strategies, 18% in global investment strategies and 17% in local investment strategies. Within the fixed income asset class, approximately 7% of our AUM was invested in emerging markets strategies, 4% in multi-regional (</w:t>
      </w:r>
      <w:r>
        <w:rPr>
          <w:rFonts w:ascii="Arial" w:cs="Arial" w:eastAsia="Arial" w:hAnsi="Arial"/>
          <w:sz w:val="16"/>
          <w:szCs w:val="16"/>
          <w:i w:val="1"/>
          <w:iCs w:val="1"/>
          <w:color w:val="auto"/>
        </w:rPr>
        <w:t>i.e.,</w:t>
      </w:r>
      <w:r>
        <w:rPr>
          <w:rFonts w:ascii="Arial" w:cs="Arial" w:eastAsia="Arial" w:hAnsi="Arial"/>
          <w:sz w:val="16"/>
          <w:szCs w:val="16"/>
          <w:color w:val="auto"/>
        </w:rPr>
        <w:t xml:space="preserve"> non-U.S. and regional non-U.S.) investment strategies, 1% in global investment strategies and 2% in local investment strategies. Our top ten clients accounted for 25%, 21% and 21% of our total AUM at December 31, 2017, 2016 and 2015, respectively, with no client individually contributing more than 10% of our Asset Management segment net revenue during any of the respective years. Approximately 88% of our AUM as of December 31, 2017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high-net worth individuals.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charts below illustrate the mix of our AUM as of December 31, 2017,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152400</wp:posOffset>
            </wp:positionV>
            <wp:extent cx="4605020" cy="1329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0502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40" w:firstLine="598"/>
        <w:spacing w:after="0" w:line="257" w:lineRule="auto"/>
        <w:rPr>
          <w:sz w:val="20"/>
          <w:szCs w:val="20"/>
          <w:color w:val="auto"/>
        </w:rPr>
      </w:pPr>
      <w:r>
        <w:rPr>
          <w:rFonts w:ascii="Arial" w:cs="Arial" w:eastAsia="Arial" w:hAnsi="Arial"/>
          <w:sz w:val="18"/>
          <w:szCs w:val="18"/>
          <w:color w:val="auto"/>
        </w:rPr>
        <w:t>For the years ended December 31, 2017, 2016 and 2015, our Asset Management segment net revenue totaled $1.256 billion, $1.051 billion and $1.111 billion, respectively, accounting for approximately 48%, 45% and 47%, respectively, of our consolidated net revenue for such years. For the years ended December 31, 2017, 2016 and 2015, our Asset Management segment reported operating income of $445 million, $282 million and $374 million, respectively. At December 31, 2017, 2016 and 2015, our Asset Management segment had total assets of $756 million, $646 million and $640 million, respectively.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jc w:val="both"/>
        <w:ind w:firstLine="598"/>
        <w:spacing w:after="0" w:line="259" w:lineRule="auto"/>
        <w:rPr>
          <w:sz w:val="20"/>
          <w:szCs w:val="20"/>
          <w:color w:val="auto"/>
        </w:rPr>
      </w:pPr>
      <w:r>
        <w:rPr>
          <w:rFonts w:ascii="Arial" w:cs="Arial" w:eastAsia="Arial" w:hAnsi="Arial"/>
          <w:sz w:val="18"/>
          <w:szCs w:val="18"/>
          <w:color w:val="auto"/>
        </w:rPr>
        <w:t>Our Asset Management business maintains offices in New York, Bordeaux, Boston, Brussels, Chicago, Dubai, Dublin, Frankfurt, Geneva, Hamburg, Hong Kong, London, Lyon, Madrid, Milan, Montreal, Nantes, Paris, San Francisco, Seoul, Singapore, Sydney, Tokyo, Toronto and Zurich. These operations, with 96 managing directors and 409 professionals as of December 31, 2017, provide our Asset Management business with both a global presence and a local identity.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117"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Investment Philosophy, Process and Research</w:t>
      </w:r>
    </w:p>
    <w:p>
      <w:pPr>
        <w:spacing w:after="0" w:line="225" w:lineRule="exact"/>
        <w:rPr>
          <w:sz w:val="20"/>
          <w:szCs w:val="20"/>
          <w:color w:val="auto"/>
        </w:rPr>
      </w:pPr>
    </w:p>
    <w:p>
      <w:pPr>
        <w:ind w:right="240" w:firstLine="549"/>
        <w:spacing w:after="0" w:line="277" w:lineRule="auto"/>
        <w:rPr>
          <w:sz w:val="20"/>
          <w:szCs w:val="20"/>
          <w:color w:val="auto"/>
        </w:rPr>
      </w:pPr>
      <w:r>
        <w:rPr>
          <w:rFonts w:ascii="Arial" w:cs="Arial" w:eastAsia="Arial" w:hAnsi="Arial"/>
          <w:sz w:val="18"/>
          <w:szCs w:val="18"/>
          <w:color w:val="auto"/>
        </w:rPr>
        <w:t>Our investment philosophy is generally based upon a fundamental security selection approach to investing. Across many of our products, we apply three key principles to investment portfolios:</w:t>
      </w:r>
    </w:p>
    <w:p>
      <w:pPr>
        <w:spacing w:after="0" w:line="62"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a company’s financial position, outlook, opportunities and risks, together with its valuation;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225" w:lineRule="exact"/>
        <w:rPr>
          <w:sz w:val="20"/>
          <w:szCs w:val="20"/>
          <w:color w:val="auto"/>
        </w:rPr>
      </w:pPr>
    </w:p>
    <w:p>
      <w:pPr>
        <w:ind w:right="1060" w:firstLine="598"/>
        <w:spacing w:after="0" w:line="277" w:lineRule="auto"/>
        <w:rPr>
          <w:sz w:val="20"/>
          <w:szCs w:val="20"/>
          <w:color w:val="auto"/>
        </w:rPr>
      </w:pPr>
      <w:r>
        <w:rPr>
          <w:rFonts w:ascii="Arial" w:cs="Arial" w:eastAsia="Arial" w:hAnsi="Arial"/>
          <w:sz w:val="18"/>
          <w:szCs w:val="18"/>
          <w:color w:val="auto"/>
        </w:rPr>
        <w:t>In searching for investment opportunities, many of our investment professionals follow an investment process that incorporates several interconnected components that may include:</w:t>
      </w:r>
    </w:p>
    <w:p>
      <w:pPr>
        <w:spacing w:after="0" w:line="62"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analytical analysis and screening;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225"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Many of our global equity analysts, located in our worldwide offices, are organized around six global industry sectors:</w:t>
      </w:r>
    </w:p>
    <w:p>
      <w:pPr>
        <w:spacing w:after="0" w:line="16"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and energy;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ind w:left="300"/>
        <w:spacing w:after="0"/>
        <w:rPr>
          <w:sz w:val="20"/>
          <w:szCs w:val="20"/>
          <w:color w:val="auto"/>
        </w:rPr>
      </w:pPr>
      <w:r>
        <w:rPr>
          <w:rFonts w:ascii="Arial" w:cs="Arial" w:eastAsia="Arial" w:hAnsi="Arial"/>
          <w:sz w:val="18"/>
          <w:szCs w:val="18"/>
          <w:i w:val="1"/>
          <w:iCs w:val="1"/>
          <w:color w:val="auto"/>
        </w:rPr>
        <w:t>Investment Strategies</w:t>
      </w:r>
    </w:p>
    <w:p>
      <w:pPr>
        <w:spacing w:after="0" w:line="117" w:lineRule="exact"/>
        <w:rPr>
          <w:sz w:val="20"/>
          <w:szCs w:val="20"/>
          <w:color w:val="auto"/>
        </w:rPr>
      </w:pPr>
    </w:p>
    <w:p>
      <w:pPr>
        <w:ind w:right="300" w:firstLine="549"/>
        <w:spacing w:after="0" w:line="308" w:lineRule="auto"/>
        <w:rPr>
          <w:sz w:val="20"/>
          <w:szCs w:val="20"/>
          <w:color w:val="auto"/>
        </w:rPr>
      </w:pPr>
      <w:r>
        <w:rPr>
          <w:rFonts w:ascii="Arial" w:cs="Arial" w:eastAsia="Arial" w:hAnsi="Arial"/>
          <w:sz w:val="17"/>
          <w:szCs w:val="17"/>
          <w:color w:val="auto"/>
        </w:rPr>
        <w:t>Our Asset Management business provides equity, fixed income, cash management and alternative investment strategies to our clients, paying close attention to our clients’ varying and expanding investment needs. We offer the following product platform of investment strategies: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vMerge w:val="restart"/>
          </w:tcPr>
          <w:p>
            <w:pPr>
              <w:spacing w:after="0"/>
              <w:rPr>
                <w:sz w:val="20"/>
                <w:szCs w:val="20"/>
                <w:color w:val="auto"/>
              </w:rPr>
            </w:pPr>
            <w:r>
              <w:rPr>
                <w:rFonts w:ascii="Arial" w:cs="Arial" w:eastAsia="Arial" w:hAnsi="Arial"/>
                <w:sz w:val="16"/>
                <w:szCs w:val="16"/>
                <w:b w:val="1"/>
                <w:bCs w:val="1"/>
                <w:color w:val="auto"/>
              </w:rPr>
              <w:t>Equity</w:t>
            </w:r>
          </w:p>
        </w:tc>
        <w:tc>
          <w:tcPr>
            <w:tcW w:w="2400" w:type="dxa"/>
            <w:vAlign w:val="bottom"/>
            <w:gridSpan w:val="2"/>
          </w:tcPr>
          <w:p>
            <w:pPr>
              <w:ind w:left="960"/>
              <w:spacing w:after="0"/>
              <w:rPr>
                <w:sz w:val="20"/>
                <w:szCs w:val="20"/>
                <w:color w:val="auto"/>
              </w:rPr>
            </w:pPr>
            <w:r>
              <w:rPr>
                <w:rFonts w:ascii="Arial" w:cs="Arial" w:eastAsia="Arial" w:hAnsi="Arial"/>
                <w:sz w:val="16"/>
                <w:szCs w:val="16"/>
                <w:b w:val="1"/>
                <w:bCs w:val="1"/>
                <w:color w:val="auto"/>
              </w:rPr>
              <w:t>Global</w:t>
            </w:r>
          </w:p>
        </w:tc>
        <w:tc>
          <w:tcPr>
            <w:tcW w:w="2400" w:type="dxa"/>
            <w:vAlign w:val="bottom"/>
            <w:gridSpan w:val="2"/>
          </w:tcPr>
          <w:p>
            <w:pPr>
              <w:ind w:left="660"/>
              <w:spacing w:after="0"/>
              <w:rPr>
                <w:sz w:val="20"/>
                <w:szCs w:val="20"/>
                <w:color w:val="auto"/>
              </w:rPr>
            </w:pPr>
            <w:r>
              <w:rPr>
                <w:rFonts w:ascii="Arial" w:cs="Arial" w:eastAsia="Arial" w:hAnsi="Arial"/>
                <w:sz w:val="16"/>
                <w:szCs w:val="16"/>
                <w:b w:val="1"/>
                <w:bCs w:val="1"/>
                <w:color w:val="auto"/>
              </w:rPr>
              <w:t>Multi-Regional</w:t>
            </w:r>
          </w:p>
        </w:tc>
        <w:tc>
          <w:tcPr>
            <w:tcW w:w="2440" w:type="dxa"/>
            <w:vAlign w:val="bottom"/>
            <w:gridSpan w:val="2"/>
          </w:tcPr>
          <w:p>
            <w:pPr>
              <w:ind w:left="1020"/>
              <w:spacing w:after="0"/>
              <w:rPr>
                <w:sz w:val="20"/>
                <w:szCs w:val="20"/>
                <w:color w:val="auto"/>
              </w:rPr>
            </w:pPr>
            <w:r>
              <w:rPr>
                <w:rFonts w:ascii="Arial" w:cs="Arial" w:eastAsia="Arial" w:hAnsi="Arial"/>
                <w:sz w:val="16"/>
                <w:szCs w:val="16"/>
                <w:b w:val="1"/>
                <w:bCs w:val="1"/>
                <w:color w:val="auto"/>
              </w:rPr>
              <w:t>Local</w:t>
            </w:r>
          </w:p>
        </w:tc>
        <w:tc>
          <w:tcPr>
            <w:tcW w:w="2260" w:type="dxa"/>
            <w:vAlign w:val="bottom"/>
          </w:tcPr>
          <w:p>
            <w:pPr>
              <w:ind w:left="540"/>
              <w:spacing w:after="0"/>
              <w:rPr>
                <w:sz w:val="20"/>
                <w:szCs w:val="20"/>
                <w:color w:val="auto"/>
              </w:rPr>
            </w:pPr>
            <w:r>
              <w:rPr>
                <w:rFonts w:ascii="Arial" w:cs="Arial" w:eastAsia="Arial" w:hAnsi="Arial"/>
                <w:sz w:val="16"/>
                <w:szCs w:val="16"/>
                <w:b w:val="1"/>
                <w:bCs w:val="1"/>
                <w:color w:val="auto"/>
              </w:rPr>
              <w:t>Emerging Markets</w:t>
            </w:r>
          </w:p>
        </w:tc>
        <w:tc>
          <w:tcPr>
            <w:tcW w:w="0" w:type="dxa"/>
            <w:vAlign w:val="bottom"/>
          </w:tcPr>
          <w:p>
            <w:pPr>
              <w:spacing w:after="0"/>
              <w:rPr>
                <w:sz w:val="1"/>
                <w:szCs w:val="1"/>
                <w:color w:val="auto"/>
              </w:rPr>
            </w:pPr>
          </w:p>
        </w:tc>
      </w:tr>
      <w:tr>
        <w:trPr>
          <w:trHeight w:val="189"/>
        </w:trPr>
        <w:tc>
          <w:tcPr>
            <w:tcW w:w="1920" w:type="dxa"/>
            <w:vAlign w:val="bottom"/>
            <w:vMerge w:val="continue"/>
          </w:tcPr>
          <w:p>
            <w:pPr>
              <w:spacing w:after="0"/>
              <w:rPr>
                <w:sz w:val="16"/>
                <w:szCs w:val="16"/>
                <w:color w:val="auto"/>
              </w:rPr>
            </w:pPr>
          </w:p>
        </w:tc>
        <w:tc>
          <w:tcPr>
            <w:tcW w:w="2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140" w:type="dxa"/>
            <w:vAlign w:val="bottom"/>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Large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Small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Thematic</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Small/Mid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Quantitative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Multi Strategies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Listed Infrastructure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60" w:type="dxa"/>
            <w:vAlign w:val="bottom"/>
          </w:tcPr>
          <w:p>
            <w:pPr>
              <w:ind w:left="100"/>
              <w:spacing w:after="0"/>
              <w:rPr>
                <w:sz w:val="20"/>
                <w:szCs w:val="20"/>
                <w:color w:val="auto"/>
              </w:rPr>
            </w:pPr>
            <w:r>
              <w:rPr>
                <w:rFonts w:ascii="Arial" w:cs="Arial" w:eastAsia="Arial" w:hAnsi="Arial"/>
                <w:sz w:val="16"/>
                <w:szCs w:val="16"/>
                <w:color w:val="auto"/>
              </w:rPr>
              <w:t>Managed Volatility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Real Estate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Trend</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Real Estate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Other</w:t>
            </w:r>
          </w:p>
        </w:tc>
        <w:tc>
          <w:tcPr>
            <w:tcW w:w="2260" w:type="dxa"/>
            <w:vAlign w:val="bottom"/>
          </w:tcPr>
          <w:p>
            <w:pPr>
              <w:ind w:left="100"/>
              <w:spacing w:after="0"/>
              <w:rPr>
                <w:sz w:val="20"/>
                <w:szCs w:val="20"/>
                <w:color w:val="auto"/>
              </w:rPr>
            </w:pPr>
            <w:r>
              <w:rPr>
                <w:rFonts w:ascii="Arial" w:cs="Arial" w:eastAsia="Arial" w:hAnsi="Arial"/>
                <w:sz w:val="16"/>
                <w:szCs w:val="16"/>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Strategies</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Continental European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Managed Volatility</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(Small Capitalization)</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Real Assets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Cap</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Quantitative</w:t>
            </w:r>
          </w:p>
        </w:tc>
        <w:tc>
          <w:tcPr>
            <w:tcW w:w="2260" w:type="dxa"/>
            <w:vAlign w:val="bottom"/>
          </w:tcPr>
          <w:p>
            <w:pPr>
              <w:ind w:left="100"/>
              <w:spacing w:after="0"/>
              <w:rPr>
                <w:sz w:val="20"/>
                <w:szCs w:val="20"/>
                <w:color w:val="auto"/>
              </w:rPr>
            </w:pPr>
            <w:r>
              <w:rPr>
                <w:rFonts w:ascii="Arial" w:cs="Arial" w:eastAsia="Arial" w:hAnsi="Arial"/>
                <w:sz w:val="16"/>
                <w:szCs w:val="16"/>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Multi-Factor</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Australia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Euro-Trend (Thematic)</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 Ex</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France (Small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Ex-U.K.</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Asian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Ex-Japan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Asia Ex-Japan</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Korea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Global Ex-Australia</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 Australasia and Far</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East</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Large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Quantitative</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5"/>
        </w:trPr>
        <w:tc>
          <w:tcPr>
            <w:tcW w:w="1920" w:type="dxa"/>
            <w:vAlign w:val="bottom"/>
          </w:tcPr>
          <w:p>
            <w:pPr>
              <w:spacing w:after="0"/>
              <w:rPr>
                <w:sz w:val="20"/>
                <w:szCs w:val="20"/>
                <w:color w:val="auto"/>
              </w:rPr>
            </w:pPr>
            <w:r>
              <w:rPr>
                <w:rFonts w:ascii="Arial" w:cs="Arial" w:eastAsia="Arial" w:hAnsi="Arial"/>
                <w:sz w:val="16"/>
                <w:szCs w:val="16"/>
                <w:b w:val="1"/>
                <w:bCs w:val="1"/>
                <w:color w:val="auto"/>
              </w:rPr>
              <w:t>Fixed Income and Cash</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Pan-European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7"/>
        </w:trPr>
        <w:tc>
          <w:tcPr>
            <w:tcW w:w="1920" w:type="dxa"/>
            <w:vAlign w:val="bottom"/>
          </w:tcPr>
          <w:p>
            <w:pPr>
              <w:spacing w:after="0"/>
              <w:rPr>
                <w:sz w:val="20"/>
                <w:szCs w:val="20"/>
                <w:color w:val="auto"/>
              </w:rPr>
            </w:pPr>
            <w:r>
              <w:rPr>
                <w:rFonts w:ascii="Arial" w:cs="Arial" w:eastAsia="Arial" w:hAnsi="Arial"/>
                <w:sz w:val="16"/>
                <w:szCs w:val="16"/>
                <w:b w:val="1"/>
                <w:bCs w:val="1"/>
                <w:color w:val="auto"/>
              </w:rPr>
              <w:t>Management</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Core Fixed Income</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High Yield</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Corporates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Short Duration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Duration Overlay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Municipals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vMerge w:val="restart"/>
          </w:tcPr>
          <w:p>
            <w:pPr>
              <w:ind w:left="100"/>
              <w:spacing w:after="0"/>
              <w:rPr>
                <w:sz w:val="20"/>
                <w:szCs w:val="20"/>
                <w:color w:val="auto"/>
              </w:rPr>
            </w:pPr>
            <w:r>
              <w:rPr>
                <w:rFonts w:ascii="Arial" w:cs="Arial" w:eastAsia="Arial" w:hAnsi="Arial"/>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Fixed Income</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Cash Management</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U.K. Fixed Income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Corporate Bonds</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9"/>
        </w:trPr>
        <w:tc>
          <w:tcPr>
            <w:tcW w:w="1920" w:type="dxa"/>
            <w:vAlign w:val="bottom"/>
          </w:tcPr>
          <w:p>
            <w:pPr>
              <w:spacing w:after="0"/>
              <w:rPr>
                <w:sz w:val="20"/>
                <w:szCs w:val="20"/>
                <w:color w:val="auto"/>
              </w:rPr>
            </w:pPr>
            <w:r>
              <w:rPr>
                <w:rFonts w:ascii="Arial" w:cs="Arial" w:eastAsia="Arial" w:hAnsi="Arial"/>
                <w:sz w:val="16"/>
                <w:szCs w:val="16"/>
                <w:b w:val="1"/>
                <w:bCs w:val="1"/>
                <w:color w:val="auto"/>
              </w:rPr>
              <w:t>Alternative</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European</w:t>
            </w: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U.S.</w:t>
            </w:r>
          </w:p>
        </w:tc>
        <w:tc>
          <w:tcPr>
            <w:tcW w:w="226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Fund of Closed-End Funds</w:t>
            </w: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Long/Short Equity</w:t>
            </w: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U.S. (Long/Short)</w:t>
            </w:r>
          </w:p>
        </w:tc>
        <w:tc>
          <w:tcPr>
            <w:tcW w:w="2260" w:type="dxa"/>
            <w:vAlign w:val="bottom"/>
          </w:tcPr>
          <w:p>
            <w:pPr>
              <w:ind w:left="100"/>
              <w:spacing w:after="0"/>
              <w:rPr>
                <w:sz w:val="20"/>
                <w:szCs w:val="20"/>
                <w:color w:val="auto"/>
              </w:rPr>
            </w:pPr>
            <w:r>
              <w:rPr>
                <w:rFonts w:ascii="Arial" w:cs="Arial" w:eastAsia="Arial" w:hAnsi="Arial"/>
                <w:sz w:val="16"/>
                <w:szCs w:val="16"/>
                <w:color w:val="auto"/>
              </w:rPr>
              <w:t>Emerging Income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320"/>
              <w:spacing w:after="0"/>
              <w:rPr>
                <w:sz w:val="20"/>
                <w:szCs w:val="20"/>
                <w:color w:val="auto"/>
              </w:rPr>
            </w:pPr>
            <w:r>
              <w:rPr>
                <w:rFonts w:ascii="Arial" w:cs="Arial" w:eastAsia="Arial" w:hAnsi="Arial"/>
                <w:sz w:val="16"/>
                <w:szCs w:val="16"/>
                <w:color w:val="auto"/>
              </w:rPr>
              <w:t>(Long and Long/Short)</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Convertible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b w:val="1"/>
                <w:bCs w:val="1"/>
                <w:i w:val="1"/>
                <w:iCs w:val="1"/>
                <w:color w:val="auto"/>
              </w:rPr>
              <w:t>Non-U.S.</w:t>
            </w:r>
          </w:p>
        </w:tc>
        <w:tc>
          <w:tcPr>
            <w:tcW w:w="2260" w:type="dxa"/>
            <w:vAlign w:val="bottom"/>
          </w:tcPr>
          <w:p>
            <w:pPr>
              <w:ind w:left="100"/>
              <w:spacing w:after="0"/>
              <w:rPr>
                <w:sz w:val="20"/>
                <w:szCs w:val="20"/>
                <w:color w:val="auto"/>
              </w:rPr>
            </w:pPr>
            <w:r>
              <w:rPr>
                <w:rFonts w:ascii="Arial" w:cs="Arial" w:eastAsia="Arial" w:hAnsi="Arial"/>
                <w:sz w:val="16"/>
                <w:szCs w:val="16"/>
                <w:color w:val="auto"/>
              </w:rPr>
              <w:t>Fund of Hedge Funds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Arbitrage/Relative Value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Arial" w:cs="Arial" w:eastAsia="Arial" w:hAnsi="Arial"/>
                <w:sz w:val="16"/>
                <w:szCs w:val="16"/>
                <w:color w:val="auto"/>
              </w:rPr>
              <w:t>Japan (Long/Short)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Multi Asset</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Arial" w:cs="Arial" w:eastAsia="Arial" w:hAnsi="Arial"/>
                <w:sz w:val="16"/>
                <w:szCs w:val="16"/>
                <w:color w:val="auto"/>
              </w:rPr>
              <w:t>Commodities</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In addition to the primary investment strategies listed above, we also provide other asset management services to our clients, including asset allocation and other investment advisory services, as well as locally customized investment solutions. In many cases, we also offer both diversified and more concentrated versions of our products. These products are generally offered on a separate account basis, as well as through pooled vehicles.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right="80" w:firstLine="598"/>
        <w:spacing w:after="0" w:line="255" w:lineRule="auto"/>
        <w:rPr>
          <w:sz w:val="20"/>
          <w:szCs w:val="20"/>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We distribute our products through a broad array of marketing channels on a global basis.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 network, with distribution professionals located in cities including New York, Bordeaux, Boston, Brussels, Chicago, Dubai, Frankfurt, Geneva, Hamburg, Hong Kong, London, Lyon, Madrid, Milan, Montreal, Nantes, Paris, San Francisco, Seoul, Singapore, Sydney, Tokyo, Toronto and Zurich.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93"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We also have become a leading firm in managing mutual funds, sub-advisory funds, and separately managed accounts for many of the world’s largest broker-dealers, insurance companies, registered advisors and other financial intermediaries.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73"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improved our investment management platform by adding a number of senior investment professionals (including portfolio managers and analysts);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expanding our marketing resources;</w:t>
      </w:r>
    </w:p>
    <w:p>
      <w:pPr>
        <w:spacing w:after="0" w:line="117"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our product platform, including through the addition of long/short equity strategies, quantitative equity strategies, a real asset strategy, a commodities team and an international value equity team; and</w:t>
      </w:r>
    </w:p>
    <w:p>
      <w:pPr>
        <w:spacing w:after="0" w:line="62" w:lineRule="exact"/>
        <w:rPr>
          <w:rFonts w:ascii="Arial" w:cs="Arial" w:eastAsia="Arial" w:hAnsi="Arial"/>
          <w:sz w:val="18"/>
          <w:szCs w:val="18"/>
          <w:color w:val="auto"/>
        </w:rPr>
      </w:pPr>
    </w:p>
    <w:p>
      <w:pPr>
        <w:ind w:left="1200" w:right="42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expand the geographic reach of our Asset Management business, including through opening offices in Dublin, Geneva and Madrid, and expanding in Milan and Zurich.</w:t>
      </w:r>
    </w:p>
    <w:p>
      <w:pPr>
        <w:spacing w:after="0" w:line="170"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and through organic growth, acquisitions or otherwise. We may also continue to expand our geographic reach.</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Alternative Investments</w:t>
      </w:r>
    </w:p>
    <w:p>
      <w:pPr>
        <w:spacing w:after="0" w:line="11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2017, Edgewater had approximately $1 billion of AUM and unfunded fee-earning commitments.</w:t>
      </w:r>
    </w:p>
    <w:p>
      <w:pPr>
        <w:spacing w:after="0" w:line="18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Historically, Lazard also has made selected investments with its own capital, often alongside capital of qualified institutional and individual investors in connection with Lazard’s selected alternative investments and 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performance-based incentive fees for the sponsor of such funds.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We believe that our people are our most important asset, and it is their reputation, talent, integrity and dedication that underpin our success. As of December 31, 2017, we employed 2,843 people, which included 152 managing directors and 890 other professionals in our Financial Advisory segment and 96 managing directors and 409 other professionals in our Asset Management segment. We strive to maintain a work environment that fosters professionalism, excellence, diversity, collaboration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78" w:lineRule="exact"/>
        <w:rPr>
          <w:sz w:val="20"/>
          <w:szCs w:val="20"/>
          <w:color w:val="auto"/>
        </w:rPr>
      </w:pPr>
    </w:p>
    <w:p>
      <w:pPr>
        <w:jc w:val="both"/>
        <w:ind w:right="400" w:firstLine="598"/>
        <w:spacing w:after="0" w:line="279" w:lineRule="auto"/>
        <w:rPr>
          <w:sz w:val="20"/>
          <w:szCs w:val="20"/>
          <w:color w:val="auto"/>
        </w:rPr>
      </w:pPr>
      <w:r>
        <w:rPr>
          <w:rFonts w:ascii="Arial" w:cs="Arial" w:eastAsia="Arial" w:hAnsi="Arial"/>
          <w:sz w:val="17"/>
          <w:szCs w:val="17"/>
          <w:color w:val="auto"/>
        </w:rPr>
        <w:t>While our competitors vary by country in our Financial Advisory business, we believe our primary competitors in securing engagements include Bank of America Merrill Lynch, Barclays, Centerview Partners, Citigroup, Credit Suisse, Deutsche Bank, Evercore Partners, Goldman Sachs, Greenhill, JPMorgan Chase, Morgan Stanley, Rothschild and UBS. In our Restructuring practice, we believe our primary competitors include Centerview Partners, Evercore Partners, Houlihan Lokey, PJT Partners, Moelis &amp; Company and Rothschild.</w:t>
      </w:r>
    </w:p>
    <w:p>
      <w:pPr>
        <w:spacing w:after="0" w:line="17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We believe that our primary global competitors in our Asset Management business include, in the case of Lazard Asset Management LLC (“LAM LLC”) and its subsidiaries (collectively, “LAM”), Aberdeen, Alliance Bernstein, Capital Management &amp; Research, Fidelity, Franklin Templeton, Invesco, JP Morgan Asset Management, Lord Abbett, MFS, Neuberger Berman and Schroders and, in the case of Lazard Frères Gestion SAS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78"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47"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Many of our competitors are large, consolidated financial institutions that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At the same time, demand for independent financial advice has increased and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 We also face competition from asset management firms that specialize in providing passively managed investment strategies at relatively low costs, which could result in pricing pressure in our Asset Management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ind w:left="600"/>
        <w:spacing w:after="0"/>
        <w:rPr>
          <w:sz w:val="20"/>
          <w:szCs w:val="20"/>
          <w:color w:val="auto"/>
        </w:rPr>
      </w:pPr>
      <w:r>
        <w:rPr>
          <w:rFonts w:ascii="Arial" w:cs="Arial" w:eastAsia="Arial" w:hAnsi="Arial"/>
          <w:sz w:val="17"/>
          <w:szCs w:val="17"/>
          <w:color w:val="auto"/>
        </w:rPr>
        <w:t>See Item 1A, “Risk Factors—The financial services industry, and all of the businesses in which we compete, are intensely competitive” below.</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6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The effect of any such changes cannot be predicted and may impact the manner of operation and profitability of our businesses.</w:t>
      </w:r>
    </w:p>
    <w:p>
      <w:pPr>
        <w:spacing w:after="0" w:line="158"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regulations regarding minimum capital retention requirements, record-keeping and reporting procedures, relationships with customers, experience and training requirements for certain employees, and business procedures with firms that are not members of certain regulatory bodies. In addition, LFNY is a member organization of the New York Stock Exchange LLC and the NYSE MKT LLC and is subject to various rules and regulations that have been promulgated by these securities exchanges. Lazard Asset Management Securities LLC (“LAM Securities”), a subsidiary of LAM LLC, is registered as a broker-dealer with the SEC and FINRA and in all 50 U.S. states, the District of Columbia and Puerto Rico. Lazard Middle Market LLC is registered as a broker-dealer with the SEC and FINRA, and as a broker-dealer in various U.S. states and territories.</w:t>
      </w:r>
    </w:p>
    <w:p>
      <w:pPr>
        <w:spacing w:after="0" w:line="18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66"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200"/>
        <w:spacing w:after="0" w:line="277" w:lineRule="auto"/>
        <w:rPr>
          <w:sz w:val="20"/>
          <w:szCs w:val="20"/>
          <w:color w:val="auto"/>
        </w:rPr>
      </w:pPr>
      <w:r>
        <w:rPr>
          <w:rFonts w:ascii="Arial" w:cs="Arial" w:eastAsia="Arial" w:hAnsi="Arial"/>
          <w:sz w:val="18"/>
          <w:szCs w:val="18"/>
          <w:color w:val="auto"/>
        </w:rPr>
        <w:t>Financial Services and Markets Act 2000, as amended by the Financial Services Act 2012. LCL has obtained the appropriate European investment services rights to provide cross-border services into a number of other members of the European Economic Area.</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have other subsidiaries that are registered as broker-dealers (or have similar non-U.S. registration) in various jurisdictions.</w:t>
      </w:r>
    </w:p>
    <w:p>
      <w:pPr>
        <w:spacing w:after="0" w:line="225"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LLC serves as an investment advisor to several U.S.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LAM Securities serves as an underwriter or distributor for mutual funds and private funds managed by LAM, and as an introducing broker to Pershing LLC for unmanaged accounts of certain of LAM LLC’s private clients.</w:t>
      </w:r>
    </w:p>
    <w:p>
      <w:pPr>
        <w:spacing w:after="0" w:line="167" w:lineRule="exact"/>
        <w:rPr>
          <w:sz w:val="20"/>
          <w:szCs w:val="20"/>
          <w:color w:val="auto"/>
        </w:rPr>
      </w:pPr>
    </w:p>
    <w:p>
      <w:pPr>
        <w:ind w:right="140" w:firstLine="598"/>
        <w:spacing w:after="0" w:line="287"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LFG (asset management),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89"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In addition, the Central Bank of Ireland, the Japanese Ministry of Finance and Financial Services Agency, the Korean Financial Supervisory Commission, the Securities and Futures Commission of Hong Kong, the Monetary Authority of Singapore, the Australian Securities &amp; Investments Commission, the Dubai Financial Services Authority, the Swiss Financial Market Supervisory Authority, the Italian Companies and Stock Exchange Commission and the German Federal Financial Supervisory Authority, among others, regulate relevant operating subsidiaries of the Company and also have capital standards and other requirements broadly comparable to the rules of the SEC. Our business is also subject to regulation by other non-U.S. governmental and regulatory bodies and self-regulatory authorities in other countries where we operate.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ind w:right="200" w:firstLine="598"/>
        <w:spacing w:after="0" w:line="264" w:lineRule="auto"/>
        <w:rPr>
          <w:sz w:val="20"/>
          <w:szCs w:val="20"/>
          <w:color w:val="auto"/>
        </w:rPr>
      </w:pPr>
      <w:r>
        <w:rPr>
          <w:rFonts w:ascii="Arial" w:cs="Arial" w:eastAsia="Arial" w:hAnsi="Arial"/>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81"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Similar rules and regulations exist in other jurisdictions in which we operate.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89"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20, 2018, all of whom have been appointed by, and serve at the pleasure of, our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59</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Mr. Jacobs has served as a Managing Director of Lazard since 1991 and had been a Deputy Chairman of Lazard from January 2002 until November 2009.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Jacobs also served as Chief Executive Officer of Lazard North America from January 2002 until November 2009. Mr. Jacobs initially joined Lazard in 1988.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Jacobs is a member of the Board of Trustees of the University of Chicago and the Brookings Institution.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 L. Russo, 43</w:t>
      </w:r>
    </w:p>
    <w:p>
      <w:pPr>
        <w:spacing w:after="0" w:line="12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Mr. Russo became Chief Financial Officer of Lazard Ltd and Lazard Group in October 2017. Mr. Russo has served as a Managing Director of Lazard since 2009, and, prior to becoming Chief Financial Officer, was Co-Head of Lazard’s Capital Markets and Capital Structure Advisory practice. Mr. Russo joined Lazard as a Director in 2007. Prior to joining Lazard, Mr. Russo worked for Goldman, Sachs &amp; Co. in the Investment Banking Division, and prior to that, for Barclays Capital. Mr. Russo began his career as a corporate attorney with the law firm of Milbank, Tweed, Hadley &amp; McCloy.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57</w:t>
      </w:r>
    </w:p>
    <w:p>
      <w:pPr>
        <w:spacing w:after="0" w:line="121"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right="600"/>
        <w:spacing w:after="0" w:line="264" w:lineRule="auto"/>
        <w:rPr>
          <w:sz w:val="20"/>
          <w:szCs w:val="20"/>
          <w:color w:val="auto"/>
        </w:rPr>
      </w:pPr>
      <w:r>
        <w:rPr>
          <w:rFonts w:ascii="Arial" w:cs="Arial" w:eastAsia="Arial" w:hAnsi="Arial"/>
          <w:sz w:val="18"/>
          <w:szCs w:val="18"/>
          <w:color w:val="auto"/>
        </w:rPr>
        <w:t>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55</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Mr. Hoffman has served as Chief Administrative Officer of Lazard Ltd and Lazard Group since July 2017 and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51</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Mr. Stern has served as Chief Operating Officer of Lazard Ltd and Lazard Group since November 2008. Mr. Stern has served as a Managing Director of Lazard since January 2002, as Chief Executive Officer, Financial Advisory, since April 2015, and as Global Head of Strategy since February 2006.</w:t>
      </w:r>
    </w:p>
    <w:p>
      <w:pPr>
        <w:spacing w:after="0" w:line="255" w:lineRule="auto"/>
        <w:rPr>
          <w:sz w:val="20"/>
          <w:szCs w:val="20"/>
          <w:color w:val="auto"/>
        </w:rPr>
      </w:pPr>
      <w:r>
        <w:rPr>
          <w:rFonts w:ascii="Arial" w:cs="Arial" w:eastAsia="Arial" w:hAnsi="Arial"/>
          <w:sz w:val="18"/>
          <w:szCs w:val="18"/>
          <w:color w:val="auto"/>
        </w:rPr>
        <w:t>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 Mr. Stern is the chairman of the Board of Directors of LUNGevity Foundation.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88"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 xml:space="preserve">Our public website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website is located at </w:t>
      </w:r>
      <w:r>
        <w:rPr>
          <w:rFonts w:ascii="Arial" w:cs="Arial" w:eastAsia="Arial" w:hAnsi="Arial"/>
          <w:sz w:val="16"/>
          <w:szCs w:val="16"/>
          <w:i w:val="1"/>
          <w:iCs w:val="1"/>
          <w:color w:val="auto"/>
        </w:rPr>
        <w:t xml:space="preserve">http://investor.shareholder.com/lazard/sec.cfm. </w:t>
      </w:r>
      <w:r>
        <w:rPr>
          <w:rFonts w:ascii="Arial" w:cs="Arial" w:eastAsia="Arial" w:hAnsi="Arial"/>
          <w:sz w:val="16"/>
          <w:szCs w:val="16"/>
          <w:color w:val="auto"/>
        </w:rPr>
        <w:t>We will make available free of charge, on or through the investor relations section of our website,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the investor relations section of our website in the corporate governance subsection.</w:t>
      </w:r>
    </w:p>
    <w:p>
      <w:pPr>
        <w:spacing w:after="0" w:line="29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85" w:lineRule="exact"/>
        <w:rPr>
          <w:sz w:val="20"/>
          <w:szCs w:val="20"/>
          <w:color w:val="auto"/>
        </w:rPr>
      </w:pPr>
    </w:p>
    <w:p>
      <w:pPr>
        <w:ind w:right="20" w:firstLine="598"/>
        <w:spacing w:after="0" w:line="289" w:lineRule="auto"/>
        <w:rPr>
          <w:sz w:val="20"/>
          <w:szCs w:val="20"/>
          <w:color w:val="auto"/>
        </w:rPr>
      </w:pPr>
      <w:r>
        <w:rPr>
          <w:rFonts w:ascii="Arial" w:cs="Arial" w:eastAsia="Arial" w:hAnsi="Arial"/>
          <w:sz w:val="17"/>
          <w:szCs w:val="17"/>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54"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disruption or volatility in securities markets, volatility and tightening of liquidity in credit markets, volatility or significant realignments in currency markets, increases in interest rates, inflation, corporate or sovereign defaults, natural disasters, terrorism or political uncertainty.</w:t>
      </w:r>
    </w:p>
    <w:p>
      <w:pPr>
        <w:spacing w:after="0" w:line="158"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For example, revenue generated by our Financial Advisory business is directly related to the volume and value of the transactions in which we are involved. During periods of unfavorable or uncertain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178"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6" w:name="page17"/>
    <w:bookmarkEnd w:id="16"/>
    <w:p>
      <w:pPr>
        <w:ind w:right="20"/>
        <w:spacing w:after="0" w:line="272" w:lineRule="auto"/>
        <w:rPr>
          <w:sz w:val="20"/>
          <w:szCs w:val="20"/>
          <w:color w:val="auto"/>
        </w:rPr>
      </w:pPr>
      <w:r>
        <w:rPr>
          <w:rFonts w:ascii="Arial" w:cs="Arial" w:eastAsia="Arial" w:hAnsi="Arial"/>
          <w:sz w:val="17"/>
          <w:szCs w:val="17"/>
          <w:color w:val="auto"/>
        </w:rPr>
        <w:t>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78"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79"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117" w:lineRule="exact"/>
        <w:rPr>
          <w:rFonts w:ascii="Arial" w:cs="Arial" w:eastAsia="Arial" w:hAnsi="Arial"/>
          <w:sz w:val="18"/>
          <w:szCs w:val="18"/>
          <w:color w:val="auto"/>
        </w:rPr>
      </w:pPr>
    </w:p>
    <w:p>
      <w:pPr>
        <w:ind w:left="1200" w:right="180" w:hanging="598"/>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15"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62"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70"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277" w:lineRule="exact"/>
        <w:rPr>
          <w:sz w:val="20"/>
          <w:szCs w:val="20"/>
          <w:color w:val="auto"/>
        </w:rPr>
      </w:pPr>
    </w:p>
    <w:p>
      <w:pPr>
        <w:ind w:right="420" w:firstLine="598"/>
        <w:spacing w:after="0" w:line="282" w:lineRule="auto"/>
        <w:rPr>
          <w:sz w:val="20"/>
          <w:szCs w:val="20"/>
          <w:color w:val="auto"/>
        </w:rPr>
      </w:pPr>
      <w:r>
        <w:rPr>
          <w:rFonts w:ascii="Arial" w:cs="Arial" w:eastAsia="Arial" w:hAnsi="Arial"/>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58"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business, financial condition and results of operations. For more information, see “Management’s Discussion and Analysis of Financial Condition and Results of Operations”.</w:t>
      </w:r>
    </w:p>
    <w:p>
      <w:pPr>
        <w:spacing w:after="0" w:line="170"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In addition, our Asset Management revenue is particularly sensitive to fluctuations in our AUM. Asset Management fees are predominantly based on the daily, monthly or quarterly average AUM. As a result, a reduction in AUM at the end of a day, quarter or month (as a result of market depreciation, withdrawals, fluctuations in foreign currency exchange rates or otherwise) will result in a decrease in management fees. Similarly, the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result of such fluctuations, it may be difficult for us to achieve steady revenue and earnings growth on a quarterly basis.</w:t>
      </w:r>
    </w:p>
    <w:p>
      <w:pPr>
        <w:spacing w:after="0" w:line="329" w:lineRule="exact"/>
        <w:rPr>
          <w:sz w:val="20"/>
          <w:szCs w:val="20"/>
          <w:color w:val="auto"/>
        </w:rPr>
      </w:pPr>
    </w:p>
    <w:p>
      <w:pPr>
        <w:ind w:right="240" w:firstLine="598"/>
        <w:spacing w:after="0" w:line="266" w:lineRule="auto"/>
        <w:rPr>
          <w:sz w:val="20"/>
          <w:szCs w:val="20"/>
          <w:color w:val="auto"/>
        </w:rPr>
      </w:pPr>
      <w:r>
        <w:rPr>
          <w:rFonts w:ascii="Arial" w:cs="Arial" w:eastAsia="Arial" w:hAnsi="Arial"/>
          <w:sz w:val="18"/>
          <w:szCs w:val="18"/>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72"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of our revenue.</w:t>
      </w:r>
    </w:p>
    <w:p>
      <w:pPr>
        <w:spacing w:after="0" w:line="18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retirement or the pursuit of philanthropic, civic or similar service opportunities, or other individual reasons, some of which may be beyond our control. If managing directors and other key professional employees were to retire, join an existing competitor, form a competing company or otherwise leave us, we could need to replace them, and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83"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the issuance of increased levels of Lazard Ltd’s Class A common stock, par value $0.01 per share (“Class A common stock”), to our employees upon vesting of restricted stock units (“RSUs”), performance-based restricted stock units (“PRSUs”) or restricted stock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2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ind w:left="600"/>
        <w:spacing w:after="0"/>
        <w:rPr>
          <w:sz w:val="20"/>
          <w:szCs w:val="20"/>
          <w:color w:val="auto"/>
        </w:rPr>
      </w:pPr>
      <w:r>
        <w:rPr>
          <w:rFonts w:ascii="Arial" w:cs="Arial" w:eastAsia="Arial" w:hAnsi="Arial"/>
          <w:sz w:val="18"/>
          <w:szCs w:val="18"/>
          <w:color w:val="auto"/>
        </w:rPr>
        <w:t>A number of factors increase the competitive risks of our Financial Advisory and Asset Management businesses:</w:t>
      </w:r>
    </w:p>
    <w:p>
      <w:pPr>
        <w:spacing w:after="0" w:line="117" w:lineRule="exact"/>
        <w:rPr>
          <w:sz w:val="20"/>
          <w:szCs w:val="20"/>
          <w:color w:val="auto"/>
        </w:rPr>
      </w:pPr>
    </w:p>
    <w:p>
      <w:pPr>
        <w:jc w:val="both"/>
        <w:ind w:left="1200" w:right="240" w:hanging="598"/>
        <w:spacing w:after="0" w:line="264"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employees away from us in order to compete in our lines of business; and</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of our practices and products are newly established and relatively small.</w:t>
      </w:r>
    </w:p>
    <w:p>
      <w:pPr>
        <w:spacing w:after="0" w:line="225" w:lineRule="exact"/>
        <w:rPr>
          <w:sz w:val="20"/>
          <w:szCs w:val="20"/>
          <w:color w:val="auto"/>
        </w:rPr>
      </w:pPr>
    </w:p>
    <w:p>
      <w:pPr>
        <w:jc w:val="both"/>
        <w:ind w:right="80" w:firstLine="598"/>
        <w:spacing w:after="0" w:line="259" w:lineRule="auto"/>
        <w:rPr>
          <w:sz w:val="20"/>
          <w:szCs w:val="20"/>
          <w:color w:val="auto"/>
        </w:rPr>
      </w:pPr>
      <w:r>
        <w:rPr>
          <w:rFonts w:ascii="Arial" w:cs="Arial" w:eastAsia="Arial" w:hAnsi="Arial"/>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Competitive pressure could adversely affect our ability to attract new or retain existing clients, make successful investments, retain our people or maintain AUM, any of which would adversely affect our revenue and earnings.</w:t>
      </w:r>
    </w:p>
    <w:p>
      <w:pPr>
        <w:spacing w:after="0" w:line="275" w:lineRule="exact"/>
        <w:rPr>
          <w:sz w:val="20"/>
          <w:szCs w:val="20"/>
          <w:color w:val="auto"/>
        </w:rPr>
      </w:pPr>
    </w:p>
    <w:p>
      <w:pPr>
        <w:ind w:right="80" w:firstLine="598"/>
        <w:spacing w:after="0" w:line="266" w:lineRule="auto"/>
        <w:rPr>
          <w:sz w:val="20"/>
          <w:szCs w:val="20"/>
          <w:color w:val="auto"/>
        </w:rPr>
      </w:pPr>
      <w:r>
        <w:rPr>
          <w:rFonts w:ascii="Arial" w:cs="Arial" w:eastAsia="Arial" w:hAnsi="Arial"/>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72"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2017, Financial Advisory services accounted for approximately 52%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88"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262" w:lineRule="exact"/>
        <w:rPr>
          <w:sz w:val="20"/>
          <w:szCs w:val="20"/>
          <w:color w:val="auto"/>
        </w:rPr>
      </w:pPr>
    </w:p>
    <w:p>
      <w:pPr>
        <w:ind w:right="280" w:firstLine="598"/>
        <w:spacing w:after="0" w:line="28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revenue could suffer.</w:t>
      </w:r>
    </w:p>
    <w:p>
      <w:pPr>
        <w:spacing w:after="0" w:line="58"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We provide various restructuring and restructuring-related advice to companies in financial distress or to their creditors or other stakeholders. Historically, the fees from restructuring-related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Potential underwriting and trading activities may expose us to risk.</w:t>
      </w:r>
    </w:p>
    <w:p>
      <w:pPr>
        <w:spacing w:after="0" w:line="121"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In 2014, we took steps that have enabled us to act as an underwriter in public offerings and other distributions of securities in order to buttress our Financial Advisory business. If we act as an underwriter, we may incur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120"/>
        <w:spacing w:after="0" w:line="253" w:lineRule="auto"/>
        <w:rPr>
          <w:sz w:val="20"/>
          <w:szCs w:val="20"/>
          <w:color w:val="auto"/>
        </w:rPr>
      </w:pPr>
      <w:r>
        <w:rPr>
          <w:rFonts w:ascii="Arial" w:cs="Arial" w:eastAsia="Arial" w:hAnsi="Arial"/>
          <w:sz w:val="18"/>
          <w:szCs w:val="18"/>
          <w:color w:val="auto"/>
        </w:rPr>
        <w:t>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301" w:lineRule="exact"/>
        <w:rPr>
          <w:sz w:val="20"/>
          <w:szCs w:val="20"/>
          <w:color w:val="auto"/>
        </w:rPr>
      </w:pPr>
    </w:p>
    <w:p>
      <w:pPr>
        <w:ind w:right="180" w:firstLine="598"/>
        <w:spacing w:after="0" w:line="266" w:lineRule="auto"/>
        <w:rPr>
          <w:sz w:val="20"/>
          <w:szCs w:val="20"/>
          <w:color w:val="auto"/>
        </w:rPr>
      </w:pPr>
      <w:r>
        <w:rPr>
          <w:rFonts w:ascii="Arial" w:cs="Arial" w:eastAsia="Arial" w:hAnsi="Arial"/>
          <w:sz w:val="18"/>
          <w:szCs w:val="18"/>
          <w:b w:val="1"/>
          <w:bCs w:val="1"/>
          <w:color w:val="auto"/>
        </w:rPr>
        <w:t>Our investment style in our Asset Management business, including the mix of asset classes and investment strategies comprising our AUM, may underperform or generate less demand than other investment approaches, which may result in significant client or asset departures, or a reduction in AUM.</w:t>
      </w:r>
    </w:p>
    <w:p>
      <w:pPr>
        <w:spacing w:after="0" w:line="72"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Management fees for actively managed strategies tend to be higher than those charged for passively managed strategies. The perception that actively managed strategies have, on average, underperformed relative to passively managed strategies over time, combined with greater pressure on clients to acquire asset management services at lower costs, has contributed to increased trends toward passively managed investment strategies. This, in turn, may adversely affect demand for our strategies or result in fee pressure on our business overall. In combination with poor performance relative to peers, changes in personnel, challenging market environments or other difficulties, the underperformance of our investment style may result in significant client or asset departures or a reduction in AUM.</w:t>
      </w:r>
    </w:p>
    <w:p>
      <w:pPr>
        <w:spacing w:after="0" w:line="273" w:lineRule="exact"/>
        <w:rPr>
          <w:sz w:val="20"/>
          <w:szCs w:val="20"/>
          <w:color w:val="auto"/>
        </w:rPr>
      </w:pPr>
    </w:p>
    <w:p>
      <w:pPr>
        <w:ind w:right="800" w:firstLine="598"/>
        <w:spacing w:after="0" w:line="282" w:lineRule="auto"/>
        <w:rPr>
          <w:sz w:val="20"/>
          <w:szCs w:val="20"/>
          <w:color w:val="auto"/>
        </w:rPr>
      </w:pPr>
      <w:r>
        <w:rPr>
          <w:rFonts w:ascii="Arial" w:cs="Arial" w:eastAsia="Arial" w:hAnsi="Arial"/>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5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Investment performance affects our AUM relating to existing clients and is one of the most important factors in retaining clients and competing for new Asset Management business. Poor investment performance could impair our revenue and growth because:</w:t>
      </w:r>
    </w:p>
    <w:p>
      <w:pPr>
        <w:spacing w:after="0" w:line="62" w:lineRule="exact"/>
        <w:rPr>
          <w:sz w:val="20"/>
          <w:szCs w:val="20"/>
          <w:color w:val="auto"/>
        </w:rPr>
      </w:pPr>
    </w:p>
    <w:p>
      <w:pPr>
        <w:ind w:left="1200" w:right="30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62"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62" w:lineRule="exact"/>
        <w:rPr>
          <w:rFonts w:ascii="Arial" w:cs="Arial" w:eastAsia="Arial" w:hAnsi="Arial"/>
          <w:sz w:val="18"/>
          <w:szCs w:val="18"/>
          <w:color w:val="auto"/>
        </w:rPr>
      </w:pPr>
    </w:p>
    <w:p>
      <w:pPr>
        <w:ind w:left="1200" w:right="74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firms with which we have strategic alliances may terminate such relationships with us, and future strategic alliances may be unavailable.</w:t>
      </w:r>
    </w:p>
    <w:p>
      <w:pPr>
        <w:spacing w:after="0" w:line="23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Over certain time periods, we may have a higher concentration of assets in certain strategies. To the extent that this is the case, underperformance, changes in investment personnel or other changes in these strategies, as well as changes in a variety of macroeconomic and other factors, may result in a withdrawal of assets. If a significant amount of clients withdraw from these strategies for any reason, our revenues would decline and our operating results would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right="80" w:firstLine="598"/>
        <w:spacing w:after="0" w:line="282"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58"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65"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262" w:lineRule="exact"/>
        <w:rPr>
          <w:sz w:val="20"/>
          <w:szCs w:val="20"/>
          <w:color w:val="auto"/>
        </w:rPr>
      </w:pPr>
    </w:p>
    <w:p>
      <w:pPr>
        <w:ind w:right="240" w:firstLine="598"/>
        <w:spacing w:after="0" w:line="266" w:lineRule="auto"/>
        <w:rPr>
          <w:sz w:val="20"/>
          <w:szCs w:val="20"/>
          <w:color w:val="auto"/>
        </w:rPr>
      </w:pPr>
      <w:r>
        <w:rPr>
          <w:rFonts w:ascii="Arial" w:cs="Arial" w:eastAsia="Arial" w:hAnsi="Arial"/>
          <w:sz w:val="18"/>
          <w:szCs w:val="18"/>
          <w:b w:val="1"/>
          <w:bCs w:val="1"/>
          <w:color w:val="auto"/>
        </w:rPr>
        <w:t>Access to clients through intermediaries and consultants is important to our Asset Management business, and reductions in referrals from such intermediaries or consultants or poor reviews of our products or our organization by such intermediaries or consultants could materially reduce our revenue and impair our ability to attract new clients.</w:t>
      </w:r>
    </w:p>
    <w:p>
      <w:pPr>
        <w:spacing w:after="0" w:line="7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and consultants review and evaluate our products and our organization. Poor reviews or evaluations of either the particular product or of us may result in client withdrawals or an inability to attract new assets through such intermediaries or consultants.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Asset Management business relies on non-affiliated third-party service providers.</w:t>
      </w:r>
    </w:p>
    <w:p>
      <w:pPr>
        <w:spacing w:after="0" w:line="121"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results of operations may be affected by fluctuations in the fair value of positions held in our investment portfolios.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invest capital in various types of equity and debt securities in order to seed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ind w:right="140" w:firstLine="598"/>
        <w:spacing w:after="0" w:line="313" w:lineRule="auto"/>
        <w:rPr>
          <w:sz w:val="20"/>
          <w:szCs w:val="20"/>
          <w:color w:val="auto"/>
        </w:rPr>
      </w:pPr>
      <w:r>
        <w:rPr>
          <w:rFonts w:ascii="Arial" w:cs="Arial" w:eastAsia="Arial" w:hAnsi="Arial"/>
          <w:sz w:val="17"/>
          <w:szCs w:val="17"/>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34"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and could increase the volatility of our earnings, even though such fair value fluctuations may have no cash impact.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69"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Our revenue from our private equity business is derived primarily from management fees, which are calculated as a percentage of committed capital or invested capital depending on the stage of each respective fund. Transaction and advisory fees may also be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258" w:lineRule="exact"/>
        <w:rPr>
          <w:sz w:val="20"/>
          <w:szCs w:val="20"/>
          <w:color w:val="auto"/>
        </w:rPr>
      </w:pPr>
    </w:p>
    <w:p>
      <w:pPr>
        <w:ind w:right="120" w:firstLine="598"/>
        <w:spacing w:after="0" w:line="282"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2017, we received approximately 38% of our consolidated net revenue in other currencies, predominantly in Euros, British Pounds and Australian Dollars. In addition, we pay a significant amount of our expenses in such other currencies. The exchange rates of these currencies versus the U.S. Dollar affect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89"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2017, AUM with foreign currency exposure represented approximately 74% of our total AUM.</w:t>
      </w:r>
    </w:p>
    <w:p>
      <w:pPr>
        <w:spacing w:after="0" w:line="165"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See Note 13 of Notes to Consolidated Financial Statements for additional information regarding the impact on stockholders’ equity from currency translation adjustments and Note 2 of Notes to Consolidated Financial Statements for additional information regarding the impact on operating results from currency transaction adjustments.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ind w:right="60" w:firstLine="598"/>
        <w:spacing w:after="0" w:line="282"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5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89"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 and further regulation. Such changes may increase the expenses that we incur without necessarily leading to commensurate increases in operating revenue and income. Certain laws and regulations within the U.S. and externally include extraterritorial application that may lead to overlapping or conflicting legal and regulatory burdens with additional risks and implementation expenses.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92"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The U.S. and other governments and institutions have taken actions, and may in the future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Rulemaking under the Dodd-Frank Act is still ongoing and the final scope and interpretations of those rules, and their impact on our business, though still not fully known, could have implications for the manner in which we conduct our business and, consequently, its profitability. In recent years, changes include requiring that certain financial instruments be cleared by a regulated clearing organization and the requirement to deliver margin payments for certain derivative transactions. These changes have required adjustments to our operational processes as a result, which may impact certain strategies and businesses. While we continue to examine the requirements of the Dodd-Frank Act and related regulations, as well as new regulations that may become applicable to us in the U.S. and in the European Union (see “Business—Regulation”), and previously announced actual or potential regulations that may be modified, we are not able to predict the ultimate effect on us. In addition, several states and municipalities in the United States have adopted “pay-to-play” rules, which could limit our ability to charge fees in connection with certain of our Private Capital Advisory engagements, and could therefore affect the profitability of that portion of our business.</w:t>
      </w:r>
    </w:p>
    <w:p>
      <w:pPr>
        <w:spacing w:after="0" w:line="188"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many tax laws and regulations have been modified, or are otherwise under review, in the U.S. and in many other jurisdictions in which we and our clients operate. Actual and proposed changes to these laws and regulations may affect the level of M&amp;A activity, including cross-border M&amp;A activity.</w:t>
      </w:r>
    </w:p>
    <w:p>
      <w:pPr>
        <w:spacing w:after="0" w:line="154"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ind w:right="20" w:firstLine="598"/>
        <w:spacing w:after="0" w:line="286"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been reexamined by different regulatory bodies and may in the future be limited or modified. In particular, the enactment of the Markets in Financial Instruments Directive II (“MiFID II”), regulates the use of soft dollars for certain parts of our business.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As a result of MiFID II, our European Union and U.K. Asset Management subsidiaries intend to pay directly for broker research services (instead of utilizing commissions to pay for such services) with respect to certain client accounts managed by these offices. The ultimate impact of MiFID II on our Asset Management business and on the financial industry as a whole remains uncertain, although it has reduced our ability to utilize commissions to pay for research services and other soft dollar services for European-based businesses. Similar pressures may come from other markets around the globe, which may further increase costs related to those research services. For the year ended December 31, 2017, our Asset Management business obtained research and other services through third-party soft dollar arrangements, the total cost of which we estimate to be approximately $24 million.</w:t>
      </w:r>
    </w:p>
    <w:p>
      <w:pPr>
        <w:spacing w:after="0" w:line="172"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 addition, new regulations affecting the asset management business, including those regarding the management of U.S. mutual funds, hedge funds, UCITs funds and the use of certain investment products may impact our Asset Management business and result in increased costs. For example, the European Union has adopted updated directives on the coordination of laws, regulations and administrative provisions relating to undertakings for collective investment in transferable securities (“UCITS V”) with respect to various subjects. Among other things, UCITS V establishes remunerations policies which impact the structure of compensation for certain portfolio managers and other personnel within the Company. UCITS V also establishes certain regulations governing oversight and independence of depository functions. While these rules have already been implemented, they could further impact our personnel or result in changes to our operations, resulting in increased costs to the business. In addition, many regulators around the world, including those in the U.S., continue to adopt disclosure requirements impacting the asset management business, as well as changes to the laws, rules and regulations relating to recordkeeping and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-449580</wp:posOffset>
            </wp:positionV>
            <wp:extent cx="298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spacing w:after="0" w:line="162"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“Business—Regulation” above for a further discussion of the regulatory environment in which we conduct our businesses.</w:t>
      </w:r>
    </w:p>
    <w:p>
      <w:pPr>
        <w:spacing w:after="0" w:line="329" w:lineRule="exact"/>
        <w:rPr>
          <w:sz w:val="20"/>
          <w:szCs w:val="20"/>
          <w:color w:val="auto"/>
        </w:rPr>
      </w:pPr>
    </w:p>
    <w:p>
      <w:pPr>
        <w:ind w:right="140" w:firstLine="598"/>
        <w:spacing w:after="0" w:line="282"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58"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58" w:lineRule="exact"/>
        <w:rPr>
          <w:sz w:val="20"/>
          <w:szCs w:val="20"/>
          <w:color w:val="auto"/>
        </w:rPr>
      </w:pPr>
    </w:p>
    <w:p>
      <w:pPr>
        <w:ind w:right="200" w:firstLine="598"/>
        <w:spacing w:after="0" w:line="312"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240"/>
        <w:spacing w:after="0" w:line="259" w:lineRule="auto"/>
        <w:rPr>
          <w:sz w:val="20"/>
          <w:szCs w:val="20"/>
          <w:color w:val="auto"/>
        </w:rPr>
      </w:pPr>
      <w:r>
        <w:rPr>
          <w:rFonts w:ascii="Arial" w:cs="Arial" w:eastAsia="Arial" w:hAnsi="Arial"/>
          <w:sz w:val="18"/>
          <w:szCs w:val="18"/>
          <w:color w:val="auto"/>
        </w:rPr>
        <w:t>fiduciary duties and to materially false or misleading statements made in connection with securities and other transactions. We may also be exposed to potential liability for the fairness opinions and other advice provided to participants in corporate transactions. In our Asset Management business, we make investment decisions on behalf of our clients which could result in substantial losses. Many of our business activities may subject us to the risk of legal actions alleging negligence, misconduct, breach of fiduciary duty or breach of contract.</w:t>
      </w:r>
    </w:p>
    <w:p>
      <w:pPr>
        <w:spacing w:after="0" w:line="18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which could have the effect of limiting our business opportunities. Appropriately 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 We may also face competition from time to time from other financial services firms that do not operate under similar policies, controls and procedures.</w:t>
      </w:r>
    </w:p>
    <w:p>
      <w:pPr>
        <w:spacing w:after="0" w:line="166"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w:t>
      </w:r>
    </w:p>
    <w:p>
      <w:pPr>
        <w:spacing w:after="0" w:line="17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may incur significant legal expenses in defending against litigation or regulatory action against us. Substantial legal liability or significant regulatory action against us could materially adversely affect our business, financial condition or results of operations and cause significant reputational harm to us, which could seriously harm our business.</w:t>
      </w:r>
    </w:p>
    <w:p>
      <w:pPr>
        <w:spacing w:after="0" w:line="285" w:lineRule="exact"/>
        <w:rPr>
          <w:sz w:val="20"/>
          <w:szCs w:val="20"/>
          <w:color w:val="auto"/>
        </w:rPr>
      </w:pPr>
    </w:p>
    <w:p>
      <w:pPr>
        <w:ind w:right="740" w:firstLine="598"/>
        <w:spacing w:after="0" w:line="282"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58"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confidences of great significance to our clients or their counterparties, improper use of which may harm our clients or our relationships with our clients. Any breach of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7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recent years, the U.S. Department of Justice and the SEC have also devoted greater resources to the enforcement of the Foreign Corrupt Practices Act. In addition, the United Kingdom, France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position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60" w:firstLine="598"/>
        <w:spacing w:after="0" w:line="347" w:lineRule="auto"/>
        <w:rPr>
          <w:sz w:val="20"/>
          <w:szCs w:val="20"/>
          <w:color w:val="auto"/>
        </w:rPr>
      </w:pPr>
      <w:r>
        <w:rPr>
          <w:rFonts w:ascii="Arial" w:cs="Arial" w:eastAsia="Arial" w:hAnsi="Arial"/>
          <w:sz w:val="16"/>
          <w:szCs w:val="16"/>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12"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which frequently include “cloud”-based networks and services, may be subject to unauthorized access, computer viruses or other malicious code or other threats that are constantly evolving and that could have a security impact on us. There can be no assurance that we will not suffer material losses relating to cyber attacks on, or other security breaches involving, our information systems,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multiply, become more sophisticated and threaten additional aspects of our businesses,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21"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system modification or upgrade, or otherwise, could materially adversely affect our business. Although back-up systems are in place, our back-up procedures and capabilities in the event of a failure or interruption may not be adequate.</w:t>
      </w:r>
    </w:p>
    <w:p>
      <w:pPr>
        <w:spacing w:after="0" w:line="187"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and any such system upgrades or expansions could result in significant costs to us. Certain investment teams within our Asset Management business employ proprietary systems, including quantitative models, in connection with their investment processes. These systems and models are often designed and, with assistance from technology personnel, maintained by employees who are members of those investment teams. If any of the foregoing systems fail to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7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88"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6" w:name="page27"/>
    <w:bookmarkEnd w:id="26"/>
    <w:p>
      <w:pPr>
        <w:ind w:left="600"/>
        <w:spacing w:after="0"/>
        <w:rPr>
          <w:sz w:val="20"/>
          <w:szCs w:val="20"/>
          <w:color w:val="auto"/>
        </w:rPr>
      </w:pPr>
      <w:r>
        <w:rPr>
          <w:rFonts w:ascii="Arial" w:cs="Arial" w:eastAsia="Arial" w:hAnsi="Arial"/>
          <w:sz w:val="16"/>
          <w:szCs w:val="16"/>
          <w:b w:val="1"/>
          <w:bCs w:val="1"/>
          <w:color w:val="auto"/>
        </w:rPr>
        <w:t>The soundness of third parties, including our clients, as well as financial, governmental and other institutions, could adversely affect us.</w:t>
      </w:r>
    </w:p>
    <w:p>
      <w:pPr>
        <w:spacing w:after="0" w:line="144"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if any, cannot be fully realized or is liquidated at prices not sufficient to recover the full amount of the loan or derivative exposure due to us.</w:t>
      </w:r>
    </w:p>
    <w:p>
      <w:pPr>
        <w:spacing w:after="0" w:line="292" w:lineRule="exact"/>
        <w:rPr>
          <w:sz w:val="20"/>
          <w:szCs w:val="20"/>
          <w:color w:val="auto"/>
        </w:rPr>
      </w:pPr>
    </w:p>
    <w:p>
      <w:pPr>
        <w:ind w:right="280" w:firstLine="598"/>
        <w:spacing w:after="0" w:line="282"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materially adversely affect our business.</w:t>
      </w:r>
    </w:p>
    <w:p>
      <w:pPr>
        <w:spacing w:after="0" w:line="5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2017.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269" w:lineRule="exact"/>
        <w:rPr>
          <w:sz w:val="20"/>
          <w:szCs w:val="20"/>
          <w:color w:val="auto"/>
        </w:rPr>
      </w:pPr>
    </w:p>
    <w:p>
      <w:pPr>
        <w:ind w:right="200" w:firstLine="598"/>
        <w:spacing w:after="0" w:line="282" w:lineRule="auto"/>
        <w:rPr>
          <w:sz w:val="20"/>
          <w:szCs w:val="20"/>
          <w:color w:val="auto"/>
        </w:rPr>
      </w:pPr>
      <w:r>
        <w:rPr>
          <w:rFonts w:ascii="Arial" w:cs="Arial" w:eastAsia="Arial" w:hAnsi="Arial"/>
          <w:sz w:val="18"/>
          <w:szCs w:val="18"/>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58" w:lineRule="exact"/>
        <w:rPr>
          <w:sz w:val="20"/>
          <w:szCs w:val="20"/>
          <w:color w:val="auto"/>
        </w:rPr>
      </w:pPr>
    </w:p>
    <w:p>
      <w:pPr>
        <w:jc w:val="both"/>
        <w:ind w:right="260" w:firstLine="598"/>
        <w:spacing w:after="0" w:line="312"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We expect to continue to explore acquisitions, growth strategies and partnership or strategic alliance opportunities that we believe to be attractive.</w:t>
      </w:r>
    </w:p>
    <w:p>
      <w:pPr>
        <w:spacing w:after="0" w:line="14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Acquisitions, growth strategies and joint ventures involve a number of risks and present financial, managerial and operational challenges. These risks and challenges include potential disruption of our ongoing business and distraction of management, difficulty integrating personnel and financial and other systems, difficulty hiring additional management and other critical personnel, and other challenges arising from the increased scope, geographic diversity and complexity of our operations.</w:t>
      </w:r>
    </w:p>
    <w:p>
      <w:pPr>
        <w:spacing w:after="0" w:line="187"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To the extent that we pursue business opportunities outside of the United States and our other principal business locations,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73"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In addition, our clients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growth or joint venture transaction, and we may not be able to renew on similar terms (or at all) previously successful joint ventures or similar arrangements, any of which could materially adversely affect our revenue, financial position and results of operations.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7" w:name="page28"/>
    <w:bookmarkEnd w:id="27"/>
    <w:p>
      <w:pPr>
        <w:ind w:right="100" w:firstLine="598"/>
        <w:spacing w:after="0" w:line="313" w:lineRule="auto"/>
        <w:rPr>
          <w:sz w:val="20"/>
          <w:szCs w:val="20"/>
          <w:color w:val="auto"/>
        </w:rPr>
      </w:pPr>
      <w:r>
        <w:rPr>
          <w:rFonts w:ascii="Arial" w:cs="Arial" w:eastAsia="Arial" w:hAnsi="Arial"/>
          <w:sz w:val="17"/>
          <w:szCs w:val="17"/>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34"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As of December 31, 2017, Lazard Group and its subsidiaries had approximately $1.2 billion in debt outstanding, of which $500 million, $400 million and $300 million relate to Lazard Group senior notes that mature in 2020, 2025 and 2027,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share price may decline due to the large number of our common shares eligible for future sale.</w:t>
      </w:r>
    </w:p>
    <w:p>
      <w:pPr>
        <w:spacing w:after="0" w:line="121"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As of December 31, 2017, Lazard Ltd’s authorized and unissued shares of Class A common stock include approximately 16.7 million shares of our Class A common stock underlying RSUs, PRSUs, deferred stock units (“DSUs”) and restricted stock awards that have been granted pursuant to Lazard Ltd’s 2008 Incentive Compensation Plan (the “2008 Plan”). RSUs and restricted stock awards generally require future service, among other requirements, as a condition for the delivery of the underlying shares of our Class A common stock (unless the recipient is then eligible for retirement under the Company’s retirement policy) and convert into Class A common stock on a one-for-one basis after the stipulated vesting periods. Such vesting events generally occur in the first quarter of each year, at which point a large number of our shares of Class A common stock immediately become available for sale. PRSUs generally require future service and satisfaction of performance-based vesting criteria as a condition for the delivery of the underlying shares of Class A common stock, and the number of such shares that may be received in connection with each PRSU generally may range from zero to two times the target number.</w:t>
      </w:r>
    </w:p>
    <w:p>
      <w:pPr>
        <w:spacing w:after="0" w:line="166"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have generally withheld a portion of the Class A common stock issued to our employees upon vesting of RSUs or delivery of restricted stock to comply with minimum statutory tax withholding requirements. In addition, we have historically repurchased in the open market and through privately negotiated transactions a significant number of shares of our Class A common stock. If we were to cease to or were unable to repurchase shares of our Class A common stock, the number of shares outstanding would increase over time, diluting the ownership of our existing stockholders.</w:t>
      </w:r>
    </w:p>
    <w:p>
      <w:pPr>
        <w:spacing w:after="0" w:line="17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Furthermore, we cannot predict whether, when and how many shares of our Class A common stock will be sold into the market and the effect, if any, that the possibility of market sales of shares of our Class A common stock, the actual sale of such shares or the availability of such shares will have on the market price of our Class A common stock or our ability to raise capital through the issuance of equity securities from time to time. There are generally no restrictions on the sale of vested shares of Class A common stock held by our employees other than prohibitions on sales during internal “blackout” periods imposed by us at points between quarterly earnings releases.</w:t>
      </w:r>
    </w:p>
    <w:p>
      <w:pPr>
        <w:spacing w:after="0" w:line="188"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2008 Plan will expire in May 2018, and we will depend upon a successor incentive compensation plan to continue to grant RSUs, PRSUs, DSUs and restricted stock awards to eligible recipients.</w:t>
      </w:r>
    </w:p>
    <w:p>
      <w:pPr>
        <w:spacing w:after="0" w:line="275" w:lineRule="exact"/>
        <w:rPr>
          <w:sz w:val="20"/>
          <w:szCs w:val="20"/>
          <w:color w:val="auto"/>
        </w:rPr>
      </w:pPr>
    </w:p>
    <w:p>
      <w:pPr>
        <w:ind w:right="320" w:firstLine="598"/>
        <w:spacing w:after="0" w:line="282" w:lineRule="auto"/>
        <w:rPr>
          <w:sz w:val="20"/>
          <w:szCs w:val="20"/>
          <w:color w:val="auto"/>
        </w:rPr>
      </w:pPr>
      <w:r>
        <w:rPr>
          <w:rFonts w:ascii="Arial" w:cs="Arial" w:eastAsia="Arial" w:hAnsi="Arial"/>
          <w:sz w:val="18"/>
          <w:szCs w:val="18"/>
          <w:b w:val="1"/>
          <w:bCs w:val="1"/>
          <w:color w:val="auto"/>
        </w:rPr>
        <w:t>Lazard Ltd is a holding company and, accordingly, depends upon distributions from Lazard Group to pay dividends and taxes and other expenses.</w:t>
      </w:r>
    </w:p>
    <w:p>
      <w:pPr>
        <w:spacing w:after="0" w:line="58"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Lazard Ltd is a holding company and has no independent means of generating significant revenue. We control Lazard Group through our indirect control of both of the managing members of Lazard Group. Our subsidiaries incur income taxes on net taxable income of Lazard Group in their respective tax jurisdictions. We intend to continue to cause Lazard Group to make distributions to our subsidiaries in an amount sufficient to cover all applicable taxes payable by us and dividends, if any, declared by us. To the extent that our subsidiaries need funds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ind w:right="180"/>
        <w:spacing w:after="0" w:line="264" w:lineRule="auto"/>
        <w:rPr>
          <w:sz w:val="20"/>
          <w:szCs w:val="20"/>
          <w:color w:val="auto"/>
        </w:rPr>
      </w:pPr>
      <w:r>
        <w:rPr>
          <w:rFonts w:ascii="Arial" w:cs="Arial" w:eastAsia="Arial" w:hAnsi="Arial"/>
          <w:sz w:val="18"/>
          <w:szCs w:val="18"/>
          <w:color w:val="auto"/>
        </w:rPr>
        <w:t>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285" w:lineRule="exact"/>
        <w:rPr>
          <w:sz w:val="20"/>
          <w:szCs w:val="20"/>
          <w:color w:val="auto"/>
        </w:rPr>
      </w:pPr>
    </w:p>
    <w:p>
      <w:pPr>
        <w:ind w:right="160" w:firstLine="598"/>
        <w:spacing w:after="0" w:line="282"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58"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Lazard Group depends on its subsidiaries, which conduct the operations of its businesses, for distributions,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and the group of entities that constitute Lazard Group’s subsidiaries may change over time.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283" w:lineRule="exact"/>
        <w:rPr>
          <w:sz w:val="20"/>
          <w:szCs w:val="20"/>
          <w:color w:val="auto"/>
        </w:rPr>
      </w:pPr>
    </w:p>
    <w:p>
      <w:pPr>
        <w:ind w:right="200" w:firstLine="598"/>
        <w:spacing w:after="0" w:line="313" w:lineRule="auto"/>
        <w:rPr>
          <w:sz w:val="20"/>
          <w:szCs w:val="20"/>
          <w:color w:val="auto"/>
        </w:rPr>
      </w:pPr>
      <w:r>
        <w:rPr>
          <w:rFonts w:ascii="Arial" w:cs="Arial" w:eastAsia="Arial" w:hAnsi="Arial"/>
          <w:sz w:val="17"/>
          <w:szCs w:val="17"/>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34"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Our effective tax rate is based upon the application of currently applicable income tax laws, regulations and treaties, current judicial and administrative interpretations of those income tax laws, regulations and treaties, and upon our non-U.S. subsidiaries’ ability to qualify for benefits, including reduced withholding tax rates, among other things, under those treaties, and that a portion of their income is not subject to U.S. tax as effectively connected income. Those income tax laws, regulations and treaties, and the administrative and judicial interpretations of them, are subject to change at any time, and any such change may be retroactive.</w:t>
      </w:r>
    </w:p>
    <w:p>
      <w:pPr>
        <w:spacing w:after="0" w:line="337"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w:t>
      </w:r>
    </w:p>
    <w:p>
      <w:pPr>
        <w:spacing w:after="0" w:line="90"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international tax provisions of the Tax Act are complex and the ultimate impact on us of the international provisions, such as the base erosion and anti-abuse tax (“BEAT”), the tax on global intangible low- taxed income (“GILTI”) and the other provisions of the Tax Act is uncertain because of the practical and technical application of many of those provisions and the anticipated guidance from the U.S. Internal Revenue Service (“IRS”) about those provisions. The Tax Act could also be subject to potential amendments or legislative corrections in the near to medium term that could adversely affect us. In addition, if we were to convert into a U.S. corporation, we could be subject to additional U.S. taxes, and future payments required under our tax receivable agreement could be accelerated, both of which could reduce the amount of our cash available for distribution or reinvestment.</w:t>
      </w:r>
    </w:p>
    <w:p>
      <w:pPr>
        <w:spacing w:after="0" w:line="165"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In addition, 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ind w:right="140" w:firstLine="598"/>
        <w:spacing w:after="0" w:line="259" w:lineRule="auto"/>
        <w:rPr>
          <w:sz w:val="20"/>
          <w:szCs w:val="20"/>
          <w:color w:val="auto"/>
        </w:rPr>
      </w:pPr>
      <w:r>
        <w:rPr>
          <w:rFonts w:ascii="Arial" w:cs="Arial" w:eastAsia="Arial" w:hAnsi="Arial"/>
          <w:sz w:val="18"/>
          <w:szCs w:val="18"/>
          <w:color w:val="auto"/>
        </w:rPr>
        <w:t>U.S. and foreign governments, institutions (including the European Union and the Organization of Economically Developed Countries) and tax officials have produced and continue to implement many laws, regulations, and treaties that currently govern the taxation of multinational companies. Any implementation of, or changes to, any such laws, regulations and treaties that impact us could materially adversely affect our business, financial condition or results of operations.</w:t>
      </w:r>
    </w:p>
    <w:p>
      <w:pPr>
        <w:spacing w:after="0" w:line="291" w:lineRule="exact"/>
        <w:rPr>
          <w:sz w:val="20"/>
          <w:szCs w:val="20"/>
          <w:color w:val="auto"/>
        </w:rPr>
      </w:pPr>
    </w:p>
    <w:p>
      <w:pPr>
        <w:ind w:right="80" w:firstLine="598"/>
        <w:spacing w:after="0" w:line="282" w:lineRule="auto"/>
        <w:rPr>
          <w:sz w:val="20"/>
          <w:szCs w:val="20"/>
          <w:color w:val="auto"/>
        </w:rPr>
      </w:pPr>
      <w:r>
        <w:rPr>
          <w:rFonts w:ascii="Arial" w:cs="Arial" w:eastAsia="Arial" w:hAnsi="Arial"/>
          <w:sz w:val="18"/>
          <w:szCs w:val="18"/>
          <w:b w:val="1"/>
          <w:bCs w:val="1"/>
          <w:color w:val="auto"/>
        </w:rPr>
        <w:t>Tax authorities may challenge our tax computations and classifications, our transfer pricing methods, and our application of related policies and methods.</w:t>
      </w:r>
    </w:p>
    <w:p>
      <w:pPr>
        <w:spacing w:after="0" w:line="58"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 or payments under the tax receivable agreement described below.</w:t>
      </w:r>
    </w:p>
    <w:p>
      <w:pPr>
        <w:spacing w:after="0" w:line="50"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addition, there are additional transfer pricing and standardized country by country reporting requirements being implemented. Additional information from country by country reporting, certain local information sharing arrangements, and other documentation held by tax authorities is expected to be subject to greater information sharing arrangements and any challenges from tax authorities reviewing such information could adversely impact our overall tax obligations or our business, financial condition or results of operations.</w:t>
      </w:r>
    </w:p>
    <w:p>
      <w:pPr>
        <w:spacing w:after="0" w:line="291" w:lineRule="exact"/>
        <w:rPr>
          <w:sz w:val="20"/>
          <w:szCs w:val="20"/>
          <w:color w:val="auto"/>
        </w:rPr>
      </w:pPr>
    </w:p>
    <w:p>
      <w:pPr>
        <w:ind w:right="120" w:firstLine="598"/>
        <w:spacing w:after="0" w:line="282" w:lineRule="auto"/>
        <w:rPr>
          <w:sz w:val="20"/>
          <w:szCs w:val="20"/>
          <w:color w:val="auto"/>
        </w:rPr>
      </w:pPr>
      <w:r>
        <w:rPr>
          <w:rFonts w:ascii="Arial" w:cs="Arial" w:eastAsia="Arial" w:hAnsi="Arial"/>
          <w:sz w:val="18"/>
          <w:szCs w:val="18"/>
          <w:b w:val="1"/>
          <w:bCs w:val="1"/>
          <w:color w:val="auto"/>
        </w:rPr>
        <w:t>Uncertainty regarding the outcome of future arrangements between the European Union and the United Kingdom may adversely affect our business.</w:t>
      </w:r>
    </w:p>
    <w:p>
      <w:pPr>
        <w:spacing w:after="0" w:line="58"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Company has a significant presence in many European Union countries, including the United Kingdom. In a June 2016 referendum, the U.K. voted in favor of leaving the European Union, and in February 2017 the U.K.’s House of Commons voted to approve the initiation of formal exit discussions with the European Union. Such exit discussions covering, among other matters, transitional arrangements that would apply following the U.K.’s departure from the European Union in March 2019 are currently in process. At the time that the U.K. ultimately leaves the European Union, the commercial, regulatory and legal environment that would exist, and to which the Company’s U.K. operations would be subject, would be impacted by the nature of arrangements that are under negotiation and yet to be determined between the U.K and the European Union. These arrangements are hard to predict, and uncertainty regarding their outcome may continue. The Company currently does not believe that any of the potential arrangements that are likely to be agreed would have a material adverse impact on the Company’s business. These potential arrangements may, however, result in certain changes in the way that we conduct our businesses, which could result in increased costs. In addition, the result of the referendum and the uncertainty it produced has impacted geopolitical perspectives and macroeconomic factors including interest rates, foreign currency exchange rates and equity markets, and it has increased volatility in certain markets in which we operate. If these conditions continue or if current conditions worsen, our businesses may be adversely affected, which may impact our financial position and results of operations. See “Difficult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 above.</w:t>
      </w:r>
    </w:p>
    <w:p>
      <w:pPr>
        <w:spacing w:after="0" w:line="276" w:lineRule="exact"/>
        <w:rPr>
          <w:sz w:val="20"/>
          <w:szCs w:val="20"/>
          <w:color w:val="auto"/>
        </w:rPr>
      </w:pPr>
    </w:p>
    <w:p>
      <w:pPr>
        <w:jc w:val="both"/>
        <w:ind w:right="200" w:firstLine="598"/>
        <w:spacing w:after="0" w:line="289" w:lineRule="auto"/>
        <w:rPr>
          <w:sz w:val="20"/>
          <w:szCs w:val="20"/>
          <w:color w:val="auto"/>
        </w:rPr>
      </w:pPr>
      <w:r>
        <w:rPr>
          <w:rFonts w:ascii="Arial" w:cs="Arial" w:eastAsia="Arial" w:hAnsi="Arial"/>
          <w:sz w:val="17"/>
          <w:szCs w:val="17"/>
          <w:b w:val="1"/>
          <w:bCs w:val="1"/>
          <w:color w:val="auto"/>
        </w:rPr>
        <w:t>Our subsidiaries may be required to make payments under the Amended and Restated Tax Receivable Agreement. The IRS may challenge the tax benefits that give rise to such payments and, under certain circumstances, our subsidiaries may have made or could make payments under the Amended and Restated Tax Receivable Agreement in excess of our subsidiaries’ cash tax savings.</w:t>
      </w:r>
    </w:p>
    <w:p>
      <w:pPr>
        <w:spacing w:after="0" w:line="54"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color w:val="auto"/>
        </w:rPr>
        <w:t>As further discussed in “Management’s Discussion and Analysis of Financial Condition and Results of Operations—Critical Accounting Policies and Estimates—Income Taxes” and Note 18 of Notes to Consolidated Financial Statements, the Second Amended and Restated Tax Receivable Agreement, dated as of October 26, 2015 (the “Amended and Restated Tax Receivable Agreement”), between Lazard and LTBP Trust, a Delaware statutory trust (the “Trust”), provides for the payment by our subsidiaries to the Trust of a significant portion of the cash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savings, if any, in U.S. federal, state and local income tax or franchise tax that we actually realize as a result of certain tax benefits that are subject to the Amended and Restated Tax Receivable Agreement. Any amount paid by our subsidiaries to the Trust will generally be distributed to the owners of the Trust, including our executive officers, in proportion to their beneficial interests in the Trust. If the IRS successfully challenges the tax benefits described above, under certain circumstances, our subsidiaries may have made or could make payments under the Amended and Restated Tax Receivable Agreement in excess of our subsidiaries’ cash tax savings.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59"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M&amp;A activity, our share of the M&amp;A market or our AUM;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32" w:name="page33"/>
    <w:bookmarkEnd w:id="32"/>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xml:space="preserve"> Our websites and social media sites and the information contained therein or connected thereto shall not be deemed to be incorporated into this Form 10-K.</w:t>
      </w:r>
    </w:p>
    <w:p>
      <w:pPr>
        <w:spacing w:after="0" w:line="2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December 31, 2017 relating to our periodic or current reports under the Exchange Act.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following table lists the properties used for the entire Lazard organization as of December 31, 2017. As a general matter, one or both of our Financial Advisory and Asset Management segments (as well as our Corporate segment) uses the following properties. Our London and other offices sublease 71,207 and 31,971 square feet, respectively, to third parties. We remain fully liable for the subleased space to the extent that the subtenants fail to perform their obligations under the subleases for any reason.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3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Square Footage</w:t>
            </w:r>
          </w:p>
        </w:tc>
        <w:tc>
          <w:tcPr>
            <w:tcW w:w="5080" w:type="dxa"/>
            <w:vAlign w:val="bottom"/>
          </w:tcPr>
          <w:p>
            <w:pPr>
              <w:ind w:left="2320"/>
              <w:spacing w:after="0"/>
              <w:rPr>
                <w:sz w:val="20"/>
                <w:szCs w:val="20"/>
                <w:color w:val="auto"/>
              </w:rPr>
            </w:pPr>
            <w:r>
              <w:rPr>
                <w:rFonts w:ascii="Arial" w:cs="Arial" w:eastAsia="Arial" w:hAnsi="Arial"/>
                <w:sz w:val="14"/>
                <w:szCs w:val="14"/>
                <w:b w:val="1"/>
                <w:bCs w:val="1"/>
                <w:color w:val="auto"/>
              </w:rPr>
              <w:t>Offices</w:t>
            </w:r>
          </w:p>
        </w:tc>
      </w:tr>
      <w:tr>
        <w:trPr>
          <w:trHeight w:val="209"/>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New York City</w:t>
            </w:r>
          </w:p>
        </w:tc>
        <w:tc>
          <w:tcPr>
            <w:tcW w:w="160" w:type="dxa"/>
            <w:vAlign w:val="bottom"/>
            <w:tcBorders>
              <w:top w:val="single" w:sz="8" w:color="CFF0FC"/>
            </w:tcBorders>
            <w:shd w:val="clear" w:color="auto" w:fill="CFF0FC"/>
          </w:tcPr>
          <w:p>
            <w:pPr>
              <w:spacing w:after="0"/>
              <w:rPr>
                <w:sz w:val="18"/>
                <w:szCs w:val="18"/>
                <w:color w:val="auto"/>
              </w:rPr>
            </w:pPr>
          </w:p>
        </w:tc>
        <w:tc>
          <w:tcPr>
            <w:tcW w:w="3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514,161 square feet of</w:t>
            </w:r>
          </w:p>
        </w:tc>
        <w:tc>
          <w:tcPr>
            <w:tcW w:w="160" w:type="dxa"/>
            <w:vAlign w:val="bottom"/>
            <w:tcBorders>
              <w:top w:val="single" w:sz="8" w:color="CFF0FC"/>
            </w:tcBorders>
            <w:shd w:val="clear" w:color="auto" w:fill="CFF0FC"/>
          </w:tcPr>
          <w:p>
            <w:pPr>
              <w:spacing w:after="0"/>
              <w:rPr>
                <w:sz w:val="18"/>
                <w:szCs w:val="18"/>
                <w:color w:val="auto"/>
              </w:rPr>
            </w:pPr>
          </w:p>
        </w:tc>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office located at 30 Rockefeller Plaza</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shd w:val="clear" w:color="auto" w:fill="CFF0FC"/>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Other Americas</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257,745 square feet of</w:t>
            </w:r>
          </w:p>
        </w:tc>
        <w:tc>
          <w:tcPr>
            <w:tcW w:w="5080" w:type="dxa"/>
            <w:vAlign w:val="bottom"/>
          </w:tcPr>
          <w:p>
            <w:pPr>
              <w:spacing w:after="0"/>
              <w:rPr>
                <w:sz w:val="20"/>
                <w:szCs w:val="20"/>
                <w:color w:val="auto"/>
              </w:rPr>
            </w:pPr>
            <w:r>
              <w:rPr>
                <w:rFonts w:ascii="Arial" w:cs="Arial" w:eastAsia="Arial" w:hAnsi="Arial"/>
                <w:sz w:val="18"/>
                <w:szCs w:val="18"/>
                <w:color w:val="auto"/>
                <w:w w:val="95"/>
              </w:rPr>
              <w:t>Bogota, Boston, Buenos Aires, Charlotte, Chicago, Houston, Lima,</w:t>
            </w: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r>
              <w:rPr>
                <w:rFonts w:ascii="Arial" w:cs="Arial" w:eastAsia="Arial" w:hAnsi="Arial"/>
                <w:sz w:val="18"/>
                <w:szCs w:val="18"/>
                <w:color w:val="auto"/>
                <w:w w:val="93"/>
              </w:rPr>
              <w:t>Los Angeles, Mexico City, Minneapolis, Montreal, Panama City, San</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Francisco, Santiago, São Paulo and Toronto</w:t>
            </w: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Paris</w:t>
            </w: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148,502 square feet of</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Principal office located at 121 Boulevard Haussmann</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owned and leased space</w:t>
            </w:r>
          </w:p>
        </w:tc>
        <w:tc>
          <w:tcPr>
            <w:tcW w:w="5080" w:type="dxa"/>
            <w:vAlign w:val="bottom"/>
            <w:shd w:val="clear" w:color="auto" w:fill="CFF0FC"/>
          </w:tcPr>
          <w:p>
            <w:pPr>
              <w:spacing w:after="0"/>
              <w:rPr>
                <w:sz w:val="20"/>
                <w:szCs w:val="20"/>
                <w:color w:val="auto"/>
              </w:rPr>
            </w:pP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London</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142,371 square feet of</w:t>
            </w:r>
          </w:p>
        </w:tc>
        <w:tc>
          <w:tcPr>
            <w:tcW w:w="508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p>
        </w:tc>
      </w:tr>
      <w:tr>
        <w:trPr>
          <w:trHeight w:val="215"/>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EMEA</w:t>
            </w: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124,121 square feet of</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w w:val="94"/>
              </w:rPr>
              <w:t>Amsterdam, Bordeaux, Brussels, Dubai, Dublin, Frankfurt, Geneva,</w:t>
            </w:r>
          </w:p>
        </w:tc>
      </w:tr>
      <w:tr>
        <w:trPr>
          <w:trHeight w:val="216"/>
        </w:trPr>
        <w:tc>
          <w:tcPr>
            <w:tcW w:w="2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Hamburg, Lyon, Madrid, Milan, Nantes, Riyadh, Stockholm and</w:t>
            </w:r>
          </w:p>
        </w:tc>
      </w:tr>
      <w:tr>
        <w:trPr>
          <w:trHeight w:val="230"/>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Zurich</w:t>
            </w:r>
          </w:p>
        </w:tc>
      </w:tr>
      <w:tr>
        <w:trPr>
          <w:trHeight w:val="215"/>
        </w:trPr>
        <w:tc>
          <w:tcPr>
            <w:tcW w:w="31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67,334 square feet of</w:t>
            </w:r>
          </w:p>
        </w:tc>
        <w:tc>
          <w:tcPr>
            <w:tcW w:w="5080" w:type="dxa"/>
            <w:vAlign w:val="bottom"/>
          </w:tcPr>
          <w:p>
            <w:pPr>
              <w:spacing w:after="0"/>
              <w:rPr>
                <w:sz w:val="20"/>
                <w:szCs w:val="20"/>
                <w:color w:val="auto"/>
              </w:rPr>
            </w:pPr>
            <w:r>
              <w:rPr>
                <w:rFonts w:ascii="Arial" w:cs="Arial" w:eastAsia="Arial" w:hAnsi="Arial"/>
                <w:sz w:val="18"/>
                <w:szCs w:val="18"/>
                <w:color w:val="auto"/>
                <w:w w:val="95"/>
              </w:rPr>
              <w:t>Beijing, Hong Kong, Melbourne, Mumbai, Perth, Seoul, Singapore,</w:t>
            </w: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leased space</w:t>
            </w:r>
          </w:p>
        </w:tc>
        <w:tc>
          <w:tcPr>
            <w:tcW w:w="5080" w:type="dxa"/>
            <w:vAlign w:val="bottom"/>
          </w:tcPr>
          <w:p>
            <w:pPr>
              <w:spacing w:after="0"/>
              <w:rPr>
                <w:sz w:val="20"/>
                <w:szCs w:val="20"/>
                <w:color w:val="auto"/>
              </w:rPr>
            </w:pPr>
            <w:r>
              <w:rPr>
                <w:rFonts w:ascii="Arial" w:cs="Arial" w:eastAsia="Arial" w:hAnsi="Arial"/>
                <w:sz w:val="18"/>
                <w:szCs w:val="18"/>
                <w:color w:val="auto"/>
              </w:rPr>
              <w:t>Sydney and Tokyo</w:t>
            </w:r>
          </w:p>
        </w:tc>
      </w:tr>
    </w:tbl>
    <w:p>
      <w:pPr>
        <w:spacing w:after="0" w:line="30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Our Class A common stock is traded on The New York Stock Exchange under the symbol “LAZ.” The following table sets forth, for the fiscal quarters indicated, the high and low sales prices per share of our Class A common stock, as reported in the consolidated transaction reporting system, and the quarterly dividends declared during 2017 and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Ranges of, and Dividends Declared on, Our Common Stock</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Dividends</w:t>
            </w: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Sales Price</w:t>
            </w:r>
          </w:p>
        </w:tc>
        <w:tc>
          <w:tcPr>
            <w:tcW w:w="8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 Share of</w:t>
            </w:r>
          </w:p>
        </w:tc>
      </w:tr>
      <w:tr>
        <w:trPr>
          <w:trHeight w:val="156"/>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3"/>
                <w:szCs w:val="13"/>
                <w:color w:val="auto"/>
              </w:rPr>
            </w:pPr>
          </w:p>
        </w:tc>
        <w:tc>
          <w:tcPr>
            <w:tcW w:w="120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Common Stock</w:t>
            </w:r>
          </w:p>
        </w:tc>
      </w:tr>
      <w:tr>
        <w:trPr>
          <w:trHeight w:val="223"/>
        </w:trPr>
        <w:tc>
          <w:tcPr>
            <w:tcW w:w="2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Fourth quarter</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52.98</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Second quarter</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47.63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47.09</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Third quarter</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38.19</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First quarter</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44.90</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As of February 2, 2018, there were approximately 25 holders of record of our Class A common stock. This does not include the number of shareholders that hold shares in “street-name” through banks or broker-dealers.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February 2, 2018, the last reported sales price for our Class A common stock on the New York Stock Exchange was $58.12 per share.</w:t>
      </w:r>
    </w:p>
    <w:p>
      <w:pPr>
        <w:spacing w:after="0" w:line="23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On January 31, 2018, the Board of Directors of Lazard declared dividends totaling $1.71 per share, comprised of a quarterly dividend of $0.41 per share, and an extra cash dividend of $1.30 per share, on our Class A common stock. The dividends are payable on February 23, 2018, to stockholders of record on February 12, 2018.</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Share Repurchases in the Fourth Quarter of 2017</w:t>
      </w:r>
    </w:p>
    <w:p>
      <w:pPr>
        <w:spacing w:after="0" w:line="12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fourth quarter of 2017. Share repurchases are recorded on a trade date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9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Publicly</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Announced</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Plans or</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per Share</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Programs</w:t>
            </w:r>
          </w:p>
        </w:tc>
        <w:tc>
          <w:tcPr>
            <w:tcW w:w="160" w:type="dxa"/>
            <w:vAlign w:val="bottom"/>
          </w:tcPr>
          <w:p>
            <w:pPr>
              <w:spacing w:after="0"/>
              <w:rPr>
                <w:sz w:val="14"/>
                <w:szCs w:val="14"/>
                <w:color w:val="auto"/>
              </w:rPr>
            </w:pPr>
          </w:p>
        </w:tc>
        <w:tc>
          <w:tcPr>
            <w:tcW w:w="14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October 1 – October 31, 2017</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tcPr>
          <w:p>
            <w:pPr>
              <w:jc w:val="right"/>
              <w:spacing w:after="0"/>
              <w:rPr>
                <w:sz w:val="20"/>
                <w:szCs w:val="20"/>
                <w:color w:val="auto"/>
              </w:rPr>
            </w:pPr>
            <w:r>
              <w:rPr>
                <w:rFonts w:ascii="Arial" w:cs="Arial" w:eastAsia="Arial" w:hAnsi="Arial"/>
                <w:sz w:val="18"/>
                <w:szCs w:val="18"/>
                <w:color w:val="auto"/>
              </w:rPr>
              <w:t>172,994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45.35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172,994</w:t>
            </w:r>
          </w:p>
        </w:tc>
        <w:tc>
          <w:tcPr>
            <w:tcW w:w="3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294.7</w:t>
            </w:r>
          </w:p>
        </w:tc>
        <w:tc>
          <w:tcPr>
            <w:tcW w:w="600" w:type="dxa"/>
            <w:vAlign w:val="bottom"/>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45.54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November 1 – November 30, 2017</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494,583</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47.10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494,583</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271.4</w:t>
            </w:r>
          </w:p>
        </w:tc>
        <w:tc>
          <w:tcPr>
            <w:tcW w:w="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tcPr>
          <w:p>
            <w:pPr>
              <w:jc w:val="right"/>
              <w:spacing w:after="0"/>
              <w:rPr>
                <w:sz w:val="20"/>
                <w:szCs w:val="20"/>
                <w:color w:val="auto"/>
              </w:rPr>
            </w:pPr>
            <w:r>
              <w:rPr>
                <w:rFonts w:ascii="Arial" w:cs="Arial" w:eastAsia="Arial" w:hAnsi="Arial"/>
                <w:sz w:val="18"/>
                <w:szCs w:val="18"/>
                <w:color w:val="auto"/>
              </w:rPr>
              <w:t>1,486</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46.15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December 1 – December 31, 2017</w:t>
            </w: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51.25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450,000</w:t>
            </w:r>
          </w:p>
        </w:tc>
        <w:tc>
          <w:tcPr>
            <w:tcW w:w="3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248.4</w:t>
            </w:r>
          </w:p>
        </w:tc>
        <w:tc>
          <w:tcPr>
            <w:tcW w:w="600" w:type="dxa"/>
            <w:vAlign w:val="bottom"/>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8,818</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49.88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1,117,577</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48.50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1,117,577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248.4</w:t>
            </w:r>
          </w:p>
        </w:tc>
        <w:tc>
          <w:tcPr>
            <w:tcW w:w="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40" w:type="dxa"/>
            <w:vAlign w:val="bottom"/>
          </w:tcPr>
          <w:p>
            <w:pPr>
              <w:jc w:val="right"/>
              <w:spacing w:after="0"/>
              <w:rPr>
                <w:sz w:val="20"/>
                <w:szCs w:val="20"/>
                <w:color w:val="auto"/>
              </w:rPr>
            </w:pPr>
            <w:r>
              <w:rPr>
                <w:rFonts w:ascii="Arial" w:cs="Arial" w:eastAsia="Arial" w:hAnsi="Arial"/>
                <w:sz w:val="18"/>
                <w:szCs w:val="18"/>
                <w:color w:val="auto"/>
              </w:rPr>
              <w:t>10,453</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49.29</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ind w:left="600" w:right="200" w:hanging="592"/>
        <w:spacing w:after="0" w:line="269"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year ended December 31, 2017 and since 2014, the Board of Directors of Lazard authorized the repurchase of Class A common stock as set forth in the table below.</w:t>
      </w:r>
    </w:p>
    <w:tbl>
      <w:tblPr>
        <w:tblLayout w:type="fixed"/>
        <w:tblInd w:w="1140" w:type="dxa"/>
        <w:tblCellMar>
          <w:top w:w="0" w:type="dxa"/>
          <w:left w:w="0" w:type="dxa"/>
          <w:bottom w:w="0" w:type="dxa"/>
          <w:right w:w="0" w:type="dxa"/>
        </w:tblCellMar>
      </w:tblP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5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Authorization</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2014</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February 2015</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January 2016</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April 2016</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113,182</w:t>
            </w:r>
          </w:p>
        </w:tc>
        <w:tc>
          <w:tcPr>
            <w:tcW w:w="4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November 2016</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December 31,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October 2017</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tcPr>
          <w:p>
            <w:pPr>
              <w:spacing w:after="0"/>
              <w:rPr>
                <w:sz w:val="20"/>
                <w:szCs w:val="20"/>
                <w:color w:val="auto"/>
              </w:rPr>
            </w:pPr>
          </w:p>
        </w:tc>
        <w:tc>
          <w:tcPr>
            <w:tcW w:w="1560" w:type="dxa"/>
            <w:vAlign w:val="bottom"/>
          </w:tcPr>
          <w:p>
            <w:pPr>
              <w:ind w:left="140"/>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right="80"/>
        <w:spacing w:after="0" w:line="292" w:lineRule="auto"/>
        <w:rPr>
          <w:sz w:val="20"/>
          <w:szCs w:val="20"/>
          <w:color w:val="auto"/>
        </w:rPr>
      </w:pPr>
      <w:r>
        <w:rPr>
          <w:rFonts w:ascii="Arial" w:cs="Arial" w:eastAsia="Arial" w:hAnsi="Arial"/>
          <w:sz w:val="16"/>
          <w:szCs w:val="16"/>
          <w:color w:val="auto"/>
        </w:rPr>
        <w:t>A significant portion of the Company’s purchases under the share repurchase program are used to offset a portion of the shares that have been or will be issued under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2" w:lineRule="exact"/>
        <w:rPr>
          <w:sz w:val="20"/>
          <w:szCs w:val="20"/>
          <w:color w:val="auto"/>
        </w:rPr>
      </w:pPr>
    </w:p>
    <w:p>
      <w:pPr>
        <w:ind w:left="600" w:right="20" w:hanging="592"/>
        <w:spacing w:after="0" w:line="25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terms of the 2008 Plan, upon the vesting of RSUs, PRSUs, DSUs and delivery of restricted Class A common stock, shares of Class A common stock may be withheld by the Company to meet the minimum statutory tax withholding requirements. During the three month period ended December 31, 2017, the Company satisfied such obligations in lieu of issuing (i) 7,758 shares of Class A common stock upon the vesting or settlement of 20,686 RSUs and PRSUs and (ii) 2,695 shares of Class A common stock upon the vesting of 7,865 shares of restricted Class A common stock.</w:t>
      </w:r>
    </w:p>
    <w:p>
      <w:pPr>
        <w:spacing w:after="0" w:line="188"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During the year ended December 31, 2017,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stock performance graph below compares the performance of an investment in our Class A common stock, from December 31, 2012 through December 31, 2017, with that of the S&amp;P 500 Index and the S&amp;P Financial Index. The graph assumes $100 was invested at the close of business on December 31, 2012 in each of our Class A common stock, the S&amp;P 500 Index and the S&amp;P Financial Index. It also assumes that dividends were reinvested on the date of payment without payment of any commissions.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266065</wp:posOffset>
            </wp:positionV>
            <wp:extent cx="5213985" cy="20840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selected consolidated financial data for the Company for all years presented.</w:t>
      </w:r>
    </w:p>
    <w:p>
      <w:pPr>
        <w:spacing w:after="0" w:line="225"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2017 have been derived from Lazard Ltd’s consolidated financial statements. The audited consolidated statements of financial condition as of December 31, 2017 and 2016 and audited consolidated statements of operations for each of the years in the three year period ended December 31, 2017 are included in this Form 10-K. The audited consolidated statements of financial condition as of December 31, 2015, 2014 and 2013, and the audited consolidated statements of operations for the years ended December 31, 2014 and 2013, are not included in this Form 10-K. Historical results should not be considered an indication of results for any future period.</w:t>
      </w:r>
    </w:p>
    <w:p>
      <w:pPr>
        <w:spacing w:after="0" w:line="193" w:lineRule="exact"/>
        <w:rPr>
          <w:sz w:val="20"/>
          <w:szCs w:val="20"/>
          <w:color w:val="auto"/>
        </w:rPr>
      </w:pPr>
    </w:p>
    <w:p>
      <w:pPr>
        <w:ind w:right="400" w:firstLine="598"/>
        <w:spacing w:after="0" w:line="34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4"/>
              </w:rPr>
              <w:t>As Of Or For The Year Ended December 31,</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gridSpan w:val="8"/>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(dollars in thousands, except for per share amounts)</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Net Revenue: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Financial Advisory (a)</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1,387,682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1,206,734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Asset Management (b)</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1,255,820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1,051,316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1,111,105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1,134,595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1,039,130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(c)</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(18,989)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(37,125)</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(40,882)</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(34,355)</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2,644,311</w:t>
            </w:r>
          </w:p>
        </w:tc>
        <w:tc>
          <w:tcPr>
            <w:tcW w:w="24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2,333,371</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2,353,608</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2,300,447</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1,985,352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 (d)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1,512,873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1,340,543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1,319,746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1,313,606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1,278,534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Operating Expenses (e)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305,992</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475,367</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1,050,482</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467,376</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1,818,865</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1,815,910</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2,370,228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1,780,982</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1,768,545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825,446</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517,461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(16,620)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519,465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216,807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259,847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393,692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992,932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434,063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165,114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Attributable to Lazard Ltd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253,583</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387,698</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986,373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427,277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Per Share of</w:t>
            </w: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Class A Common Stock:</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2.09</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80" w:type="dxa"/>
            <w:vAlign w:val="bottom"/>
          </w:tcPr>
          <w:p>
            <w:pPr>
              <w:spacing w:after="0"/>
              <w:rPr>
                <w:sz w:val="20"/>
                <w:szCs w:val="20"/>
                <w:color w:val="auto"/>
              </w:rPr>
            </w:pPr>
            <w:r>
              <w:rPr>
                <w:rFonts w:ascii="Arial" w:cs="Arial" w:eastAsia="Arial" w:hAnsi="Arial"/>
                <w:sz w:val="16"/>
                <w:szCs w:val="16"/>
                <w:color w:val="auto"/>
              </w:rPr>
              <w:t>Dividends Declared Per Share of Class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80" w:type="dxa"/>
            <w:vAlign w:val="bottom"/>
          </w:tcPr>
          <w:p>
            <w:pPr>
              <w:ind w:left="120"/>
              <w:spacing w:after="0"/>
              <w:rPr>
                <w:sz w:val="20"/>
                <w:szCs w:val="20"/>
                <w:color w:val="auto"/>
              </w:rPr>
            </w:pPr>
            <w:r>
              <w:rPr>
                <w:rFonts w:ascii="Arial" w:cs="Arial" w:eastAsia="Arial" w:hAnsi="Arial"/>
                <w:sz w:val="16"/>
                <w:szCs w:val="16"/>
                <w:color w:val="auto"/>
              </w:rPr>
              <w:t>A 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2.69</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Financial</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Condition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4,928,677</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4,556,508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4,477,774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3,325,329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3,002,553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Debt (f)</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1,190,444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1,195,805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998,386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1,053,458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Total Lazard Ltd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1,199,803</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1,235,987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1,313,455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706,744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560,209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1,258,905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1,293,813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1,367,306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770,057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Assets Under Management: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As of December 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249,459,000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197,910,000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186,380,000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197,103,000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186,924,000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During Year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226,525,000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194,808,000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195,987,000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196,037,000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173,702,000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Total Headcount, As of December 31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15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Notes (in thousands of dollars)</w:t>
            </w: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5040" w:type="dxa"/>
            <w:vAlign w:val="bottom"/>
          </w:tcPr>
          <w:p>
            <w:pPr>
              <w:ind w:left="360"/>
              <w:spacing w:after="0"/>
              <w:rPr>
                <w:sz w:val="20"/>
                <w:szCs w:val="20"/>
                <w:color w:val="auto"/>
              </w:rPr>
            </w:pPr>
            <w:r>
              <w:rPr>
                <w:rFonts w:ascii="Arial" w:cs="Arial" w:eastAsia="Arial" w:hAnsi="Arial"/>
                <w:sz w:val="18"/>
                <w:szCs w:val="18"/>
                <w:color w:val="auto"/>
              </w:rPr>
              <w:t>Financial Advisory net revenue consists of the following:</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4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56"/>
        </w:trPr>
        <w:tc>
          <w:tcPr>
            <w:tcW w:w="240" w:type="dxa"/>
            <w:vAlign w:val="bottom"/>
            <w:tcBorders>
              <w:bottom w:val="single" w:sz="8" w:color="CFF0FC"/>
            </w:tcBorders>
          </w:tcPr>
          <w:p>
            <w:pPr>
              <w:spacing w:after="0"/>
              <w:rPr>
                <w:sz w:val="13"/>
                <w:szCs w:val="13"/>
                <w:color w:val="auto"/>
              </w:rPr>
            </w:pPr>
          </w:p>
        </w:tc>
        <w:tc>
          <w:tcPr>
            <w:tcW w:w="50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Strategic Advisory</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1,125,787</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1,099,322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1,173,777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1,091,973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847,706</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Restructuring</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261,895</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201,722</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105,851</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114,761</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132,871</w:t>
            </w:r>
          </w:p>
        </w:tc>
        <w:tc>
          <w:tcPr>
            <w:tcW w:w="100" w:type="dxa"/>
            <w:vAlign w:val="bottom"/>
            <w:tcBorders>
              <w:bottom w:val="single" w:sz="8" w:color="CFF0FC"/>
            </w:tcBorders>
          </w:tcPr>
          <w:p>
            <w:pPr>
              <w:spacing w:after="0"/>
              <w:rPr>
                <w:sz w:val="18"/>
                <w:szCs w:val="18"/>
                <w:color w:val="auto"/>
              </w:rPr>
            </w:pPr>
          </w:p>
        </w:tc>
      </w:tr>
      <w:tr>
        <w:trPr>
          <w:trHeight w:val="210"/>
        </w:trPr>
        <w:tc>
          <w:tcPr>
            <w:tcW w:w="240" w:type="dxa"/>
            <w:vAlign w:val="bottom"/>
            <w:shd w:val="clear" w:color="auto" w:fill="CFF0FC"/>
          </w:tcPr>
          <w:p>
            <w:pPr>
              <w:spacing w:after="0"/>
              <w:rPr>
                <w:sz w:val="18"/>
                <w:szCs w:val="18"/>
                <w:color w:val="auto"/>
              </w:rPr>
            </w:pPr>
          </w:p>
        </w:tc>
        <w:tc>
          <w:tcPr>
            <w:tcW w:w="5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Advisory Net 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1,387,682</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1,301,044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1,279,628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1,206,734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980,577</w:t>
            </w:r>
          </w:p>
        </w:tc>
        <w:tc>
          <w:tcPr>
            <w:tcW w:w="100" w:type="dxa"/>
            <w:vAlign w:val="bottom"/>
            <w:shd w:val="clear" w:color="auto" w:fill="CFF0FC"/>
          </w:tcPr>
          <w:p>
            <w:pPr>
              <w:spacing w:after="0"/>
              <w:rPr>
                <w:sz w:val="18"/>
                <w:szCs w:val="18"/>
                <w:color w:val="auto"/>
              </w:rPr>
            </w:pPr>
          </w:p>
        </w:tc>
      </w:tr>
      <w:tr>
        <w:trPr>
          <w:trHeight w:val="20"/>
        </w:trPr>
        <w:tc>
          <w:tcPr>
            <w:tcW w:w="240" w:type="dxa"/>
            <w:vAlign w:val="bottom"/>
            <w:tcBorders>
              <w:top w:val="single" w:sz="8" w:color="CFF0FC"/>
            </w:tcBorders>
          </w:tcPr>
          <w:p>
            <w:pPr>
              <w:spacing w:after="0" w:line="20" w:lineRule="exact"/>
              <w:rPr>
                <w:sz w:val="1"/>
                <w:szCs w:val="1"/>
                <w:color w:val="auto"/>
              </w:rPr>
            </w:pPr>
          </w:p>
        </w:tc>
        <w:tc>
          <w:tcPr>
            <w:tcW w:w="50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Management net revenue consists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Management Fees and Other</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1,210,016</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1,035,726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1,086,030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1,082,729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960,788</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Incentive Fees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45,804</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15,590</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25,075</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78,342</w:t>
            </w:r>
          </w:p>
        </w:tc>
        <w:tc>
          <w:tcPr>
            <w:tcW w:w="100" w:type="dxa"/>
            <w:vAlign w:val="bottom"/>
            <w:tcBorders>
              <w:bottom w:val="single" w:sz="8" w:color="CFF0FC"/>
            </w:tcBorders>
          </w:tcPr>
          <w:p>
            <w:pPr>
              <w:spacing w:after="0"/>
              <w:rPr>
                <w:sz w:val="18"/>
                <w:szCs w:val="18"/>
                <w:color w:val="auto"/>
              </w:rPr>
            </w:pPr>
          </w:p>
        </w:tc>
      </w:tr>
      <w:tr>
        <w:trPr>
          <w:trHeight w:val="210"/>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 Management Net 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1,255,820</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1,051,316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1,111,105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1,134,595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1,039,130</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includes interest expense (net of interest income) and investment income (losses) from certain investments.</w:t>
      </w:r>
    </w:p>
    <w:p>
      <w:pPr>
        <w:spacing w:after="0" w:line="49" w:lineRule="exact"/>
        <w:rPr>
          <w:rFonts w:ascii="Arial" w:cs="Arial" w:eastAsia="Arial" w:hAnsi="Arial"/>
          <w:sz w:val="18"/>
          <w:szCs w:val="18"/>
          <w:color w:val="auto"/>
        </w:rPr>
      </w:pPr>
    </w:p>
    <w:p>
      <w:pPr>
        <w:ind w:left="600" w:right="40" w:hanging="592"/>
        <w:spacing w:after="0" w:line="259"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 2012, and $12,203 related to incentive compensation expense arising from private equity transactions for which revenue may be recognized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left="592" w:hanging="592"/>
        <w:spacing w:after="0" w:line="270" w:lineRule="auto"/>
        <w:tabs>
          <w:tab w:leader="none" w:pos="592"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(i) in 2017, non-compensation costs of $25,308 relating to expenses associated with the Enterprise Resource Planning system implementation; $11,354 of incremental rent expense and lease abandonment costs relating to office space reorganization; and $202,546 relating to the benefit pursuant to the tax receivable agreement (see Note 18 of Notes to Consolidated Financial Statements), (ii) in 2016, non-compensation costs of $30,067 due to the change in fair value of the contingent consideration associated with the Edgewater business acquisition, (iii) in 2015, non-compensation costs of $547,691 relating to the provision pursuant to the tax receivable agreement; $60,219 relating to the redemption of a significant portion of the Company’s 6.85% senior notes maturing on June 15, 2017 and $1,114 of expenses relating to the partial extinguishment of the tax receivable obligation, (iv) in 2014, non-compensation costs of $18,307 relating to the provision pursuant to tax receivable agreement and (v) in 2013, non-compensation costs of $1,249 relating to the provision pursuant to the tax receivable agreement, $13,304 relating to the cost saving initiatives announced by the Company in October 2012 and $54,087 related to the refinancing of the Company’s 7.125% senior notes maturing on May 15, 2015.</w:t>
      </w:r>
    </w:p>
    <w:p>
      <w:pPr>
        <w:spacing w:after="0" w:line="2" w:lineRule="exact"/>
        <w:rPr>
          <w:rFonts w:ascii="Arial" w:cs="Arial" w:eastAsia="Arial" w:hAnsi="Arial"/>
          <w:sz w:val="17"/>
          <w:szCs w:val="17"/>
          <w:color w:val="auto"/>
        </w:rPr>
      </w:pPr>
    </w:p>
    <w:p>
      <w:pPr>
        <w:ind w:left="592" w:right="200" w:hanging="592"/>
        <w:spacing w:after="0" w:line="277" w:lineRule="auto"/>
        <w:tabs>
          <w:tab w:leader="none" w:pos="5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aggregate amount reflected in the Company’s consolidated statements of financial condition relating to senior debt and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39" w:name="page40"/>
    <w:bookmarkEnd w:id="39"/>
    <w:p>
      <w:pPr>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00" w:firstLine="59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1200" w:right="80" w:hanging="598"/>
        <w:spacing w:after="0" w:line="264"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shareholder advisory, and various other financial matters, and</w:t>
      </w:r>
    </w:p>
    <w:p>
      <w:pPr>
        <w:spacing w:after="0" w:line="73" w:lineRule="exact"/>
        <w:rPr>
          <w:rFonts w:ascii="Arial" w:cs="Arial" w:eastAsia="Arial" w:hAnsi="Arial"/>
          <w:sz w:val="18"/>
          <w:szCs w:val="18"/>
          <w:color w:val="auto"/>
        </w:rPr>
      </w:pPr>
    </w:p>
    <w:p>
      <w:pPr>
        <w:ind w:left="1200" w:right="500" w:hanging="598"/>
        <w:spacing w:after="0" w:line="286" w:lineRule="auto"/>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66"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7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56%</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8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38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0" w:name="page41"/>
    <w:bookmarkEnd w:id="40"/>
    <w:p>
      <w:pPr>
        <w:ind w:right="120" w:firstLine="59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We sold our interest in the Mezzanine Fund in May 2017. 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Equity market indices for developed and emerging markets at December 31, 2017 increased as compared to such indices at December 31, 2016. In the global M&amp;A markets during 2017, the value and number of all completed M&amp;A transactions decreased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decreased, while the number of all such transactions increased as compared to 2016. During 2017, global restructuring activity, as measured by the number of corporate defaults, decreased as compared to 2016.</w:t>
      </w:r>
    </w:p>
    <w:p>
      <w:pPr>
        <w:spacing w:after="0" w:line="15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On an ongoing basis, regional macroeconomic and geopolitical factors, including regional tax and regulatory reform, may impact our business. Overall, the global macroeconomic outlook for the near-to mid-term continues to strengthen. The U.S. economy remains healthy and tax reform has increased earnings expectations. The European economy continues to recover. Corporate cash balances remain high, and borrowing costs remain low for companies with strong credit ratings. Although market volatility may affect our business from time to time, the longer-term trends appear to remain favorable for both of our businesses.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1200" w:right="100" w:hanging="598"/>
        <w:spacing w:after="0" w:line="289" w:lineRule="auto"/>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The fundamentals for continued M&amp;A activity appear to remain in place, and we believe our Financial Advisory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we expanded our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58" w:lineRule="exact"/>
        <w:rPr>
          <w:rFonts w:ascii="Arial" w:cs="Arial" w:eastAsia="Arial" w:hAnsi="Arial"/>
          <w:sz w:val="16"/>
          <w:szCs w:val="16"/>
          <w:color w:val="auto"/>
        </w:rPr>
      </w:pPr>
    </w:p>
    <w:p>
      <w:pPr>
        <w:ind w:left="1200" w:right="80" w:hanging="598"/>
        <w:spacing w:after="0" w:line="272" w:lineRule="auto"/>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Asset Management </w:t>
      </w:r>
      <w:r>
        <w:rPr>
          <w:rFonts w:ascii="Arial" w:cs="Arial" w:eastAsia="Arial" w:hAnsi="Arial"/>
          <w:sz w:val="17"/>
          <w:szCs w:val="17"/>
          <w:color w:val="auto"/>
        </w:rPr>
        <w:t>– In the short to intermediate term, we expect most investor demand will come from defined benefit and defined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jc w:val="both"/>
        <w:ind w:left="1200" w:right="200"/>
        <w:spacing w:after="0" w:line="264" w:lineRule="auto"/>
        <w:rPr>
          <w:sz w:val="20"/>
          <w:szCs w:val="20"/>
          <w:color w:val="auto"/>
        </w:rPr>
      </w:pPr>
      <w:r>
        <w:rPr>
          <w:rFonts w:ascii="Arial" w:cs="Arial" w:eastAsia="Arial" w:hAnsi="Arial"/>
          <w:sz w:val="18"/>
          <w:szCs w:val="18"/>
          <w:color w:val="auto"/>
        </w:rPr>
        <w:t>that extend our existing platforms and assessing potential product acquisitions or other inorganic growth opportunities. Recent examples of growth initiatives include the following investment strategies: various Quantitative Equity strategies, various Multi-Asset strategies, a Real Assets strategy, an International Value strategy and a Global Equity Franchise strategy.</w:t>
      </w:r>
    </w:p>
    <w:p>
      <w:pPr>
        <w:spacing w:after="0" w:line="18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Overall, we continue to focus on the development of our business, including the generation of stable revenue growth, earnings growth and shareholder returns, the evaluation of potential growth opportunities, the prudent management of our costs and expenses, the efficient use of our assets and the return of capital to our shareholders.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2017 as compared to 2016. With respect to announced M&amp;A transactions, the value of all transactions, including announced transactions with values greater than $500 million, also decreased in 2017 as compared to 2016, while the number of all such transactions increased as compared to 2016.</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w w:val="95"/>
              </w:rPr>
              <w:t>Year Ended December 31,</w:t>
            </w:r>
          </w:p>
        </w:tc>
        <w:tc>
          <w:tcPr>
            <w:tcW w:w="1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1"/>
                <w:szCs w:val="11"/>
                <w:color w:val="auto"/>
              </w:rPr>
            </w:pPr>
          </w:p>
        </w:tc>
        <w:tc>
          <w:tcPr>
            <w:tcW w:w="1300" w:type="dxa"/>
            <w:vAlign w:val="bottom"/>
            <w:vMerge w:val="restart"/>
          </w:tcPr>
          <w:p>
            <w:pPr>
              <w:jc w:val="right"/>
              <w:ind w:right="694"/>
              <w:spacing w:after="0"/>
              <w:rPr>
                <w:sz w:val="20"/>
                <w:szCs w:val="20"/>
                <w:color w:val="auto"/>
              </w:rPr>
            </w:pPr>
            <w:r>
              <w:rPr>
                <w:rFonts w:ascii="Arial" w:cs="Arial" w:eastAsia="Arial" w:hAnsi="Arial"/>
                <w:sz w:val="14"/>
                <w:szCs w:val="14"/>
                <w:b w:val="1"/>
                <w:bCs w:val="1"/>
                <w:color w:val="auto"/>
              </w:rPr>
              <w:t>2016</w:t>
            </w:r>
          </w:p>
        </w:tc>
        <w:tc>
          <w:tcPr>
            <w:tcW w:w="1140" w:type="dxa"/>
            <w:vAlign w:val="bottom"/>
          </w:tcPr>
          <w:p>
            <w:pPr>
              <w:jc w:val="right"/>
              <w:ind w:right="37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Incr / (Decr)</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w w:val="94"/>
              </w:rPr>
              <w:t>in billions)</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w:t>
            </w: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3,879</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38,740</w:t>
            </w:r>
          </w:p>
        </w:tc>
        <w:tc>
          <w:tcPr>
            <w:tcW w:w="6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38,791</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2,604</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2,942</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1,203</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3,711</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3,850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39,519</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38,538</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2,795</w:t>
            </w:r>
          </w:p>
        </w:tc>
        <w:tc>
          <w:tcPr>
            <w:tcW w:w="6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2,911</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Arial" w:cs="Arial" w:eastAsia="Arial" w:hAnsi="Arial"/>
                <w:sz w:val="18"/>
                <w:szCs w:val="18"/>
                <w:color w:val="auto"/>
              </w:rPr>
              <w:t>Number</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w:t>
            </w:r>
          </w:p>
        </w:tc>
        <w:tc>
          <w:tcPr>
            <w:tcW w:w="6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1,215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Source: Dealogic as of January 6, 2018.</w:t>
      </w:r>
    </w:p>
    <w:p>
      <w:pPr>
        <w:spacing w:after="0" w:line="225"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Global restructuring activity during 2017, as measured by the number of corporate defaults, decreased as compared to 2016. The number of defaulting issuers decreased to 90 in 2017, according to Moody’s Investors Service, Inc., as compared to 142 in 2016.</w:t>
      </w:r>
    </w:p>
    <w:p>
      <w:pPr>
        <w:spacing w:after="0" w:line="170"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Net revenue trends in Financial Advisory for Strategic Advisory and Restructuring are generally correlated to the level of completed industry-wide M&amp;A transactions and restructuring transactions occurring subsequent to corporate debt defaults, respectively. However, deviations from this relationship can occur in any given year for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line="271" w:lineRule="auto"/>
        <w:rPr>
          <w:sz w:val="20"/>
          <w:szCs w:val="20"/>
          <w:color w:val="auto"/>
        </w:rPr>
      </w:pPr>
      <w:r>
        <w:rPr>
          <w:rFonts w:ascii="Arial" w:cs="Arial" w:eastAsia="Arial" w:hAnsi="Arial"/>
          <w:sz w:val="17"/>
          <w:szCs w:val="17"/>
          <w:color w:val="auto"/>
        </w:rPr>
        <w:t>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Strategic Advisory revenue, which includes M&amp;A Advisory, Capital Advisory, Capital Raising, Sovereign Advisory and Shareholder Advisory revenue, increased 2% in 2017 as compared to 2016. The industry statistics for global M&amp;A transactions described above reflect a 10% decrease in the value of all completed transactions in 2017 as compared to 2016. For M&amp;A deals with values greater than $500 million, the value of completed transactions in 2017 decreased 11% as compared to 2016. In addition, with respect to our restructuring activity, revenue increased 30% in 2017 as compared to 2016, in contrast to a 37% decrease in global default activity in 2017 as compared to 2016.</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500" w:firstLine="598"/>
        <w:spacing w:after="0" w:line="277" w:lineRule="auto"/>
        <w:rPr>
          <w:sz w:val="20"/>
          <w:szCs w:val="20"/>
          <w:color w:val="auto"/>
        </w:rPr>
      </w:pPr>
      <w:r>
        <w:rPr>
          <w:rFonts w:ascii="Arial" w:cs="Arial" w:eastAsia="Arial" w:hAnsi="Arial"/>
          <w:sz w:val="18"/>
          <w:szCs w:val="18"/>
          <w:color w:val="auto"/>
        </w:rPr>
        <w:t>The percentage change in major equity market indices (i) at December 31, 2017, as compared to such indices at December 31, 2016, and (ii) at December 31, 2016, as compared to such indices at December 31, 2015, is shown in the table below.</w:t>
      </w:r>
    </w:p>
    <w:p>
      <w:pPr>
        <w:spacing w:after="0" w:line="176"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Percentage Changes</w:t>
      </w:r>
    </w:p>
    <w:p>
      <w:pPr>
        <w:jc w:val="center"/>
        <w:ind w:left="67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696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93"/>
              </w:rPr>
              <w:t>2017 vs. 2016</w:t>
            </w:r>
          </w:p>
        </w:tc>
        <w:tc>
          <w:tcPr>
            <w:tcW w:w="2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2016 vs. 2015</w:t>
            </w:r>
          </w:p>
        </w:tc>
        <w:tc>
          <w:tcPr>
            <w:tcW w:w="180" w:type="dxa"/>
            <w:vAlign w:val="bottom"/>
            <w:tcBorders>
              <w:bottom w:val="single" w:sz="8" w:color="CFF0FC"/>
            </w:tcBorders>
          </w:tcPr>
          <w:p>
            <w:pPr>
              <w:spacing w:after="0"/>
              <w:rPr>
                <w:sz w:val="13"/>
                <w:szCs w:val="13"/>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8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jc w:val="both"/>
        <w:ind w:right="20" w:firstLine="877"/>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spacing w:after="0" w:line="255"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December 31, 2017 increased 26% versus AUM at December 31, 2016, due to market and foreign exchange appreciation and net inflows. Average AUM for 2017 increased 16% as compared to average AUM in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right="20" w:firstLine="598"/>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2"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Although Corporate segment net revenue during 2017 is not significant compared to Lazard’s net revenue, total assets in the Corporate segment represented 68% of Lazard’s consolidated total assets as of December 31, 2017, which are attributable to cash and cash equivalents, investments in debt and equity securities, interests in alternative investment, debt, equity and private equity funds, deferred tax assets and certain assets associated with LFB.</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ind w:left="3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46" w:lineRule="exact"/>
        <w:rPr>
          <w:sz w:val="20"/>
          <w:szCs w:val="20"/>
          <w:color w:val="auto"/>
        </w:rPr>
      </w:pPr>
    </w:p>
    <w:p>
      <w:pPr>
        <w:ind w:left="1200" w:right="50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jc w:val="both"/>
        <w:ind w:left="1800" w:right="540" w:hanging="603"/>
        <w:spacing w:after="0" w:line="264"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2018 related to the 2017 year-end compensation process), including PRSU awards (based on the target payout level);</w:t>
      </w:r>
    </w:p>
    <w:p>
      <w:pPr>
        <w:spacing w:after="0" w:line="73" w:lineRule="exact"/>
        <w:rPr>
          <w:rFonts w:ascii="Arial" w:cs="Arial" w:eastAsia="Arial" w:hAnsi="Arial"/>
          <w:sz w:val="18"/>
          <w:szCs w:val="18"/>
          <w:color w:val="auto"/>
        </w:rPr>
      </w:pPr>
    </w:p>
    <w:p>
      <w:pPr>
        <w:ind w:left="1800" w:right="100" w:hanging="603"/>
        <w:spacing w:after="0" w:line="277"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800" w:hanging="603"/>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We also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right="20" w:firstLine="59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55.6% and 55.8%, respectively, for the year ended December 31, 2017.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2"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2016 and 2015, non-compensation expense included expenses related to the redemption of the Company’s 6.85% senior notes due 2017 (the “2017 Notes”) (see Note 11 of Notes to Consolidated Financial Statements).</w:t>
      </w:r>
    </w:p>
    <w:p>
      <w:pPr>
        <w:spacing w:after="0" w:line="193"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Our operating expenses also include our “provision (benefit) pursuant to the tax receivable agreement” (which, in 2017, was offset by the charges described below relating to the Tax Act) and “amortization and other acquisition-related costs”. “Amortization and other acquisition-related costs” include the change in fair value of the contingent consideration associated with business acquisitions and, in 2016, pertain primarily to the acquisition of Edgewater.</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16 of Notes to Consolidated Financial Statements for additional information).</w:t>
      </w:r>
    </w:p>
    <w:p>
      <w:pPr>
        <w:spacing w:after="0" w:line="173"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In the second quarter of 2015, we released substantially all of our valuation allowance related to deferred tax assets. When we are able to use the deferred tax assets, including our net operating losses, in future periods to reduce our income taxes, we will be required to pay a significant portion of the tax savings pursuant to our tax receivable agreement. The amount of such payments will depend on, among other items, our annual taxable income. We therefore also recognized a related liability under the tax receivable agreement. In addition, in the third quarter of 2015, we purchased a portion of our obligation relating to the tax receivable agreement, which had the effect of reducing such liability.</w:t>
      </w:r>
    </w:p>
    <w:p>
      <w:pPr>
        <w:spacing w:after="0" w:line="173"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On December 22, 2017,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BEAT and tax on GILTI. The reduced corporate tax rate required us to remeasure our deferred tax assets and liabilities, and tax receivable agreement obligation.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right="240" w:firstLine="598"/>
        <w:spacing w:after="0" w:line="264" w:lineRule="auto"/>
        <w:rPr>
          <w:sz w:val="20"/>
          <w:szCs w:val="20"/>
          <w:color w:val="auto"/>
        </w:rPr>
      </w:pPr>
      <w:r>
        <w:rPr>
          <w:rFonts w:ascii="Arial" w:cs="Arial" w:eastAsia="Arial" w:hAnsi="Arial"/>
          <w:sz w:val="18"/>
          <w:szCs w:val="18"/>
          <w:color w:val="auto"/>
        </w:rPr>
        <w:t>See “Critical Accounting Policies and Estimates—Income Taxes” below and Notes 16 and 18 of Notes to Consolidated Financial Statements for additional information regarding income taxes, the impact of the Tax Act on us, our deferred tax assets, the valuation allowance release in 2015 and the tax receivable agreement obligation.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See Note 13 of Notes to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380" w:firstLine="598"/>
        <w:spacing w:after="0" w:line="293"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consolidated statements of operations.</w:t>
      </w:r>
    </w:p>
    <w:p>
      <w:pPr>
        <w:spacing w:after="0" w:line="165"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A portion of our net revenue is derived from transactions that are denominated in currencies other than the U.S. Dollar. Net revenue for the year ended December 31, 2017 was positively impacted, and net revenue for the year ended December 31, 2016 was negatively impacted, by exchange rate movements, in each case in comparison to the relevant prior year period. The majority of the impact to net revenue, in both periods, was offset by the impact of the exchange rate movements on our operating expenses during the years denominated in currencies other than the U.S. Dollar.</w:t>
      </w:r>
    </w:p>
    <w:p>
      <w:pPr>
        <w:spacing w:after="0" w:line="154" w:lineRule="exact"/>
        <w:rPr>
          <w:sz w:val="20"/>
          <w:szCs w:val="20"/>
          <w:color w:val="auto"/>
        </w:rPr>
      </w:pPr>
    </w:p>
    <w:p>
      <w:pPr>
        <w:ind w:right="420" w:firstLine="598"/>
        <w:spacing w:after="0" w:line="342" w:lineRule="auto"/>
        <w:rPr>
          <w:sz w:val="20"/>
          <w:szCs w:val="20"/>
          <w:color w:val="auto"/>
        </w:rPr>
      </w:pPr>
      <w:r>
        <w:rPr>
          <w:rFonts w:ascii="Arial" w:cs="Arial" w:eastAsia="Arial" w:hAnsi="Arial"/>
          <w:sz w:val="16"/>
          <w:szCs w:val="16"/>
          <w:color w:val="auto"/>
        </w:rPr>
        <w:t>The consolidated financial statements are prepared in conformity with U.S. GAAP. Selected financial data derived from the Company’s reported consolidated results of operations is set forth below, followed by a more detailed discussion of both the consolidated and business segment results.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2,644,311</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2,333,371</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2,353,608</w:t>
            </w:r>
          </w:p>
        </w:tc>
        <w:tc>
          <w:tcPr>
            <w:tcW w:w="220" w:type="dxa"/>
            <w:vAlign w:val="bottom"/>
            <w:shd w:val="clear" w:color="auto" w:fill="CFF0FC"/>
          </w:tcPr>
          <w:p>
            <w:pPr>
              <w:spacing w:after="0"/>
              <w:rPr>
                <w:sz w:val="19"/>
                <w:szCs w:val="19"/>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1,512,873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1,340,543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1,319,746</w:t>
            </w:r>
          </w:p>
        </w:tc>
        <w:tc>
          <w:tcPr>
            <w:tcW w:w="22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499,024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440,120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496,970</w:t>
            </w:r>
          </w:p>
        </w:tc>
        <w:tc>
          <w:tcPr>
            <w:tcW w:w="2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220" w:type="dxa"/>
            <w:vAlign w:val="bottom"/>
            <w:shd w:val="clear" w:color="auto" w:fill="CFF0FC"/>
          </w:tcPr>
          <w:p>
            <w:pPr>
              <w:spacing w:after="0"/>
              <w:rPr>
                <w:sz w:val="19"/>
                <w:szCs w:val="19"/>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Provision (benefit) pursuant to tax receivable agreement</w:t>
            </w: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(202,546)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547,691</w:t>
            </w:r>
          </w:p>
        </w:tc>
        <w:tc>
          <w:tcPr>
            <w:tcW w:w="220" w:type="dxa"/>
            <w:vAlign w:val="bottom"/>
          </w:tcPr>
          <w:p>
            <w:pPr>
              <w:spacing w:after="0"/>
              <w:rPr>
                <w:sz w:val="19"/>
                <w:szCs w:val="19"/>
                <w:color w:val="auto"/>
              </w:rPr>
            </w:pPr>
          </w:p>
        </w:tc>
      </w:tr>
      <w:tr>
        <w:trPr>
          <w:trHeight w:val="223"/>
        </w:trPr>
        <w:tc>
          <w:tcPr>
            <w:tcW w:w="6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1,818,865</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1,815,910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2,370,228</w:t>
            </w:r>
          </w:p>
        </w:tc>
        <w:tc>
          <w:tcPr>
            <w:tcW w:w="220" w:type="dxa"/>
            <w:vAlign w:val="bottom"/>
            <w:tcBorders>
              <w:top w:val="single" w:sz="8" w:color="CFF0FC"/>
            </w:tcBorders>
            <w:shd w:val="clear" w:color="auto" w:fill="CFF0FC"/>
          </w:tcPr>
          <w:p>
            <w:pPr>
              <w:spacing w:after="0"/>
              <w:rPr>
                <w:sz w:val="19"/>
                <w:szCs w:val="19"/>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825,446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517,461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(16,620)</w:t>
            </w:r>
          </w:p>
        </w:tc>
        <w:tc>
          <w:tcPr>
            <w:tcW w:w="2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565,599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123,769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(1,009,552)</w:t>
            </w: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Net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393,692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992,932</w:t>
            </w:r>
          </w:p>
        </w:tc>
        <w:tc>
          <w:tcPr>
            <w:tcW w:w="22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220" w:type="dxa"/>
            <w:vAlign w:val="bottom"/>
            <w:shd w:val="clear" w:color="auto" w:fill="CFF0FC"/>
          </w:tcPr>
          <w:p>
            <w:pPr>
              <w:spacing w:after="0"/>
              <w:rPr>
                <w:sz w:val="19"/>
                <w:szCs w:val="19"/>
                <w:color w:val="auto"/>
              </w:rPr>
            </w:pPr>
          </w:p>
        </w:tc>
      </w:tr>
      <w:tr>
        <w:trPr>
          <w:trHeight w:val="26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253,583</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387,698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986,373</w:t>
            </w:r>
          </w:p>
        </w:tc>
        <w:tc>
          <w:tcPr>
            <w:tcW w:w="220" w:type="dxa"/>
            <w:vAlign w:val="bottom"/>
            <w:tcBorders>
              <w:bottom w:val="single" w:sz="8" w:color="CFF0FC"/>
            </w:tcBorders>
          </w:tcPr>
          <w:p>
            <w:pPr>
              <w:spacing w:after="0"/>
              <w:rPr>
                <w:sz w:val="22"/>
                <w:szCs w:val="22"/>
                <w:color w:val="auto"/>
              </w:rPr>
            </w:pPr>
          </w:p>
        </w:tc>
      </w:tr>
      <w:tr>
        <w:trPr>
          <w:trHeight w:val="210"/>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60" w:firstLine="877"/>
        <w:spacing w:after="0" w:line="259" w:lineRule="auto"/>
        <w:rPr>
          <w:sz w:val="20"/>
          <w:szCs w:val="20"/>
          <w:color w:val="auto"/>
        </w:rPr>
      </w:pPr>
      <w:r>
        <w:rPr>
          <w:rFonts w:ascii="Arial" w:cs="Arial" w:eastAsia="Arial" w:hAnsi="Arial"/>
          <w:sz w:val="18"/>
          <w:szCs w:val="18"/>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2,644,311</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2,333,371</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2,353,608</w:t>
            </w: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47,568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50,492</w:t>
            </w:r>
          </w:p>
        </w:tc>
        <w:tc>
          <w:tcPr>
            <w:tcW w:w="100" w:type="dxa"/>
            <w:vAlign w:val="bottom"/>
          </w:tcPr>
          <w:p>
            <w:pPr>
              <w:spacing w:after="0"/>
              <w:rPr>
                <w:sz w:val="19"/>
                <w:szCs w:val="19"/>
                <w:color w:val="auto"/>
              </w:rPr>
            </w:pPr>
          </w:p>
        </w:tc>
      </w:tr>
      <w:tr>
        <w:trPr>
          <w:trHeight w:val="230"/>
        </w:trPr>
        <w:tc>
          <w:tcPr>
            <w:tcW w:w="5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(16,228)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(20,614)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(15,592)</w:t>
            </w:r>
          </w:p>
        </w:tc>
      </w:tr>
      <w:tr>
        <w:trPr>
          <w:trHeight w:val="230"/>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Private equity revenue adjustment (c)</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(12,203)</w:t>
            </w:r>
          </w:p>
        </w:tc>
      </w:tr>
      <w:tr>
        <w:trPr>
          <w:trHeight w:val="230"/>
        </w:trPr>
        <w:tc>
          <w:tcPr>
            <w:tcW w:w="5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acquisition of MBA Lazard (d)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(12,668)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(Gains) losses on investments pertaining to LFI (e)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(23,526)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19"/>
                <w:szCs w:val="19"/>
                <w:color w:val="auto"/>
              </w:rPr>
            </w:pPr>
          </w:p>
        </w:tc>
      </w:tr>
      <w:tr>
        <w:trPr>
          <w:trHeight w:val="223"/>
        </w:trPr>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2,654,540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2,344,339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2,380,132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560" w:hanging="592"/>
        <w:spacing w:after="0" w:line="290"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600" w:right="2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600" w:right="300" w:hanging="592"/>
        <w:spacing w:after="0" w:line="259"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 recognition of an obligation of $12,203 with the management of the disposed business, which obligation was previously recognized for U.S. GAAP purposes.</w:t>
      </w:r>
    </w:p>
    <w:p>
      <w:pPr>
        <w:spacing w:after="0" w:line="11" w:lineRule="exact"/>
        <w:rPr>
          <w:rFonts w:ascii="Arial" w:cs="Arial" w:eastAsia="Arial" w:hAnsi="Arial"/>
          <w:sz w:val="18"/>
          <w:szCs w:val="18"/>
          <w:color w:val="auto"/>
        </w:rPr>
      </w:pPr>
    </w:p>
    <w:p>
      <w:pPr>
        <w:ind w:left="600" w:right="60" w:hanging="592"/>
        <w:spacing w:after="0" w:line="27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gain on the acquisition of MBA Lazard (which resulted from the increase in the fair value of the Company’s investment in MBA Lazard prior to the acquisition).</w:t>
      </w:r>
    </w:p>
    <w:p>
      <w:pPr>
        <w:ind w:left="600" w:right="240" w:hanging="59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Total compensation and benefits expense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1,512,873</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1,340,543</w:t>
            </w:r>
          </w:p>
        </w:tc>
        <w:tc>
          <w:tcPr>
            <w:tcW w:w="2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1,319,746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Noncontrolling interests (a)</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(8,285)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(23,526)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Adjusted compensation and benefits expense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1,481,062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1,325,325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1,318,797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Deduct - amortization of deferred incentive compensation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awards</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(367,350)</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(352,403)</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(320,751)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adjusted cash compensation and benefits expense (c)</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1,113,712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972,922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998,046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Add: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Year-end deferred incentive compensation awards (d)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350,975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342,449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336,086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Sign-on and other special incentive awards (e)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Deduct - adjustments for estimated forfeitures (f)</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(25,166)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(27,917)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(27,186)</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Awarded compensation and benefits expense (g)</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1,475,722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1,317,233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1,333,344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Adjusted compensation and benefits expense, as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96"/>
        </w:trPr>
        <w:tc>
          <w:tcPr>
            <w:tcW w:w="66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Awarded compensation and benefits expense, as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jc w:val="center"/>
        <w:ind w:left="5620" w:right="980" w:hanging="5612"/>
        <w:spacing w:after="0" w:line="543" w:lineRule="auto"/>
        <w:tabs>
          <w:tab w:leader="none" w:pos="5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48" w:name="page49"/>
    <w:bookmarkEnd w:id="48"/>
    <w:p>
      <w:pPr>
        <w:ind w:left="600" w:right="36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600" w:right="22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base salaries and benefits of $648,130, $574,566 and $584,098 for 2017, 2016 and 2015, respectively, and cash incentive compensation of $465,582, $398,356 and $413,948 for the respective years.</w:t>
      </w:r>
    </w:p>
    <w:p>
      <w:pPr>
        <w:ind w:left="600" w:right="380" w:hanging="592"/>
        <w:spacing w:after="0" w:line="290"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Deferred incentive compensation awards applicable to the relevant year-end compensation process (</w:t>
      </w:r>
      <w:r>
        <w:rPr>
          <w:rFonts w:ascii="Arial" w:cs="Arial" w:eastAsia="Arial" w:hAnsi="Arial"/>
          <w:sz w:val="17"/>
          <w:szCs w:val="17"/>
          <w:i w:val="1"/>
          <w:iCs w:val="1"/>
          <w:color w:val="auto"/>
        </w:rPr>
        <w:t>e.g.,</w:t>
      </w:r>
      <w:r>
        <w:rPr>
          <w:rFonts w:ascii="Arial" w:cs="Arial" w:eastAsia="Arial" w:hAnsi="Arial"/>
          <w:sz w:val="17"/>
          <w:szCs w:val="17"/>
          <w:color w:val="auto"/>
        </w:rPr>
        <w:t xml:space="preserve"> deferred incentive compensation awards granted in 2018, 2017 and 2016 related to the 2017, 2016 and 2015 year-end compensation processes, respectively).</w:t>
      </w:r>
    </w:p>
    <w:p>
      <w:pPr>
        <w:ind w:left="600" w:right="180" w:hanging="592"/>
        <w:spacing w:after="0" w:line="27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special deferred incentive awards that are granted outside the year-end compensation process, and includes grants to new hires, retention awards and performance units earned under PRSU grants.</w:t>
      </w:r>
    </w:p>
    <w:p>
      <w:pPr>
        <w:ind w:left="600" w:right="260" w:hanging="592"/>
        <w:spacing w:after="0" w:line="308"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ind w:left="600" w:right="300" w:hanging="592"/>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Awarded compensation and benefits has been revised to eliminate the year-end foreign exchange adjustment to better align awarded compensation with the recognition of revenue. The impact of the change is not material.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499,024</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440,120</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496,970</w:t>
            </w:r>
          </w:p>
        </w:tc>
        <w:tc>
          <w:tcPr>
            <w:tcW w:w="180" w:type="dxa"/>
            <w:vAlign w:val="bottom"/>
          </w:tcPr>
          <w:p>
            <w:pPr>
              <w:spacing w:after="0"/>
              <w:rPr>
                <w:sz w:val="19"/>
                <w:szCs w:val="19"/>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(25,308)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relating to office space reorganization (b)</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(11,354)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(c)</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(1,490)</w:t>
            </w: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(3,148)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(60,219)</w:t>
            </w:r>
          </w:p>
        </w:tc>
      </w:tr>
      <w:tr>
        <w:trPr>
          <w:trHeight w:val="215"/>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Expense related to partial extinguishment of tax</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520" w:type="dxa"/>
            <w:vAlign w:val="bottom"/>
            <w:gridSpan w:val="2"/>
          </w:tcPr>
          <w:p>
            <w:pPr>
              <w:ind w:left="380"/>
              <w:spacing w:after="0"/>
              <w:rPr>
                <w:sz w:val="20"/>
                <w:szCs w:val="20"/>
                <w:color w:val="auto"/>
              </w:rPr>
            </w:pPr>
            <w:r>
              <w:rPr>
                <w:rFonts w:ascii="Arial" w:cs="Arial" w:eastAsia="Arial" w:hAnsi="Arial"/>
                <w:sz w:val="18"/>
                <w:szCs w:val="18"/>
                <w:color w:val="auto"/>
              </w:rPr>
              <w:t>receivable obligation</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(1,114)</w:t>
            </w: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Professional fees related to acquisitions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63"/>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non-compensation expense</w:t>
            </w:r>
          </w:p>
        </w:tc>
        <w:tc>
          <w:tcPr>
            <w:tcW w:w="1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460,678</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433,713</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434,147</w:t>
            </w:r>
          </w:p>
        </w:tc>
        <w:tc>
          <w:tcPr>
            <w:tcW w:w="180" w:type="dxa"/>
            <w:vAlign w:val="bottom"/>
            <w:tcBorders>
              <w:bottom w:val="single" w:sz="8" w:color="CFF0FC"/>
            </w:tcBorders>
          </w:tcPr>
          <w:p>
            <w:pPr>
              <w:spacing w:after="0"/>
              <w:rPr>
                <w:sz w:val="22"/>
                <w:szCs w:val="22"/>
                <w:color w:val="auto"/>
              </w:rPr>
            </w:pPr>
          </w:p>
        </w:tc>
      </w:tr>
      <w:tr>
        <w:trPr>
          <w:trHeight w:val="196"/>
        </w:trPr>
        <w:tc>
          <w:tcPr>
            <w:tcW w:w="55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non-compensation expense, as</w:t>
            </w: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w:t>
            </w:r>
          </w:p>
        </w:tc>
      </w:tr>
      <w:tr>
        <w:trPr>
          <w:trHeight w:val="20"/>
        </w:trPr>
        <w:tc>
          <w:tcPr>
            <w:tcW w:w="1760" w:type="dxa"/>
            <w:vAlign w:val="bottom"/>
            <w:tcBorders>
              <w:top w:val="single" w:sz="8" w:color="CFF0FC"/>
            </w:tcBorders>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49"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72" w:lineRule="exact"/>
        <w:rPr>
          <w:rFonts w:ascii="Arial" w:cs="Arial" w:eastAsia="Arial" w:hAnsi="Arial"/>
          <w:sz w:val="16"/>
          <w:szCs w:val="16"/>
          <w:color w:val="auto"/>
        </w:rPr>
      </w:pPr>
    </w:p>
    <w:p>
      <w:pPr>
        <w:ind w:left="600" w:right="280" w:hanging="592"/>
        <w:spacing w:after="0" w:line="264"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Charges pertaining to (i) the redemption of the remaining balance of the Company’s 2017 Notes in 2016 and (ii) the redemption of a significant portion of the Company’s 2017 Notes in 2015 are excluded because of the non-operating nature of such transactions. See “—Liquidity and Capital Resources—Financing Activities.”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Operating revenue</w:t>
            </w:r>
          </w:p>
        </w:tc>
        <w:tc>
          <w:tcPr>
            <w:tcW w:w="2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2,654,540</w:t>
            </w:r>
          </w:p>
        </w:tc>
        <w:tc>
          <w:tcPr>
            <w:tcW w:w="180" w:type="dxa"/>
            <w:vAlign w:val="bottom"/>
          </w:tcPr>
          <w:p>
            <w:pPr>
              <w:spacing w:after="0"/>
              <w:rPr>
                <w:sz w:val="19"/>
                <w:szCs w:val="19"/>
                <w:color w:val="auto"/>
              </w:rPr>
            </w:pP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2,344,339</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2,380,132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2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(1,481,062)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(1,325,325)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(1,318,797)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2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(460,678)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(433,713)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(434,147)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20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712,800</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585,301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627,188</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Earnings from operations, as a % of operating</w:t>
            </w:r>
          </w:p>
        </w:tc>
        <w:tc>
          <w:tcPr>
            <w:tcW w:w="2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2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9" w:name="page50"/>
    <w:bookmarkEnd w:id="49"/>
    <w:p>
      <w:pPr>
        <w:ind w:left="600"/>
        <w:spacing w:after="0"/>
        <w:rPr>
          <w:sz w:val="20"/>
          <w:szCs w:val="20"/>
          <w:color w:val="auto"/>
        </w:rPr>
      </w:pPr>
      <w:r>
        <w:rPr>
          <w:rFonts w:ascii="Arial" w:cs="Arial" w:eastAsia="Arial" w:hAnsi="Arial"/>
          <w:sz w:val="18"/>
          <w:szCs w:val="18"/>
          <w:color w:val="auto"/>
        </w:rPr>
        <w:t>Headcount information is set forth below:</w:t>
      </w:r>
    </w:p>
    <w:p>
      <w:pPr>
        <w:spacing w:after="0" w:line="23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As of December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Managing Directors: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ind w:left="500"/>
              <w:spacing w:after="0"/>
              <w:rPr>
                <w:sz w:val="20"/>
                <w:szCs w:val="20"/>
                <w:color w:val="auto"/>
              </w:rPr>
            </w:pPr>
            <w:r>
              <w:rPr>
                <w:rFonts w:ascii="Arial" w:cs="Arial" w:eastAsia="Arial" w:hAnsi="Arial"/>
                <w:sz w:val="18"/>
                <w:szCs w:val="18"/>
                <w:color w:val="auto"/>
              </w:rPr>
              <w:t>Asset Management</w:t>
            </w: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ind w:left="500"/>
              <w:spacing w:after="0"/>
              <w:rPr>
                <w:sz w:val="20"/>
                <w:szCs w:val="20"/>
                <w:color w:val="auto"/>
              </w:rPr>
            </w:pPr>
            <w:r>
              <w:rPr>
                <w:rFonts w:ascii="Arial" w:cs="Arial" w:eastAsia="Arial" w:hAnsi="Arial"/>
                <w:sz w:val="18"/>
                <w:szCs w:val="18"/>
                <w:color w:val="auto"/>
              </w:rPr>
              <w:t>Business segment professionals</w:t>
            </w:r>
          </w:p>
        </w:tc>
        <w:tc>
          <w:tcPr>
            <w:tcW w:w="480" w:type="dxa"/>
            <w:vAlign w:val="bottom"/>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1,276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1,244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50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2,781</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December 31, 2016</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Company reported net income attributable to Lazard Ltd of $254 million, as compared to net income of $388 million in 2016. The changes in the Company’s operating results during these years are described below.</w:t>
      </w:r>
    </w:p>
    <w:p>
      <w:pPr>
        <w:spacing w:after="0" w:line="170"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Net revenue increased $311 million, or 13%, with operating revenue increasing $310 million, or 13%, as compared to 2016. Fee revenue from investment banking and other advisory activities increased $87 million, or 7%, as compared to 2016, due to an increase in Strategic Advisory and Restructuring revenue. Asset management fees, including incentive fees, increased $197 million, or 20%, as compared to 2016, primarily due to an increase in average AUM. In the aggregate, interest income, other revenue and interest expense increased $27 million, or 75%, as compared to 2016, primarily due to gains in 2017 attributable to investments held in connection with LFI.</w:t>
      </w:r>
    </w:p>
    <w:p>
      <w:pPr>
        <w:spacing w:after="0" w:line="18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Compensation and benefits expense increased $172 million, or 13%, as compared to 2016, primarily associated with increased operating revenue, charges pertaining to LFI and an increase in social charges.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periods, as described above) was $1,481 million, an increase of $156 million, or 12%, as compared to $1,325 million in 2016. The ratio of adjusted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benefits expense to operating revenue was 55.8% for 2017, as compared to 56.5% for 2016. Awarded compensation and benefits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2017 was $1,476 million, an increase of $159 million, or 12%, when compared to $1,317 million in 2016. The ratio of awarded compensation and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to operating revenue was 55.6% and 56.2% for 2017 and 2016, respectively. The year-end deferred incentive compensation awarded for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$351 million, representing an increase of $9 million, or 2%, as compared to 2016. As described above, when analyzing compensation and benefits expense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full-year basis, we believe that awarded compensation and benefits expense provides the most meaningful basis for comparison of compensation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benefits expense between present, historical and future years.</w:t>
      </w:r>
    </w:p>
    <w:p>
      <w:pPr>
        <w:spacing w:after="0" w:line="211" w:lineRule="exact"/>
        <w:rPr>
          <w:sz w:val="20"/>
          <w:szCs w:val="20"/>
          <w:color w:val="auto"/>
        </w:rPr>
      </w:pPr>
    </w:p>
    <w:p>
      <w:pPr>
        <w:ind w:right="420" w:firstLine="598"/>
        <w:spacing w:after="0" w:line="276" w:lineRule="auto"/>
        <w:rPr>
          <w:sz w:val="20"/>
          <w:szCs w:val="20"/>
          <w:color w:val="auto"/>
        </w:rPr>
      </w:pPr>
      <w:r>
        <w:rPr>
          <w:rFonts w:ascii="Arial" w:cs="Arial" w:eastAsia="Arial" w:hAnsi="Arial"/>
          <w:sz w:val="17"/>
          <w:szCs w:val="17"/>
          <w:color w:val="auto"/>
        </w:rPr>
        <w:t>Non-compensation expense increased $59 million, or 13%, as compared to 2016, primarily due to expenses associated with the ERP system implementation and expenses related to office space reorganization, as well as higher mutual fund service fees related to the growth in AUM and higher marketing and business development expenses. Adjusted non-compensation expense, which excludes non-compensation costs related to the ERP system implementation, office space reorganization and noncontrolling interests, increased $27 million, or 6%, as compared to 2016. The ratio of adjusted non-compensation expense to operating revenue was 17.4% for 2017, as compared to 18.5% in 2016.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220" w:firstLine="598"/>
        <w:spacing w:after="0" w:line="264" w:lineRule="auto"/>
        <w:rPr>
          <w:sz w:val="20"/>
          <w:szCs w:val="20"/>
          <w:color w:val="auto"/>
        </w:rPr>
      </w:pPr>
      <w:r>
        <w:rPr>
          <w:rFonts w:ascii="Arial" w:cs="Arial" w:eastAsia="Arial" w:hAnsi="Arial"/>
          <w:sz w:val="18"/>
          <w:szCs w:val="18"/>
          <w:color w:val="auto"/>
        </w:rPr>
        <w:t>Amortization and other acquisition-related costs decreased $26 million as compared to 2016, primarily due to the change in fair value of the contingent consideration in 2016 associated with the Edgewater business acquisition. The contingent consideration associated with the Edgewater business acquisition was settled during 2016.</w:t>
      </w:r>
    </w:p>
    <w:p>
      <w:pPr>
        <w:spacing w:after="0" w:line="181" w:lineRule="exact"/>
        <w:rPr>
          <w:sz w:val="20"/>
          <w:szCs w:val="20"/>
          <w:color w:val="auto"/>
        </w:rPr>
      </w:pPr>
    </w:p>
    <w:p>
      <w:pPr>
        <w:ind w:right="360" w:firstLine="598"/>
        <w:spacing w:after="0" w:line="259" w:lineRule="auto"/>
        <w:rPr>
          <w:sz w:val="20"/>
          <w:szCs w:val="20"/>
          <w:color w:val="auto"/>
        </w:rPr>
      </w:pPr>
      <w:r>
        <w:rPr>
          <w:rFonts w:ascii="Arial" w:cs="Arial" w:eastAsia="Arial" w:hAnsi="Arial"/>
          <w:sz w:val="18"/>
          <w:szCs w:val="18"/>
          <w:color w:val="auto"/>
        </w:rPr>
        <w:t>The Tax Act reduced the U.S. corporate tax rate from 35% to 21%, which required us to remeasure the tax receivable agreement obligation. As a result of the change in the U.S. corporate tax rate, we reduced the tax receivable agreement obligation by $203 million in the fourth quarter of 2017 and recorded a $203 million benefit pursuant to the tax receivable agreement (see Note 18 of Notes to Consolidated Financial Statements for additional information).</w:t>
      </w:r>
    </w:p>
    <w:p>
      <w:pPr>
        <w:spacing w:after="0" w:line="187"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Operating income increased $308 million, or 60%, as compared to 2016. In 2017, operating income included the benefit pursuant to the tax receivable agreement described above.</w:t>
      </w:r>
    </w:p>
    <w:p>
      <w:pPr>
        <w:spacing w:after="0" w:line="170"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Earnings from operations increased $127 million, or 22%, as compared to 2016. Earnings from operations, as a percentage of operating revenue, was 26.8%, as compared to 25.0% in 2016.</w:t>
      </w:r>
    </w:p>
    <w:p>
      <w:pPr>
        <w:spacing w:after="0" w:line="170"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As a result of the Tax Act, the Company incurred a charge of approximately $420 million primarily relating to the reduction in deferred tax assets, which was partially offset by the benefit pursuant to the tax receivable agreement described above. Accordingly, the provision (benefit) for income taxes reflects an effective tax rate of 68.5%, as compared to 23.9% for 2016. The increase in the effective tax rate in 2017 reflects the impact of the Tax Act. See Notes 16 and 18 of Notes to Consolidated Financial Statements and “Critical Accounting Policies—Income Taxes” below.</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Company reported net income attributable to Lazard Ltd of $388 million, as compared to net income of $986 million in 2015. The changes in the Company’s operating results during these years are described below.</w:t>
      </w:r>
    </w:p>
    <w:p>
      <w:pPr>
        <w:spacing w:after="0" w:line="170"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Net revenue decreased $20 million, or 1%, with operating revenue decreasing $36 million, or 2%, as compared to 2015. Fee revenue from investment banking and other advisory activities increased $22 million, or 2%, primarily due to an increase in Restructuring revenue, which generally reflected a higher level of activity in the U.S. energy sector in 2016. This increase was partially offset by a decrease in Strategic Advisory fees, which primarily reflected a lower level of closings, and a decrease in the average transaction fee with respect to completed transactions involving fees greater than $1 million, as compared to 2015. Asset Management fees, including incentive fees, decreased $38 million, or 4%, as compared to 2015, due primarily to a decrease in average AUM, a change in the mix of AUM and a decrease in incentive fees. In the aggregate, interest income, other revenue and interest expense decreased $4 million as compared to 2015, primarily due to a $24 million gain in 2015 on the disposal of the Company’s Australian private equity business (which relates primarily to the realization of carried interest at fair value), partially offset in 2016 by (i) the gain on the acquisition of MBA Lazard (which resulted from the increase in the fair value of the Company’s investment in MBA Lazard prior to the acquisition) and (ii) higher gains attributable to investments held in connection with LFI.</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Compensation and benefits expense increased $21 million, or 2%, as compared to 2015, primarily due to higher amortization expense.</w:t>
      </w:r>
    </w:p>
    <w:p>
      <w:pPr>
        <w:spacing w:after="0" w:line="225"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$1,325 million, an increase of $6 million as compared to $1,319 million in 2015. The ratio of adjusted compensation and benefits expense to operating revenue was 56.5% for 2016, as compared to 55.4% for 2015. Awarded compensation and benefits expense in 2016 was $1,317 million, a decrease of $16 million, or 1%, when compared to $1,333 million in 2015. The ratio of awarded compensation and benefits expense to operating revenue was 56.2% and 56.0% for 2016 and 2015, respectively. The year-end deferred incentive compensation awarded for 2016 was $342 million, representing a $6 million, or 2%, increase compared to 2015. As described above, when analyzing compensation and benefits expense on a full-year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 w:name="page52"/>
    <w:bookmarkEnd w:id="51"/>
    <w:p>
      <w:pPr>
        <w:jc w:val="both"/>
        <w:ind w:right="120"/>
        <w:spacing w:after="0" w:line="277" w:lineRule="auto"/>
        <w:rPr>
          <w:sz w:val="20"/>
          <w:szCs w:val="20"/>
          <w:color w:val="auto"/>
        </w:rPr>
      </w:pPr>
      <w:r>
        <w:rPr>
          <w:rFonts w:ascii="Arial" w:cs="Arial" w:eastAsia="Arial" w:hAnsi="Arial"/>
          <w:sz w:val="18"/>
          <w:szCs w:val="18"/>
          <w:color w:val="auto"/>
        </w:rPr>
        <w:t>basis, we believe that awarded compensation and benefits expense provides the most meaningful basis for comparison of compensation and benefits expense between present, historical and future years.</w:t>
      </w:r>
    </w:p>
    <w:p>
      <w:pPr>
        <w:spacing w:after="0" w:line="170" w:lineRule="exact"/>
        <w:rPr>
          <w:sz w:val="20"/>
          <w:szCs w:val="20"/>
          <w:color w:val="auto"/>
        </w:rPr>
      </w:pPr>
    </w:p>
    <w:p>
      <w:pPr>
        <w:jc w:val="both"/>
        <w:ind w:right="100" w:firstLine="598"/>
        <w:spacing w:after="0" w:line="259" w:lineRule="auto"/>
        <w:rPr>
          <w:sz w:val="20"/>
          <w:szCs w:val="20"/>
          <w:color w:val="auto"/>
        </w:rPr>
      </w:pPr>
      <w:r>
        <w:rPr>
          <w:rFonts w:ascii="Arial" w:cs="Arial" w:eastAsia="Arial" w:hAnsi="Arial"/>
          <w:sz w:val="18"/>
          <w:szCs w:val="18"/>
          <w:color w:val="auto"/>
        </w:rPr>
        <w:t>Non-compensation expense decreased $57 million, or 11%, as compared to 2015, primarily due to charges of $3 million and $60 million related to the redemption of the Company’s 2017 Notes in 2016 and 2015, respectively. Adjusted non-compensation expense, which excludes such charges, as well as non-compensation costs relating to noncontrolling interests, remained substantially unchanged as compared to 2015. The ratio of adjusted non-compensation expense to operating revenue was 18.5%, as compared to 18.2% in 2015.</w:t>
      </w:r>
    </w:p>
    <w:p>
      <w:pPr>
        <w:spacing w:after="0" w:line="187"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Amortization and other acquisition-related costs increased $29 million as compared to 2015, primarily due to the change in fair value of the contingent consideration associated with the Edgewater business acquisition.</w:t>
      </w:r>
    </w:p>
    <w:p>
      <w:pPr>
        <w:spacing w:after="0" w:line="17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As a result of the possible utilization of certain deferred tax assets that are subject to the tax receivable agreement, including the impact of the partial extinguishment of our tax receivable agreement obligation in the third quarter of 2015, the provision pursuant to the tax receivable agreement in 2015 was $548 million (see Note 18 of Notes to Consolidated Financial Statements for additional information).</w:t>
      </w:r>
    </w:p>
    <w:p>
      <w:pPr>
        <w:spacing w:after="0" w:line="18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Operating income increased $534 million as compared to 2015. In 2016, operating income included (i) a charge relating to the redemption of the remaining balance of the Company’s 2017 Notes and (ii) amortization and other acquisition-related costs. In 2015, operating income included (i) a charge relating to the redemption of a significant portion of the Company’s 2017 Notes and (ii) the impact of the provision pursuant to the tax receivable agreement described above.</w:t>
      </w:r>
    </w:p>
    <w:p>
      <w:pPr>
        <w:spacing w:after="0" w:line="18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Earnings from operations decreased $42 million, or 7%, as compared to 2015. In 2016, earnings from operations excluded (i) a charge relating to the redemption of the remaining balance of the Company’s 2017 Notes and (ii) amortization and other acquisition-related costs. In 2015, earnings from operations excluded (i) the charge related to the redemption of a significant portion of the Company’s 2017 Notes and (ii) the impact of the provision pursuant to the tax receivable agreement described above. Earnings from operations, as a percentage of operating revenue, was 25.0%, as compared to 26.4% in 2015.</w:t>
      </w:r>
    </w:p>
    <w:p>
      <w:pPr>
        <w:spacing w:after="0" w:line="154"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The provision for income taxes reflects an effective tax rate of 23.9%, as compared to 6,074.3% for 2015. The unusually high effective tax rate in 2015 was primarily driven by (i) the reduction of operating income in 2015 as a result of the provision pursuant to the tax receivable agreement, and (ii) the release of substantially all of our valuation allowance related to deferred tax assets in 2015. See Notes 16 and 18 of Notes to Consolidated Financial Statements and “Critical Accounting Policies—Income Taxes” below.</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20" w:firstLine="59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71"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Effective January 1, 2017, the Company’s reporting by geographic region was transitioned from the Company’s previously disclosed North America, Europe and rest of the world regions to the Americas; Europe, Middle East and Africa (“EMEA”); and Asia Pacific. Comparable prior year information has been recast to reflect our revised geographic presentation.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1,387,682</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1,301,044</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1,279,628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1,143,586</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1,017,055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1,005,837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244,096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283,989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273,791</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9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2017</w:t>
            </w:r>
          </w:p>
        </w:tc>
        <w:tc>
          <w:tcPr>
            <w:tcW w:w="1660" w:type="dxa"/>
            <w:vAlign w:val="bottom"/>
            <w:tcBorders>
              <w:top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FF0FC"/>
          </w:tcPr>
          <w:p>
            <w:pPr>
              <w:spacing w:after="0"/>
              <w:rPr>
                <w:sz w:val="19"/>
                <w:szCs w:val="19"/>
                <w:color w:val="auto"/>
              </w:rPr>
            </w:pPr>
          </w:p>
        </w:tc>
      </w:tr>
      <w:tr>
        <w:trPr>
          <w:trHeight w:val="230"/>
        </w:trPr>
        <w:tc>
          <w:tcPr>
            <w:tcW w:w="7540" w:type="dxa"/>
            <w:vAlign w:val="bottom"/>
            <w:gridSpan w:val="2"/>
          </w:tcPr>
          <w:p>
            <w:pPr>
              <w:ind w:left="260"/>
              <w:spacing w:after="0"/>
              <w:rPr>
                <w:sz w:val="20"/>
                <w:szCs w:val="20"/>
                <w:color w:val="auto"/>
              </w:rPr>
            </w:pPr>
            <w:r>
              <w:rPr>
                <w:rFonts w:ascii="Arial" w:cs="Arial" w:eastAsia="Arial" w:hAnsi="Arial"/>
                <w:sz w:val="18"/>
                <w:szCs w:val="18"/>
                <w:color w:val="auto"/>
              </w:rPr>
              <w:t>Strategic Advisory</w:t>
            </w:r>
          </w:p>
        </w:tc>
        <w:tc>
          <w:tcPr>
            <w:tcW w:w="400" w:type="dxa"/>
            <w:vAlign w:val="bottom"/>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9"/>
                <w:szCs w:val="19"/>
                <w:color w:val="auto"/>
              </w:rPr>
            </w:pPr>
          </w:p>
        </w:tc>
      </w:tr>
      <w:tr>
        <w:trPr>
          <w:trHeight w:val="215"/>
        </w:trPr>
        <w:tc>
          <w:tcPr>
            <w:tcW w:w="7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from top 10 clients (a)</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15"/>
        </w:trPr>
        <w:tc>
          <w:tcPr>
            <w:tcW w:w="7540" w:type="dxa"/>
            <w:vAlign w:val="bottom"/>
            <w:gridSpan w:val="2"/>
          </w:tcPr>
          <w:p>
            <w:pPr>
              <w:spacing w:after="0"/>
              <w:rPr>
                <w:sz w:val="20"/>
                <w:szCs w:val="20"/>
                <w:color w:val="auto"/>
              </w:rPr>
            </w:pPr>
            <w:r>
              <w:rPr>
                <w:rFonts w:ascii="Arial" w:cs="Arial" w:eastAsia="Arial" w:hAnsi="Arial"/>
                <w:sz w:val="18"/>
                <w:szCs w:val="18"/>
                <w:color w:val="auto"/>
              </w:rPr>
              <w:t>Number of M&amp;A transactions completed with</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540" w:type="dxa"/>
            <w:vAlign w:val="bottom"/>
            <w:gridSpan w:val="2"/>
          </w:tcPr>
          <w:p>
            <w:pPr>
              <w:ind w:left="140"/>
              <w:spacing w:after="0"/>
              <w:rPr>
                <w:sz w:val="20"/>
                <w:szCs w:val="20"/>
                <w:color w:val="auto"/>
              </w:rPr>
            </w:pPr>
            <w:r>
              <w:rPr>
                <w:rFonts w:ascii="Arial" w:cs="Arial" w:eastAsia="Arial" w:hAnsi="Arial"/>
                <w:sz w:val="18"/>
                <w:szCs w:val="18"/>
                <w:color w:val="auto"/>
              </w:rPr>
              <w:t>values greater than $500 million (b)</w:t>
            </w: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400" w:hanging="592"/>
        <w:spacing w:after="0" w:line="274"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individual client constituted more than 10% of our Financial Advisory segment net revenue in the years ended December 31, 2017, 2016 and 2015.</w:t>
      </w: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Dealogic as of January 6, 2018.</w:t>
      </w:r>
    </w:p>
    <w:p>
      <w:pPr>
        <w:spacing w:after="0" w:line="22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EMEA</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9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3" w:name="page54"/>
    <w:bookmarkEnd w:id="53"/>
    <w:p>
      <w:pPr>
        <w:ind w:left="30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December 31, 2016</w:t>
      </w:r>
    </w:p>
    <w:p>
      <w:pPr>
        <w:spacing w:after="0" w:line="117"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Financial Advisory net revenue increased $87 million, or 7%, as compared to 2016. Strategic Advisory net revenue was $1,126 million, an increase of $27 million, or 2%, as compared to $1,099 million in 2016. Restructuring revenue was $262 million, an increase of $60 million, or 30%, as compared to $202 million in 2016.</w:t>
      </w:r>
    </w:p>
    <w:p>
      <w:pPr>
        <w:spacing w:after="0" w:line="73"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The increase in Strategic Advisory net revenue was primarily due to an increase in the number of completed transactions involving fees greater than $1 million as compared to 2016. Clients which in the aggregate represented a significant portion of our Strategic Advisory revenue in the 2017 period included Air Products, Danone, Dow Chemical, Express Scripts, Gilead, Harman, Johnson &amp; Johnson, L’Oreal, Lexmark, Paysafe, and Sanofi.</w:t>
      </w:r>
    </w:p>
    <w:p>
      <w:pPr>
        <w:spacing w:after="0" w:line="14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Restructuring revenue in 2017 primarily reflected the closing of large assignments as compared to 2016. Clients which in the aggregate represented a significant portion of our Restructuring revenue in 2017 included Peabody Energy, Linn Energy and Toys “R” Us.</w:t>
      </w:r>
    </w:p>
    <w:p>
      <w:pPr>
        <w:spacing w:after="0" w:line="170"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Operating expenses increased $127 million, or 12%, as compared to 2016, primarily due to an increase in compensation associated with increased operating revenue.</w:t>
      </w:r>
    </w:p>
    <w:p>
      <w:pPr>
        <w:spacing w:after="0" w:line="170"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Financial Advisory operating income was $244 million, a decrease of $40 million, or 14%, as compared to operating income of $284 million in 2016 and, as a percentage of net revenue, was 17.6%, as compared to 21.8% in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Financial Advisory net revenue increased $21 million, or 2%, as compared to 2015. Strategic Advisory net revenue was $1,099 million, a decrease of $75 million, or 6%, as compared to $1,174 million in 2015. Restructuring revenue was $202 million, an increase of $96 million, or 91%, as compared to $106 million in 2015.</w:t>
      </w:r>
    </w:p>
    <w:p>
      <w:pPr>
        <w:spacing w:after="0" w:line="18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decrease in Strategic Advisory net revenue primarily reflected a lower level of closings, and a decrease in the average transaction fee with respect to completed transactions involving fees greater than $1 million, as compared to 2015. Clients which in the aggregate represented a significant portion of our Strategic Advisory revenue in 2016 included Anheuser-Busch InBev, ARM Holdings, Columbia Pipeline Group, Pepco, Starwood Hotels &amp; Resorts, Tyco and Xerox.</w:t>
      </w:r>
    </w:p>
    <w:p>
      <w:pPr>
        <w:spacing w:after="0" w:line="187"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Restructuring revenue in 2016 primarily reflected a higher level of activity in the U.S. energy sector in 2016. Clients which in the aggregate represented a significant portion of our Restructuring revenue in 2016 included Pacific Exploration &amp; Production, Peabody Energy, Seventy Seven Energy, The Official Committee of Unsecured Creditors of Energy Future Holdings and Vantage Drilling.</w:t>
      </w:r>
    </w:p>
    <w:p>
      <w:pPr>
        <w:spacing w:after="0" w:line="181" w:lineRule="exact"/>
        <w:rPr>
          <w:sz w:val="20"/>
          <w:szCs w:val="20"/>
          <w:color w:val="auto"/>
        </w:rPr>
      </w:pPr>
    </w:p>
    <w:p>
      <w:pPr>
        <w:ind w:right="880" w:firstLine="598"/>
        <w:spacing w:after="0" w:line="277" w:lineRule="auto"/>
        <w:rPr>
          <w:sz w:val="20"/>
          <w:szCs w:val="20"/>
          <w:color w:val="auto"/>
        </w:rPr>
      </w:pPr>
      <w:r>
        <w:rPr>
          <w:rFonts w:ascii="Arial" w:cs="Arial" w:eastAsia="Arial" w:hAnsi="Arial"/>
          <w:sz w:val="18"/>
          <w:szCs w:val="18"/>
          <w:color w:val="auto"/>
        </w:rPr>
        <w:t>Operating expenses increased $11 million, or 1%, as compared to 2015, primarily due to an increase in amortization of deferred incentive compensation and, in 2016, amortization and other acquisition-related costs.</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Financial Advisory operating income was $284 million, an increase of $10 million, or 4%, as compared to operating income of $274 million in 2015 and, as a percentage of net revenue, was 21.8%, as compared to 21.4% in 2015.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following table shows the composition of AUM for the Asset Management segment (see Item 1, “Business—Principal Business Lines—Asset Management—Investment Strategies”):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7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36,203</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43,663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30,567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30,867</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32,646</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51,779</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Total AUM at December 31, 2017 was $249 billion, an increase of $51 billion, or 26%, as compared to total AUM of $198 billion at December 31, 2016, due to market appreciation, foreign exchange appreciation and net inflows. Average AUM for the year ended December 31, 2017 increased $32 billion, or 16%, as compared to 2016.</w:t>
      </w:r>
    </w:p>
    <w:p>
      <w:pPr>
        <w:spacing w:after="0" w:line="181"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As of both December 31, 2017 and 2016, approximately 88% of our AUM was managed on behalf of institutional clients, including corporations, labor unions, public pension funds, insurance companies and banks, and through sub-advisory relationships, mutual fund sponsors, broker-dealers and registered advisors and, as of both December 31, 2017 and 2016, approximately 12% of our AUM was managed on behalf of individual client relationships, which are principally with family offices and individuals.</w:t>
      </w:r>
    </w:p>
    <w:p>
      <w:pPr>
        <w:spacing w:after="0" w:line="18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As of December 31, 2017, AUM with foreign currency exposure represented approximately 74% of our total AUM, as compared to 70% at December 31, 2016.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changes in AUM by asset class for the years ended December 31, 2017,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 2017</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34,556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37,864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p>
      <w:pPr>
        <w:ind w:right="60" w:firstLine="598"/>
        <w:spacing w:after="0" w:line="259" w:lineRule="auto"/>
        <w:rPr>
          <w:sz w:val="20"/>
          <w:szCs w:val="20"/>
          <w:color w:val="auto"/>
        </w:rPr>
      </w:pPr>
      <w:r>
        <w:rPr>
          <w:rFonts w:ascii="Arial" w:cs="Arial" w:eastAsia="Arial" w:hAnsi="Arial"/>
          <w:sz w:val="18"/>
          <w:szCs w:val="18"/>
          <w:color w:val="auto"/>
        </w:rPr>
        <w:t>Inflows in the Equity asset class were primarily attributable to the Global, Multi-Regional and Emerging Markets equity platforms, and inflows in the Fixed Income asset class were primarily attributable to the Emerging Markets and Multi-Regional platforms. Outflows in the Equity asset class were primarily attributable to the Multi-Regional, Emerging Markets and Global equity platforms, and outflows in the Fixed Income asset class were primarily attributable to the Emerging Markets and Multi-Regional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376"/>
              <w:spacing w:after="0"/>
              <w:rPr>
                <w:sz w:val="20"/>
                <w:szCs w:val="20"/>
                <w:color w:val="auto"/>
              </w:rPr>
            </w:pPr>
            <w:r>
              <w:rPr>
                <w:rFonts w:ascii="Arial" w:cs="Arial" w:eastAsia="Arial" w:hAnsi="Arial"/>
                <w:sz w:val="14"/>
                <w:szCs w:val="14"/>
                <w:b w:val="1"/>
                <w:bCs w:val="1"/>
                <w:color w:val="auto"/>
                <w:w w:val="92"/>
              </w:rPr>
              <w:t>Year Ended December 31, 2016</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(30,931)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13,568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39,226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left="376"/>
              <w:spacing w:after="0"/>
              <w:rPr>
                <w:sz w:val="20"/>
                <w:szCs w:val="20"/>
                <w:color w:val="auto"/>
              </w:rPr>
            </w:pPr>
            <w:r>
              <w:rPr>
                <w:rFonts w:ascii="Arial" w:cs="Arial" w:eastAsia="Arial" w:hAnsi="Arial"/>
                <w:sz w:val="14"/>
                <w:szCs w:val="14"/>
                <w:b w:val="1"/>
                <w:bCs w:val="1"/>
                <w:color w:val="auto"/>
                <w:w w:val="92"/>
              </w:rPr>
              <w:t>Year Ended December 31, 2015</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(31,660)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(1,399)</w:t>
            </w: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(9,069)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(2,907)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197,103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As of February 20, 2018, AUM was $255.2 billion, a $5.7 billion increase since December 31, 2017. The increase in AUM was due to foreign exchange appreciation of $3.7 billion, net inflows of $1.3 billion and market appreciation of $0.7 billion.</w:t>
      </w:r>
    </w:p>
    <w:p>
      <w:pPr>
        <w:spacing w:after="0" w:line="170"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Average AUM for the years ended December 31, 2017, 2016 and 2015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Equity</w:t>
            </w:r>
          </w:p>
        </w:tc>
        <w:tc>
          <w:tcPr>
            <w:tcW w:w="2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188,796</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158,747</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159,216</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32,137</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226,525</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194,808</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1,255,820</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1,051,316</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1,111,105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769,737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736,798</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444,950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281,579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374,307</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340" w:type="dxa"/>
            <w:vAlign w:val="bottom"/>
            <w:vMerge w:val="restart"/>
          </w:tcPr>
          <w:p>
            <w:pPr>
              <w:jc w:val="right"/>
              <w:ind w:right="730"/>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6" w:name="page57"/>
    <w:bookmarkEnd w:id="56"/>
    <w:p>
      <w:pPr>
        <w:ind w:right="120" w:firstLine="598"/>
        <w:spacing w:after="0" w:line="277" w:lineRule="auto"/>
        <w:rPr>
          <w:sz w:val="20"/>
          <w:szCs w:val="20"/>
          <w:color w:val="auto"/>
        </w:rPr>
      </w:pPr>
      <w:r>
        <w:rPr>
          <w:rFonts w:ascii="Arial" w:cs="Arial" w:eastAsia="Arial" w:hAnsi="Arial"/>
          <w:sz w:val="18"/>
          <w:szCs w:val="18"/>
          <w:color w:val="auto"/>
        </w:rPr>
        <w:t>Our top ten clients accounted for 25%, 21% and 21% of our total AUM at December 31, 2017, 2016 and 2015, respectively, and no individual client constituted more than 10% of our Asset Management segment net revenue during any of the respective years.</w:t>
      </w:r>
    </w:p>
    <w:p>
      <w:pPr>
        <w:spacing w:after="0" w:line="170"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4"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EMEA</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December 31, 2016</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Asset Management net revenue increased $205 million, or 20%, as compared to 2016. Management fees and other revenue was $1,210 million, an increase of $175 million, or 17%, as compared to $1,035 million in 2016, primarily due to an increase in average AUM. Incentive fees were $46 million, an increase of $30 million as compared to $16 million in 2016.</w:t>
      </w:r>
    </w:p>
    <w:p>
      <w:pPr>
        <w:spacing w:after="0" w:line="181"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Operating expenses increased $41 million, or 5%, as compared to 2016, primarily due to increases in compensation associated with increased operating revenue.</w:t>
      </w:r>
    </w:p>
    <w:p>
      <w:pPr>
        <w:spacing w:after="0" w:line="170"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Asset Management operating income was $445 million, an increase of $163 million, or 58%, as compared to operating income of $282 million in 2016 and, as a percentage of net revenue, was 35.4%, as compared to 26.8% in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Asset Management net revenue decreased $60 million, or 5%, as compared to 2015. Management fees and other revenue was $1,035 million, a decrease of $51 million, or 5%, compared to $1,086 million in 2015, primarily due to lower average AUM and a change in the mix of AUM, and a $24 million gain in 2015 on the disposal of the Company’s Australian private equity business (which relates primarily to the realization of carried interest at fair value). Incentive fees were $16 million, a decrease of $9 million, or 38%, compared to $25 million in 2015.</w:t>
      </w:r>
    </w:p>
    <w:p>
      <w:pPr>
        <w:spacing w:after="0" w:line="17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Operating expenses increased $33 million, or 4%, as compared to 2015, primarily due to the change in the fair value of the contingent consideration associated with the Edgewater business acquisition.</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Asset Management operating income was $282 million, a decrease of $93 million, or 25%, as compared to operating income of $374 million in 2015 and, as a percentage of net revenue, was 26.8%, as compared to 33.7% in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(51,452)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(49,458)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(50,968)</w:t>
            </w:r>
          </w:p>
        </w:tc>
      </w:tr>
      <w:tr>
        <w:trPr>
          <w:trHeight w:val="223"/>
        </w:trPr>
        <w:tc>
          <w:tcPr>
            <w:tcW w:w="45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(45,914)</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(46,074)</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w:t>
            </w:r>
          </w:p>
        </w:tc>
        <w:tc>
          <w:tcPr>
            <w:tcW w:w="2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10,688</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Expenses (Benefit) (a)</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(135,591)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627,593</w:t>
            </w:r>
          </w:p>
        </w:tc>
        <w:tc>
          <w:tcPr>
            <w:tcW w:w="100" w:type="dxa"/>
            <w:vAlign w:val="bottom"/>
          </w:tcPr>
          <w:p>
            <w:pPr>
              <w:spacing w:after="0"/>
              <w:rPr>
                <w:sz w:val="19"/>
                <w:szCs w:val="19"/>
                <w:color w:val="auto"/>
              </w:rPr>
            </w:pPr>
          </w:p>
        </w:tc>
      </w:tr>
      <w:tr>
        <w:trPr>
          <w:trHeight w:val="223"/>
        </w:trPr>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200" w:hanging="592"/>
        <w:spacing w:after="0" w:line="264"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in 2017, $202,546 relating to the benefit pursuant to the tax receivable agreement, (ii) in 2016, $3,148 relating to the redemption of the remaining portion of the Company’s 2017 Notes and (iii) in 2015, (a) $60,219 relating to the redemption of a significant portion of the Company’s 2017 Notes and (b) $547,691 relating to the provision pursuant to the tax receivable agreement.</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versus December 31, 2016</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interest expense remained substantially unchanged as compared to 2016.</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revenue increased $20 million, or 73%, as compared to 2016, primarily due to gains in 2017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Operating expenses decreased $165 million as compared to 2016. Operating expenses included, in 2017, a benefit of $203 million pursuant to the tax receivable agreement (see Note 18 of Notes to Consolidated Financial Statements). Excluding the impact of such benefit, operating expenses increased $38 million compared to 2016, primarily due to an increase in compensation and benefits expense, including an increase in charges pertaining to LFI.</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versus December 31, 2015</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interest expense decreased $2 million, or 4%, as compared to 2015.</w:t>
      </w:r>
    </w:p>
    <w:p>
      <w:pPr>
        <w:spacing w:after="0" w:line="225"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Other revenue increased $16 million as compared to 2015, primarily due to the gain on the acquisition of MBA Lazard (which resulted from the increase in the fair value of the Company’s investment in MBA Lazard prior to the acquisition) as well as gains attributable to investments held in connection with LFI.</w:t>
      </w:r>
    </w:p>
    <w:p>
      <w:pPr>
        <w:spacing w:after="0" w:line="181"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Operating expenses decreased $598 million as compared to 2015. Operating expenses included, in 2016, a charge of $3 million relating to the redemption of the remaining portion of the Company’s 2017 Notes, and, in 2015, (i) a charge of $60 million related to the redemption of a significant portion of the Company’s 2017 Notes and (ii) a charge of $548 million related to the provision pursuant to the tax receivable agreement (see Note 18 of Notes to Consolidated Financial Statements). Excluding the impact of such charges, operating expenses increased $6 million compared to 2015, primarily due to an increase in amortization of deferred incentive compensation, including an increase in amortization pertaining to LFI.</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8" w:name="page59"/>
    <w:bookmarkEnd w:id="58"/>
    <w:p>
      <w:pPr>
        <w:ind w:right="20"/>
        <w:spacing w:after="0" w:line="279" w:lineRule="auto"/>
        <w:rPr>
          <w:sz w:val="20"/>
          <w:szCs w:val="20"/>
          <w:color w:val="auto"/>
        </w:rPr>
      </w:pPr>
      <w:r>
        <w:rPr>
          <w:rFonts w:ascii="Arial" w:cs="Arial" w:eastAsia="Arial" w:hAnsi="Arial"/>
          <w:sz w:val="17"/>
          <w:szCs w:val="17"/>
          <w:color w:val="auto"/>
        </w:rPr>
        <w:t>2016, by the issuance of the 2027 Notes and the redemption of the remaining balance of the 2017 Notes and (ii) in 2015, by the redemption of $450 million of the 2017 Notes and the issuance of the 2025 Notes. Strategic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7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The Company also paid a special dividend in 2018, 2017 and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93"/>
              <w:spacing w:after="0" w:line="155"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w w:val="94"/>
              </w:rPr>
              <w:t>Adjustments to reconcile net income to net cash provided by operating activities (a)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(158)</w:t>
            </w: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operating activities (b)</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240" w:type="dxa"/>
            <w:vAlign w:val="bottom"/>
            <w:tcBorders>
              <w:bottom w:val="single" w:sz="8" w:color="CFF0FC"/>
            </w:tcBorders>
          </w:tcPr>
          <w:p>
            <w:pPr>
              <w:spacing w:after="0"/>
              <w:rPr>
                <w:sz w:val="19"/>
                <w:szCs w:val="19"/>
                <w:color w:val="auto"/>
              </w:rPr>
            </w:pPr>
          </w:p>
        </w:tc>
        <w:tc>
          <w:tcPr>
            <w:tcW w:w="6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FF0FC"/>
            </w:tcBorders>
          </w:tcPr>
          <w:p>
            <w:pPr>
              <w:spacing w:after="0"/>
              <w:rPr>
                <w:sz w:val="19"/>
                <w:szCs w:val="19"/>
                <w:color w:val="auto"/>
              </w:rPr>
            </w:pPr>
          </w:p>
        </w:tc>
      </w:tr>
      <w:tr>
        <w:trPr>
          <w:trHeight w:val="223"/>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Financing activities (c)</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(747)</w:t>
            </w:r>
          </w:p>
        </w:tc>
      </w:tr>
      <w:tr>
        <w:trPr>
          <w:trHeight w:val="230"/>
        </w:trPr>
        <w:tc>
          <w:tcPr>
            <w:tcW w:w="240" w:type="dxa"/>
            <w:vAlign w:val="bottom"/>
            <w:shd w:val="clear" w:color="auto" w:fill="CFF0FC"/>
          </w:tcPr>
          <w:p>
            <w:pPr>
              <w:spacing w:after="0"/>
              <w:rPr>
                <w:sz w:val="19"/>
                <w:szCs w:val="19"/>
                <w:color w:val="auto"/>
              </w:rPr>
            </w:pPr>
          </w:p>
        </w:tc>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40" w:type="dxa"/>
            <w:vAlign w:val="bottom"/>
            <w:tcBorders>
              <w:bottom w:val="single" w:sz="8" w:color="CFF0FC"/>
            </w:tcBorders>
          </w:tcPr>
          <w:p>
            <w:pPr>
              <w:spacing w:after="0"/>
              <w:rPr>
                <w:sz w:val="19"/>
                <w:szCs w:val="19"/>
                <w:color w:val="auto"/>
              </w:rPr>
            </w:pPr>
          </w:p>
        </w:tc>
        <w:tc>
          <w:tcPr>
            <w:tcW w:w="630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40" w:type="dxa"/>
            <w:vAlign w:val="bottom"/>
            <w:tcBorders>
              <w:bottom w:val="single" w:sz="8" w:color="CFF0FC"/>
            </w:tcBorders>
            <w:shd w:val="clear" w:color="auto" w:fill="CFF0FC"/>
          </w:tcPr>
          <w:p>
            <w:pPr>
              <w:spacing w:after="0"/>
              <w:rPr>
                <w:sz w:val="19"/>
                <w:szCs w:val="19"/>
                <w:color w:val="auto"/>
              </w:rPr>
            </w:pPr>
          </w:p>
        </w:tc>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6300" w:type="dxa"/>
            <w:vAlign w:val="bottom"/>
            <w:gridSpan w:val="2"/>
          </w:tcPr>
          <w:p>
            <w:pPr>
              <w:ind w:left="360"/>
              <w:spacing w:after="0"/>
              <w:rPr>
                <w:sz w:val="20"/>
                <w:szCs w:val="20"/>
                <w:color w:val="auto"/>
              </w:rPr>
            </w:pPr>
            <w:r>
              <w:rPr>
                <w:rFonts w:ascii="Arial" w:cs="Arial" w:eastAsia="Arial" w:hAnsi="Arial"/>
                <w:sz w:val="18"/>
                <w:szCs w:val="18"/>
                <w:color w:val="auto"/>
              </w:rPr>
              <w:t>Consists of the following:</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center"/>
              <w:ind w:right="36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10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Amortization of deferred expenses and stock units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(1,101)</w:t>
            </w: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Amortization and other acquisition-related costs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Provision (benefit) pursuant to tax receivable agreement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Gain on acquisition of portion of business already owned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Gain on disposal of subsidiaries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r>
      <w:tr>
        <w:trPr>
          <w:trHeight w:val="230"/>
        </w:trPr>
        <w:tc>
          <w:tcPr>
            <w:tcW w:w="65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gridSpan w:val="2"/>
            <w:shd w:val="clear" w:color="auto" w:fill="CFF0FC"/>
          </w:tcPr>
          <w:p>
            <w:pPr>
              <w:spacing w:after="0"/>
              <w:rPr>
                <w:sz w:val="19"/>
                <w:szCs w:val="19"/>
                <w:color w:val="auto"/>
              </w:rPr>
            </w:pPr>
          </w:p>
        </w:tc>
      </w:tr>
      <w:tr>
        <w:trPr>
          <w:trHeight w:val="20"/>
        </w:trPr>
        <w:tc>
          <w:tcPr>
            <w:tcW w:w="24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4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49" w:lineRule="exact"/>
        <w:rPr>
          <w:rFonts w:ascii="Arial" w:cs="Arial" w:eastAsia="Arial" w:hAnsi="Arial"/>
          <w:sz w:val="18"/>
          <w:szCs w:val="18"/>
          <w:color w:val="auto"/>
        </w:rPr>
      </w:pPr>
    </w:p>
    <w:p>
      <w:pPr>
        <w:ind w:left="600" w:right="260" w:hanging="592"/>
        <w:spacing w:after="0" w:line="25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vested restricted stock awards and vested PRSUs, Class A common stock dividends and distributions to noncontrolling interest holders, activity relating to borrowings (including, in 2016 and 2015, the redemption of the Company’s 2017 Notes and issuance of the 2027 Notes and the 2025 Notes), payments made under the tax receivable agreement, and in 2015, payments made relating to the partial extinguishment of our obligations under the tax receivable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year ended December 31, 2017, as reflected on the consolidated statements of financial condition, both “deposits with banks and short-term investments” and “deposits and other customer payables” increased as compared to December 31, 2016, due to a higher level of LFB customer-related demand deposits, primarily from clients and funds managed by LFG.</w:t>
      </w:r>
    </w:p>
    <w:p>
      <w:pPr>
        <w:spacing w:after="0" w:line="173"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Lazard’s consolidated financial statements are presented in U.S. Dollars. Many of Lazard’s non-U.S. subsidiaries have a functional currency (</w:t>
      </w:r>
      <w:r>
        <w:rPr>
          <w:rFonts w:ascii="Arial" w:cs="Arial" w:eastAsia="Arial" w:hAnsi="Arial"/>
          <w:sz w:val="17"/>
          <w:szCs w:val="17"/>
          <w:i w:val="1"/>
          <w:iCs w:val="1"/>
          <w:color w:val="auto"/>
        </w:rPr>
        <w:t>i.e.</w:t>
      </w:r>
      <w:r>
        <w:rPr>
          <w:rFonts w:ascii="Arial" w:cs="Arial" w:eastAsia="Arial" w:hAnsi="Arial"/>
          <w:sz w:val="17"/>
          <w:szCs w:val="17"/>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consolidated statements of operations.</w:t>
      </w:r>
    </w:p>
    <w:p>
      <w:pPr>
        <w:spacing w:after="0" w:line="178"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December 31, 2017, Lazard had approximately $1.5 billion of cash, with such amount including approximately $710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 Although the Tax Act generally requires companies to pay a one-time repatriation tax on previously unremitted foreign earnings of certain non-U.S. corporate subsidiaries, most of the Company’s operations outside the U.S. are conducted in “pass-through” entities for U.S. income tax purposes, and the Company has already provided for U.S. income taxes on their earnings. As a result, the Company expects that no material amount of additional U.S. income taxes would be recognized as a result of the Tax Act’s one-time repatriation tax or otherwise upon the receipt of cash dividends or distributions of such earnings from our foreign operations.</w:t>
      </w:r>
    </w:p>
    <w:p>
      <w:pPr>
        <w:spacing w:after="0" w:line="178" w:lineRule="exact"/>
        <w:rPr>
          <w:sz w:val="20"/>
          <w:szCs w:val="20"/>
          <w:color w:val="auto"/>
        </w:rPr>
      </w:pPr>
    </w:p>
    <w:p>
      <w:pPr>
        <w:jc w:val="both"/>
        <w:ind w:right="280" w:firstLine="59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December 31, 2017, Lazard had approximately $169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$18 million (at December 31, 2017 exchange rates).</w:t>
      </w:r>
    </w:p>
    <w:p>
      <w:pPr>
        <w:spacing w:after="0" w:line="187"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The Amended and Restated Credit Agreement contains customary terms and conditions, including limitations on consolidations, mergers, indebtedness and certain payments, as well as financial condition covenants relating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0" w:name="page61"/>
    <w:bookmarkEnd w:id="60"/>
    <w:p>
      <w:pPr>
        <w:ind w:right="320"/>
        <w:spacing w:after="0" w:line="264" w:lineRule="auto"/>
        <w:rPr>
          <w:sz w:val="20"/>
          <w:szCs w:val="20"/>
          <w:color w:val="auto"/>
        </w:rPr>
      </w:pPr>
      <w:r>
        <w:rPr>
          <w:rFonts w:ascii="Arial" w:cs="Arial" w:eastAsia="Arial" w:hAnsi="Arial"/>
          <w:sz w:val="18"/>
          <w:szCs w:val="18"/>
          <w:color w:val="auto"/>
        </w:rPr>
        <w:t>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20" w:firstLine="598"/>
        <w:spacing w:after="0" w:line="308" w:lineRule="auto"/>
        <w:rPr>
          <w:sz w:val="20"/>
          <w:szCs w:val="20"/>
          <w:color w:val="auto"/>
        </w:rPr>
      </w:pPr>
      <w:r>
        <w:rPr>
          <w:rFonts w:ascii="Arial" w:cs="Arial" w:eastAsia="Arial" w:hAnsi="Arial"/>
          <w:sz w:val="17"/>
          <w:szCs w:val="17"/>
          <w:color w:val="auto"/>
        </w:rPr>
        <w:t>The table below sets forth our corporate indebtedness as of December 31, 2017 and 2016. The agreements with respect to this indebtedness are discussed in more detail in our consolidated financial statements and related notes included elsewhere in this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3"/>
        <w:spacing w:after="0" w:line="264" w:lineRule="auto"/>
        <w:rPr>
          <w:sz w:val="20"/>
          <w:szCs w:val="20"/>
          <w:color w:val="auto"/>
        </w:rPr>
      </w:pPr>
      <w:r>
        <w:rPr>
          <w:rFonts w:ascii="Arial" w:cs="Arial" w:eastAsia="Arial" w:hAnsi="Arial"/>
          <w:sz w:val="18"/>
          <w:szCs w:val="18"/>
          <w:color w:val="auto"/>
        </w:rPr>
        <w:t>During November 2016, Lazard Group completed an offering of the 2027 Notes. Lazard Group used a portion of the net proceeds of the 2027 Notes to redeem or otherwise retire the remaining $98 million of 2017 Notes, which, including the recognition of unamortized issuance costs, resulted in a loss on debt extinguishment in connection with the redemption of such 2017 Notes of approximately $3 million.</w:t>
      </w:r>
    </w:p>
    <w:p>
      <w:pPr>
        <w:spacing w:after="0" w:line="181" w:lineRule="exact"/>
        <w:rPr>
          <w:sz w:val="20"/>
          <w:szCs w:val="20"/>
          <w:color w:val="auto"/>
        </w:rPr>
      </w:pPr>
    </w:p>
    <w:p>
      <w:pPr>
        <w:jc w:val="both"/>
        <w:ind w:right="80" w:firstLine="598"/>
        <w:spacing w:after="0" w:line="286" w:lineRule="auto"/>
        <w:rPr>
          <w:sz w:val="20"/>
          <w:szCs w:val="20"/>
          <w:color w:val="auto"/>
        </w:rPr>
      </w:pPr>
      <w:r>
        <w:rPr>
          <w:rFonts w:ascii="Arial" w:cs="Arial" w:eastAsia="Arial" w:hAnsi="Arial"/>
          <w:sz w:val="17"/>
          <w:szCs w:val="17"/>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66"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December 31, 2017, Lazard Group was in compliance with such ratios, with its Consolidated Leverage Ratio being 1.16 to 1.00 and its Consolidated Interest Coverage Ratio being 20.44 to 1.00. In any event, no amounts were outstanding under the Amended and Restated Credit Agreement as of December 31, 2017.</w:t>
      </w:r>
    </w:p>
    <w:p>
      <w:pPr>
        <w:spacing w:after="0" w:line="192"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2017,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11 of Notes to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At December 31, 2017, total stockholders’ equity was $1,259 million, as compared to $1,294 million and $1,367 million at December 31, 2016 and 2015, respectively, including $1,200 million, $1,236 million and $1,313 million attributable to Lazard Ltd on the respective dates. The net activity in stockholders’ equity during the years ended December 31, 2017 and 2016 is reflected in the table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96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4"/>
          </w:tcPr>
          <w:p>
            <w:pPr>
              <w:jc w:val="right"/>
              <w:ind w:right="565"/>
              <w:spacing w:after="0"/>
              <w:rPr>
                <w:sz w:val="20"/>
                <w:szCs w:val="20"/>
                <w:color w:val="auto"/>
              </w:rPr>
            </w:pPr>
            <w:r>
              <w:rPr>
                <w:rFonts w:ascii="Arial" w:cs="Arial" w:eastAsia="Arial" w:hAnsi="Arial"/>
                <w:sz w:val="14"/>
                <w:szCs w:val="14"/>
                <w:b w:val="1"/>
                <w:bCs w:val="1"/>
                <w:color w:val="auto"/>
              </w:rPr>
              <w:t>($ in millions)</w:t>
            </w: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 - Beginning of Year</w:t>
            </w:r>
          </w:p>
        </w:tc>
        <w:tc>
          <w:tcPr>
            <w:tcW w:w="19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74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Adjustment for the cumulative effect on prior years from the adoption</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gridSpan w:val="2"/>
          </w:tcPr>
          <w:p>
            <w:pPr>
              <w:ind w:left="140"/>
              <w:spacing w:after="0"/>
              <w:rPr>
                <w:sz w:val="20"/>
                <w:szCs w:val="20"/>
                <w:color w:val="auto"/>
              </w:rPr>
            </w:pPr>
            <w:r>
              <w:rPr>
                <w:rFonts w:ascii="Arial" w:cs="Arial" w:eastAsia="Arial" w:hAnsi="Arial"/>
                <w:sz w:val="18"/>
                <w:szCs w:val="18"/>
                <w:color w:val="auto"/>
              </w:rPr>
              <w:t>of new accounting guidance related to share-based</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0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incentive compensation</w:t>
            </w:r>
          </w:p>
        </w:tc>
        <w:tc>
          <w:tcPr>
            <w:tcW w:w="102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adjusted, Beginning of Year</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share-based incentive compensation</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Purchase of Class A common stock</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Settlement of share-based incentive compensation (a)</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Class A common stock dividends</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Class A common stock issuable related to business acquisitions</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Arial" w:cs="Arial" w:eastAsia="Arial" w:hAnsi="Arial"/>
                <w:sz w:val="18"/>
                <w:szCs w:val="18"/>
                <w:color w:val="auto"/>
              </w:rPr>
              <w:t>Distributions to noncontrolling interests, net</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 net</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3"/>
        </w:trPr>
        <w:tc>
          <w:tcPr>
            <w:tcW w:w="6640" w:type="dxa"/>
            <w:vAlign w:val="bottom"/>
            <w:gridSpan w:val="3"/>
          </w:tcPr>
          <w:p>
            <w:pPr>
              <w:ind w:left="580"/>
              <w:spacing w:after="0"/>
              <w:rPr>
                <w:sz w:val="20"/>
                <w:szCs w:val="20"/>
                <w:color w:val="auto"/>
              </w:rPr>
            </w:pPr>
            <w:r>
              <w:rPr>
                <w:rFonts w:ascii="Arial" w:cs="Arial" w:eastAsia="Arial" w:hAnsi="Arial"/>
                <w:sz w:val="18"/>
                <w:szCs w:val="18"/>
                <w:color w:val="auto"/>
              </w:rPr>
              <w:t>Stockholders’ Equity - End of Year</w:t>
            </w:r>
          </w:p>
        </w:tc>
        <w:tc>
          <w:tcPr>
            <w:tcW w:w="10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is settled in cash, not shares.</w:t>
      </w:r>
    </w:p>
    <w:p>
      <w:pPr>
        <w:spacing w:after="0" w:line="225"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period to period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58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7"/>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62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3,438,789</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2016</w:t>
            </w:r>
          </w:p>
        </w:tc>
        <w:tc>
          <w:tcPr>
            <w:tcW w:w="6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8,551,271</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6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6,956,097</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firstLine="598"/>
        <w:spacing w:after="0" w:line="308" w:lineRule="auto"/>
        <w:rPr>
          <w:sz w:val="20"/>
          <w:szCs w:val="20"/>
          <w:color w:val="auto"/>
        </w:rPr>
      </w:pPr>
      <w:r>
        <w:rPr>
          <w:rFonts w:ascii="Arial" w:cs="Arial" w:eastAsia="Arial" w:hAnsi="Arial"/>
          <w:sz w:val="17"/>
          <w:szCs w:val="17"/>
          <w:color w:val="auto"/>
        </w:rPr>
        <w:t>As of December 31, 2017, a total of $248 million of share repurchase authorization remained available under the Company’s share repurchase program, $48 million of which will expire on December 31, 2018 and $200 million of which will expire on December 31, 2019.</w:t>
      </w:r>
    </w:p>
    <w:p>
      <w:pPr>
        <w:spacing w:after="0" w:line="14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During the year ended December 31, 2017, the Company had in place trading plans under Rule 10b5-1 of the Securities Exchange Act of 1934, pursuant to which it effected stock repurchases in the open market.</w:t>
      </w:r>
    </w:p>
    <w:p>
      <w:pPr>
        <w:spacing w:after="0" w:line="170"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On January 31, 2018, the Board of Directors of Lazard declared dividends totaling $1.71 per share, comprised of a quarterly dividend of $0.41 per share, and an extra cash dividend of $1.30 per share, on our Class A common stock. The dividends are payable on February 23, 2018, to stockholders of record on February 12,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ind w:right="360" w:firstLine="59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See Notes 13 and 14 of Notes to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this Form 10-K and Note 19 of Notes to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1,478,854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$36,141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793,409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123,386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2,282,563</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141,276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737,984</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175,136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11 of Notes to Consolidated Financial Statements.</w:t>
      </w:r>
    </w:p>
    <w:p>
      <w:pPr>
        <w:spacing w:after="0" w:line="49" w:lineRule="exact"/>
        <w:rPr>
          <w:rFonts w:ascii="Arial" w:cs="Arial" w:eastAsia="Arial" w:hAnsi="Arial"/>
          <w:sz w:val="18"/>
          <w:szCs w:val="18"/>
          <w:color w:val="auto"/>
        </w:rPr>
      </w:pPr>
    </w:p>
    <w:p>
      <w:pPr>
        <w:jc w:val="both"/>
        <w:ind w:left="600" w:right="60" w:hanging="592"/>
        <w:spacing w:after="0" w:line="281"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Unfunded commitments to private equity investments consolidated but not owned by Lazard of $5,902 are excluded. Such commitments are required to be funded by capital contributions from noncontrolling interest holders. See Note 6 of Notes to Consolidated Financial Statements. These amounts are generally due on demand and therefore are presented in the “less than 1 year” category.</w:t>
      </w:r>
    </w:p>
    <w:p>
      <w:pPr>
        <w:spacing w:after="0" w:line="2" w:lineRule="exact"/>
        <w:rPr>
          <w:rFonts w:ascii="Arial" w:cs="Arial" w:eastAsia="Arial" w:hAnsi="Arial"/>
          <w:sz w:val="17"/>
          <w:szCs w:val="17"/>
          <w:color w:val="auto"/>
        </w:rPr>
      </w:pPr>
    </w:p>
    <w:p>
      <w:pPr>
        <w:ind w:left="600" w:right="140" w:hanging="592"/>
        <w:spacing w:after="0" w:line="291"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December 31, 2017, a tax receivable agreement obligation of $310,275 was recorded on the consolidated statements of financial condition, of which the Company currently expects that approximately $32,000 will be paid within the next 12 months. See “Critical Accounting Policies and Estimates —Income Taxes” below. See also Notes 12, 14, 15, 16 and 18 of Notes to Consolidated Financial Statements regarding information in connection with commitments, incentive plans, employee benefit plans, income taxes and tax receivable agreement obligations,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We do not believe inflation will significantly affect our compensation costs as they are substantially variable in nature. However, the rate of inflation may affect certain of our other expenses, such as information technology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right="140"/>
        <w:spacing w:after="0" w:line="297" w:lineRule="auto"/>
        <w:rPr>
          <w:sz w:val="20"/>
          <w:szCs w:val="20"/>
          <w:color w:val="auto"/>
        </w:rPr>
      </w:pPr>
      <w:r>
        <w:rPr>
          <w:rFonts w:ascii="Arial" w:cs="Arial" w:eastAsia="Arial" w:hAnsi="Arial"/>
          <w:sz w:val="16"/>
          <w:szCs w:val="16"/>
          <w:color w:val="auto"/>
        </w:rPr>
        <w:t>and occupancy costs. To the extent inflation results in rising interest rates and has other effects upon the securities markets or general macroeconomic conditions, it may adversely affect our financial position and results of operations by impacting overall levels of M&amp;A activity, reducing our AUM or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6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220" w:firstLine="59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reserve against exposures relating to Financial Advisory and Asset Management fees where we determine receivables are impaired.</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January 1, 2018, the Company adopted new revenue recognition guidance. See Note 3 of Notes to Consolidated Financial Statements.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2017, on a consolidated basis, we recorded gross deferred tax assets of approximately $790.7 million with such amount partially offset by a valuation allowance of approximately $61.5 million (as described below).</w:t>
      </w:r>
    </w:p>
    <w:p>
      <w:pPr>
        <w:spacing w:after="0" w:line="18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Certain of our tax-paying entities have individually experienced losses on a cumulative three year basis or have tax attributes that may expire unused.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account all available information, we cannot determine that it is more likely than not that deferred tax assets held by these entities will be realized.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Consequently, we have recorded valuation allowances on $61.5 million of deferred tax assets held by these entities as of December 31, 2017.</w:t>
      </w:r>
    </w:p>
    <w:p>
      <w:pPr>
        <w:spacing w:after="0" w:line="211"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As of December 31, 2015, we had released the valuation allowance on substantially all of our deferred tax assets and since have not recorded a significant valuation allowance on our deferred tax assets because most of our tax paying entities have continued to be profitable. During the year ended December 31, 2015, we recorded a deferred tax benefit of approximately $878 million associated with the release of the valuation allowance on our deferred tax assets. We also recorded a separate deferred tax benefit of $378 million that reflected the tax deductibility of payments under the tax receivable agreement. In addition, we recorded a deferred tax expense of approximately $161 million relating to the reduction of a deferred tax asset as a result of the partial extinguishment of our tax receivable agreement obligation. See “—Amended and Restated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192"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On January 1, 2017, we adopted new accounting guidance on share-based incentive compensation. As a result of the adoption of this new guidance, we recognized excess tax benefits of $9.0 million from the vesting of share-based incentive compensation in the provision for income taxes in the consolidated statements of operations for the year ended December 31, 2017. Upon adoption of the new guidance, we also recorded deferred tax assets of $81.5 million, net of a valuation allowance of $12.1 million, for previously unrecognized excess tax benefits (including tax benefits from dividends or dividend equivalents) on share-based incentive compensation, with an offsetting adjustment to retained earnings. See Notes 3 and 16 of Notes to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consolidated statements of operations and the classification of cash flows in the relevant periods.</w:t>
      </w:r>
    </w:p>
    <w:p>
      <w:pPr>
        <w:spacing w:after="0" w:line="182"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On December 22, 2017,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BEAT and tax on GILTI.</w:t>
      </w:r>
    </w:p>
    <w:p>
      <w:pPr>
        <w:spacing w:after="0" w:line="18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Lazard is a holding company that is treated as a publicly traded partnership for U.S. tax purposes, and our U.S. and certain foreign subsidiaries will be impacted by the Tax Act. While the Tax Act is currently expected to be moderately positive for us, the reduced corporate tax rate required us to remeasure our deferred tax assets and the liability associated with our tax receivable agreement. See Notes 16 and 18 of Notes to Consolidated Financial Statements for additional information regarding the impact of the Tax Act on us.</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Item 1A, “Risk Factors” and Note 16 of Notes to Consolidated Financial Statements for additional information related to 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left="60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In addition, in the third quarter of 2015, we purchased a portion of our obligation relating to the Amended and Restated Tax Receivable Agreement, which had the effect of reducing such liability. See Note 18 of Notes to Consolidated Financial Statements for additional information regarding the Amended and Restated Tax Receivable Agreement.</w:t>
      </w:r>
    </w:p>
    <w:p>
      <w:pPr>
        <w:spacing w:after="0" w:line="19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189"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December 31, 2017 and 2016 was $310 million, which includes the impact of the Tax Act, and $514 million, respectively, and is recorded in “tax receivable agreement obligation” on the consolidated statements of financial condition.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8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ind w:left="600"/>
        <w:spacing w:after="0"/>
        <w:rPr>
          <w:sz w:val="20"/>
          <w:szCs w:val="20"/>
          <w:color w:val="auto"/>
        </w:rPr>
      </w:pPr>
      <w:r>
        <w:rPr>
          <w:rFonts w:ascii="Arial" w:cs="Arial" w:eastAsia="Arial" w:hAnsi="Arial"/>
          <w:sz w:val="18"/>
          <w:szCs w:val="18"/>
          <w:color w:val="auto"/>
        </w:rPr>
        <w:t>Data relating to investments is set forth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Equities (a)</w:t>
            </w: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111,067</w:t>
            </w:r>
          </w:p>
        </w:tc>
        <w:tc>
          <w:tcPr>
            <w:tcW w:w="200" w:type="dxa"/>
            <w:vAlign w:val="bottom"/>
          </w:tcPr>
          <w:p>
            <w:pPr>
              <w:spacing w:after="0"/>
              <w:rPr>
                <w:sz w:val="19"/>
                <w:szCs w:val="19"/>
                <w:color w:val="auto"/>
              </w:rPr>
            </w:pP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99,669</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Fixed income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16,406</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Alternative investments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134,247</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Other investments owned: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Private equity (b)</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96,089</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Interest-bearing deposits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Fixed income and other</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22,908</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Total other investments owned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81,793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119,453</w:t>
            </w:r>
          </w:p>
        </w:tc>
        <w:tc>
          <w:tcPr>
            <w:tcW w:w="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1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216,467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Add: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Equity method (c)</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Arial" w:cs="Arial" w:eastAsia="Arial" w:hAnsi="Arial"/>
                <w:sz w:val="18"/>
                <w:szCs w:val="18"/>
                <w:color w:val="auto"/>
              </w:rPr>
              <w:t>Private equity consolidated, not owned (d)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26,332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LFI (e)</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191,497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179,168</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Arial" w:cs="Arial" w:eastAsia="Arial" w:hAnsi="Arial"/>
                <w:sz w:val="18"/>
                <w:szCs w:val="18"/>
                <w:color w:val="auto"/>
              </w:rPr>
              <w:t>Total investments</w:t>
            </w:r>
          </w:p>
        </w:tc>
        <w:tc>
          <w:tcPr>
            <w:tcW w:w="14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459,422</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6"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December 31, 2017 and 2016, seed investments in directly owned equity securities were invested as follows:</w:t>
      </w:r>
    </w:p>
    <w:p>
      <w:pPr>
        <w:spacing w:after="0" w:line="12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6" w:lineRule="exact"/>
        <w:rPr>
          <w:sz w:val="20"/>
          <w:szCs w:val="20"/>
          <w:color w:val="auto"/>
        </w:rPr>
      </w:pPr>
    </w:p>
    <w:p>
      <w:pPr>
        <w:ind w:left="600" w:right="80" w:hanging="592"/>
        <w:spacing w:after="0" w:line="290"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Private equity investments include investments related to certain legacy businesses and co-investments in private equity funds managed by our Asset Management business. Co-investments owned were $36 million and $34 million as of December 31, 2017 and 2016, respectively.</w:t>
      </w:r>
    </w:p>
    <w:p>
      <w:pPr>
        <w:ind w:left="600" w:hanging="59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49" w:lineRule="exact"/>
        <w:rPr>
          <w:rFonts w:ascii="Arial" w:cs="Arial" w:eastAsia="Arial" w:hAnsi="Arial"/>
          <w:sz w:val="18"/>
          <w:szCs w:val="18"/>
          <w:color w:val="auto"/>
        </w:rPr>
      </w:pPr>
    </w:p>
    <w:p>
      <w:pPr>
        <w:ind w:left="600" w:right="140" w:hanging="592"/>
        <w:spacing w:after="0" w:line="264"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5" w:lineRule="exact"/>
        <w:rPr>
          <w:rFonts w:ascii="Arial" w:cs="Arial" w:eastAsia="Arial" w:hAnsi="Arial"/>
          <w:sz w:val="18"/>
          <w:szCs w:val="18"/>
          <w:color w:val="auto"/>
        </w:rPr>
      </w:pPr>
    </w:p>
    <w:p>
      <w:pPr>
        <w:ind w:left="600" w:hanging="592"/>
        <w:spacing w:after="0" w:line="25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$53 million in two entities as of December 31, 2017.</w:t>
      </w:r>
    </w:p>
    <w:p>
      <w:pPr>
        <w:spacing w:after="0" w:line="18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At December 31, 2017 and 2016, total investments with a fair value of $427 million and $459 million, respectively, included $80 million and $130 million, respectively, or 19% and 28%, respectively, of investments that were classified using NAV or its equivalent as a practical expedient. See Notes 5 and 6 of Notes to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8" w:name="page69"/>
    <w:bookmarkEnd w:id="68"/>
    <w:p>
      <w:pPr>
        <w:ind w:right="60" w:firstLine="598"/>
        <w:spacing w:after="0" w:line="264" w:lineRule="auto"/>
        <w:rPr>
          <w:sz w:val="20"/>
          <w:szCs w:val="20"/>
          <w:color w:val="auto"/>
        </w:rPr>
      </w:pPr>
      <w:r>
        <w:rPr>
          <w:rFonts w:ascii="Arial" w:cs="Arial" w:eastAsia="Arial" w:hAnsi="Arial"/>
          <w:sz w:val="18"/>
          <w:szCs w:val="18"/>
          <w:color w:val="auto"/>
        </w:rPr>
        <w:t>As of December 31, 2017 and 2016, the Company held seed investments of approximately $135 million and $134 million, respectively. Seed investments held in entities in which the Company maintained a controlling interest were $28 million in eight entities as of December 31, 2017, as compared to $41 million in six entities as of December 31, 2016.</w:t>
      </w:r>
    </w:p>
    <w:p>
      <w:pPr>
        <w:spacing w:after="0" w:line="181"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As of December 31, 2017 and 2016, the Company did not consolidate or deconsolidate any seed investment entities or LFI investment entities. As such, 100% of the recorded balance of seed investments and LFI investments as of December 31, 2017 and 2016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20" w:firstLine="598"/>
        <w:spacing w:after="0" w:line="342" w:lineRule="auto"/>
        <w:rPr>
          <w:sz w:val="20"/>
          <w:szCs w:val="20"/>
          <w:color w:val="auto"/>
        </w:rPr>
      </w:pPr>
      <w:r>
        <w:rPr>
          <w:rFonts w:ascii="Arial" w:cs="Arial" w:eastAsia="Arial" w:hAnsi="Arial"/>
          <w:sz w:val="16"/>
          <w:szCs w:val="16"/>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Consolidated Financial Statements for additional information regarding goodwill.</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1200" w:right="340" w:hanging="598"/>
        <w:spacing w:after="0" w:line="312" w:lineRule="auto"/>
        <w:tabs>
          <w:tab w:leader="none" w:pos="1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38" w:lineRule="exact"/>
        <w:rPr>
          <w:rFonts w:ascii="Arial" w:cs="Arial" w:eastAsia="Arial" w:hAnsi="Arial"/>
          <w:sz w:val="16"/>
          <w:szCs w:val="16"/>
          <w:color w:val="auto"/>
        </w:rPr>
      </w:pPr>
    </w:p>
    <w:p>
      <w:pPr>
        <w:ind w:left="1200" w:hanging="598"/>
        <w:spacing w:after="0" w:line="25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9" w:name="page70"/>
    <w:bookmarkEnd w:id="69"/>
    <w:p>
      <w:pPr>
        <w:ind w:firstLine="59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93"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200" w:firstLine="598"/>
        <w:spacing w:after="0" w:line="297" w:lineRule="auto"/>
        <w:rPr>
          <w:sz w:val="20"/>
          <w:szCs w:val="20"/>
          <w:color w:val="auto"/>
        </w:rPr>
      </w:pPr>
      <w:r>
        <w:rPr>
          <w:rFonts w:ascii="Arial" w:cs="Arial" w:eastAsia="Arial" w:hAnsi="Arial"/>
          <w:sz w:val="16"/>
          <w:szCs w:val="16"/>
          <w:color w:val="auto"/>
        </w:rPr>
        <w:t>Equity Market Price Risk—At December 31, 2017 and 2016, the Company’s exposure to equity market price risk in its investment portfolio, which primarily relates to investments in equity securities, equity funds and hedge funds, was approximately $107 million and $110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$2.0 million and $1.0 million in the carrying value of such investments as of December 31, 2017 and 2016, respectively, including the effect of the hedging transactions.</w:t>
      </w:r>
    </w:p>
    <w:p>
      <w:pPr>
        <w:spacing w:after="0" w:line="158"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Interest Rate/Credit Spread Risk—At December 31, 2017 and 2016, the Company’s exposure to interest rate and credit spread risk in its investment portfolio related to investments in debt securities or funds which invest primarily in debt securities was $58 million and $53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$1.3 million and $0.9 million in the carrying value of such investments as of December 31, 2017 and 2016, respectively, including the effect of the hedging transactions.</w:t>
      </w:r>
    </w:p>
    <w:p>
      <w:pPr>
        <w:spacing w:after="0" w:line="158"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Foreign Exchange Rate Risk—At December 31, 2017 and 2016, the Company’s exposure to foreign exchange rate risk in its investment portfolio, which primarily relates to investments in foreign currency denominated equity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20"/>
        <w:spacing w:after="0" w:line="259" w:lineRule="auto"/>
        <w:rPr>
          <w:sz w:val="20"/>
          <w:szCs w:val="20"/>
          <w:color w:val="auto"/>
        </w:rPr>
      </w:pPr>
      <w:r>
        <w:rPr>
          <w:rFonts w:ascii="Arial" w:cs="Arial" w:eastAsia="Arial" w:hAnsi="Arial"/>
          <w:sz w:val="18"/>
          <w:szCs w:val="18"/>
          <w:color w:val="auto"/>
        </w:rPr>
        <w:t>and debt securities, was $65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$1.7 million in the carrying value of such investments as of both December 31, 2017 and 2016, including the effect of the hedging transactions.</w:t>
      </w:r>
    </w:p>
    <w:p>
      <w:pPr>
        <w:spacing w:after="0" w:line="187"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December 31, 2017 and 2016, the Company’s exposure to changes in fair value of such investments was approximately $57 million and $96 million, respectively. The Company estimates that a hypothetical 10% adverse change in fair value would result in a decrease of approximately $5.7 million and $9.6 million in the carrying value of such investments as of December 31, 2017 and 2016, respectively.</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2017, total receivables amounted to $572 million, net of an allowance for doubtful accounts of $24 million. As of that date, Financial Advisory and Asset Management fees, and customers and other receivables comprised 85% and 15% of total receivables, respectively. At December 31, 2016, total receivables amounted to $638 million, net of an allowance for doubtful accounts of $16 million. As of that date, Financial Advisory and Asset Management fees, and customers and other receivables comprised 88% and 12% of total receivables, respectively. At December 31, 2017 and 2016, the Company had receivables past due or deemed uncollectible of approximately $35 million and $22 million, respectively. See also “Critical Accounting Policies and Estimates—Revenue Recognition” above and Note 4 of Notes to Consolidated Financial Statements for additional information regarding receivables.</w:t>
      </w:r>
    </w:p>
    <w:p>
      <w:pPr>
        <w:spacing w:after="0" w:line="182"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December 31, 2017 and 2016, customer receivables included $61 million and $51 million of LFB loans, respectively, with such loans being fully collateralized and closely monitored for counterparty creditworthiness.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$4 million and $2 million at December 31, 2017 and 2016, respectively, and derivative liabilities, excluding the derivative liability arising from the Company’s obligation pertaining to LFI and other similar deferred compensation arrangements, amounted to $16 million and $12 million at such respective dates.</w:t>
      </w:r>
    </w:p>
    <w:p>
      <w:pPr>
        <w:spacing w:after="0" w:line="173"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$182 million and $170 million at December 31, 2017 and 2016,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December 31, 2017, Lazard estimates that its annual operating income relating to cash and cash equivalents would increase by approximately $15 million in the event interest rates were to increase by 1% and decrease by approximately $15 million if rates were to decrease by 1%.</w:t>
      </w:r>
    </w:p>
    <w:p>
      <w:pPr>
        <w:spacing w:after="0" w:line="147"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As of December 31, 2017, the Company’s cash and cash equivalents totaled approximately $1.5 billion.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40" w:firstLine="8"/>
        <w:spacing w:after="0" w:line="323" w:lineRule="auto"/>
        <w:tabs>
          <w:tab w:leader="none" w:pos="3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00" w:type="dxa"/>
            <w:vAlign w:val="bottom"/>
            <w:gridSpan w:val="16"/>
          </w:tcPr>
          <w:p>
            <w:pPr>
              <w:ind w:left="40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r>
      <w:tr>
        <w:trPr>
          <w:trHeight w:val="291"/>
        </w:trPr>
        <w:tc>
          <w:tcPr>
            <w:tcW w:w="440" w:type="dxa"/>
            <w:vAlign w:val="bottom"/>
          </w:tcPr>
          <w:p>
            <w:pPr>
              <w:spacing w:after="0"/>
              <w:rPr>
                <w:sz w:val="24"/>
                <w:szCs w:val="24"/>
                <w:color w:val="auto"/>
              </w:rPr>
            </w:pPr>
          </w:p>
        </w:tc>
        <w:tc>
          <w:tcPr>
            <w:tcW w:w="49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Management’s Report On Internal Control Over Financial Reporting</w:t>
              </w:r>
            </w:hyperlink>
          </w:p>
        </w:tc>
        <w:tc>
          <w:tcPr>
            <w:tcW w:w="5460" w:type="dxa"/>
            <w:vAlign w:val="bottom"/>
            <w:gridSpan w:val="1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318"/>
        </w:trPr>
        <w:tc>
          <w:tcPr>
            <w:tcW w:w="440" w:type="dxa"/>
            <w:vAlign w:val="bottom"/>
          </w:tcPr>
          <w:p>
            <w:pPr>
              <w:spacing w:after="0"/>
              <w:rPr>
                <w:sz w:val="24"/>
                <w:szCs w:val="24"/>
                <w:color w:val="auto"/>
              </w:rPr>
            </w:pPr>
          </w:p>
        </w:tc>
        <w:tc>
          <w:tcPr>
            <w:tcW w:w="43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Reports of Independent Registered Public Accounting Firm</w:t>
              </w:r>
            </w:hyperlink>
          </w:p>
        </w:tc>
        <w:tc>
          <w:tcPr>
            <w:tcW w:w="6120" w:type="dxa"/>
            <w:vAlign w:val="bottom"/>
            <w:gridSpan w:val="11"/>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Financial Condition as of December 31, 2017 and 2016</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for the years ended December 31, 2017, 2016 and 2015</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Income for the years ended December 31, 2017, 2016 and 2015</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318"/>
        </w:trPr>
        <w:tc>
          <w:tcPr>
            <w:tcW w:w="440" w:type="dxa"/>
            <w:vAlign w:val="bottom"/>
          </w:tcPr>
          <w:p>
            <w:pPr>
              <w:spacing w:after="0"/>
              <w:rPr>
                <w:sz w:val="24"/>
                <w:szCs w:val="24"/>
                <w:color w:val="auto"/>
              </w:rPr>
            </w:pPr>
          </w:p>
        </w:tc>
        <w:tc>
          <w:tcPr>
            <w:tcW w:w="69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 for the years ended December 31, 2017, 2016 and 2015</w:t>
              </w:r>
            </w:hyperlink>
          </w:p>
        </w:tc>
        <w:tc>
          <w:tcPr>
            <w:tcW w:w="860" w:type="dxa"/>
            <w:vAlign w:val="bottom"/>
            <w:tcBorders>
              <w:top w:val="single" w:sz="8" w:color="0000EE"/>
            </w:tcBorders>
            <w:gridSpan w:val="2"/>
          </w:tcPr>
          <w:p>
            <w:pPr>
              <w:spacing w:after="0"/>
              <w:rPr>
                <w:sz w:val="24"/>
                <w:szCs w:val="24"/>
                <w:color w:val="auto"/>
              </w:rPr>
            </w:pPr>
          </w:p>
        </w:tc>
        <w:tc>
          <w:tcPr>
            <w:tcW w:w="264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Changes in Stockholders’ Equity for the years ended December 31, 2017, 2016 and 2015</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318"/>
        </w:trPr>
        <w:tc>
          <w:tcPr>
            <w:tcW w:w="44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Notes to Consolidated Financial Statements</w:t>
              </w:r>
            </w:hyperlink>
          </w:p>
        </w:tc>
        <w:tc>
          <w:tcPr>
            <w:tcW w:w="5280" w:type="dxa"/>
            <w:vAlign w:val="bottom"/>
            <w:tcBorders>
              <w:top w:val="single" w:sz="8" w:color="0000EE"/>
            </w:tcBorders>
            <w:gridSpan w:val="11"/>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318"/>
        </w:trPr>
        <w:tc>
          <w:tcPr>
            <w:tcW w:w="2820" w:type="dxa"/>
            <w:vAlign w:val="bottom"/>
            <w:tcBorders>
              <w:bottom w:val="single" w:sz="8" w:color="0000EE"/>
            </w:tcBorders>
            <w:gridSpan w:val="4"/>
          </w:tcPr>
          <w:p>
            <w:pPr>
              <w:spacing w:after="0"/>
              <w:rPr>
                <w:rFonts w:ascii="Arial" w:cs="Arial" w:eastAsia="Arial" w:hAnsi="Arial"/>
                <w:sz w:val="18"/>
                <w:szCs w:val="18"/>
                <w:b w:val="1"/>
                <w:bCs w:val="1"/>
                <w:color w:val="0000EE"/>
                <w:w w:val="91"/>
              </w:rPr>
            </w:pPr>
            <w:hyperlink w:anchor="page132">
              <w:r>
                <w:rPr>
                  <w:rFonts w:ascii="Arial" w:cs="Arial" w:eastAsia="Arial" w:hAnsi="Arial"/>
                  <w:sz w:val="18"/>
                  <w:szCs w:val="18"/>
                  <w:b w:val="1"/>
                  <w:bCs w:val="1"/>
                  <w:color w:val="0000EE"/>
                  <w:w w:val="91"/>
                </w:rPr>
                <w:t>Supplemental Financial Information</w:t>
              </w:r>
            </w:hyperlink>
          </w:p>
        </w:tc>
        <w:tc>
          <w:tcPr>
            <w:tcW w:w="804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4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Quarterly Results</w:t>
              </w:r>
            </w:hyperlink>
          </w:p>
        </w:tc>
        <w:tc>
          <w:tcPr>
            <w:tcW w:w="914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358"/>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Financial Statement Schedules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10420" w:type="dxa"/>
            <w:vAlign w:val="bottom"/>
            <w:gridSpan w:val="17"/>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58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Condensed Statements of Financial Condition as of December 31, 2017 and 2016</w:t>
              </w:r>
            </w:hyperlink>
          </w:p>
        </w:tc>
        <w:tc>
          <w:tcPr>
            <w:tcW w:w="454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r>
      <w:tr>
        <w:trPr>
          <w:trHeight w:val="318"/>
        </w:trPr>
        <w:tc>
          <w:tcPr>
            <w:tcW w:w="440" w:type="dxa"/>
            <w:vAlign w:val="bottom"/>
          </w:tcPr>
          <w:p>
            <w:pPr>
              <w:spacing w:after="0"/>
              <w:rPr>
                <w:sz w:val="24"/>
                <w:szCs w:val="24"/>
                <w:color w:val="auto"/>
              </w:rPr>
            </w:pPr>
          </w:p>
        </w:tc>
        <w:tc>
          <w:tcPr>
            <w:tcW w:w="6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42">
              <w:r>
                <w:rPr>
                  <w:rFonts w:ascii="Arial" w:cs="Arial" w:eastAsia="Arial" w:hAnsi="Arial"/>
                  <w:sz w:val="18"/>
                  <w:szCs w:val="18"/>
                  <w:color w:val="0000EE"/>
                  <w:w w:val="88"/>
                </w:rPr>
                <w:t>Condensed Statements of Operations for the years ended December 31, 2017, 2016 and 2015</w:t>
              </w:r>
            </w:hyperlink>
          </w:p>
        </w:tc>
        <w:tc>
          <w:tcPr>
            <w:tcW w:w="370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r>
      <w:tr>
        <w:trPr>
          <w:trHeight w:val="318"/>
        </w:trPr>
        <w:tc>
          <w:tcPr>
            <w:tcW w:w="44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Condensed Statements of Comprehensive Income for the years ended December 31, 2017, 2016 and 2015</w:t>
              </w:r>
            </w:hyperlink>
          </w:p>
        </w:tc>
        <w:tc>
          <w:tcPr>
            <w:tcW w:w="278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r>
      <w:tr>
        <w:trPr>
          <w:trHeight w:val="318"/>
        </w:trPr>
        <w:tc>
          <w:tcPr>
            <w:tcW w:w="440" w:type="dxa"/>
            <w:vAlign w:val="bottom"/>
          </w:tcPr>
          <w:p>
            <w:pPr>
              <w:spacing w:after="0"/>
              <w:rPr>
                <w:sz w:val="24"/>
                <w:szCs w:val="24"/>
                <w:color w:val="auto"/>
              </w:rPr>
            </w:pPr>
          </w:p>
        </w:tc>
        <w:tc>
          <w:tcPr>
            <w:tcW w:w="10420" w:type="dxa"/>
            <w:vAlign w:val="bottom"/>
            <w:gridSpan w:val="1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Condensed Statements of Cash Flows for the years ended December 31, 2017, 2016 and 2015</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r>
      <w:tr>
        <w:trPr>
          <w:trHeight w:val="318"/>
        </w:trPr>
        <w:tc>
          <w:tcPr>
            <w:tcW w:w="440" w:type="dxa"/>
            <w:vAlign w:val="bottom"/>
          </w:tcPr>
          <w:p>
            <w:pPr>
              <w:spacing w:after="0"/>
              <w:rPr>
                <w:sz w:val="24"/>
                <w:szCs w:val="24"/>
                <w:color w:val="auto"/>
              </w:rPr>
            </w:pPr>
          </w:p>
        </w:tc>
        <w:tc>
          <w:tcPr>
            <w:tcW w:w="6760" w:type="dxa"/>
            <w:vAlign w:val="bottom"/>
            <w:tcBorders>
              <w:top w:val="single" w:sz="8" w:color="0000EE"/>
            </w:tcBorders>
            <w:gridSpan w:val="11"/>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Notes to Condensed Financial Statements</w:t>
              </w:r>
            </w:hyperlink>
          </w:p>
        </w:tc>
        <w:tc>
          <w:tcPr>
            <w:tcW w:w="366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r>
      <w:tr>
        <w:trPr>
          <w:trHeight w:val="858"/>
        </w:trPr>
        <w:tc>
          <w:tcPr>
            <w:tcW w:w="4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gridSpan w:val="3"/>
          </w:tcPr>
          <w:p>
            <w:pPr>
              <w:spacing w:after="0"/>
              <w:rPr>
                <w:sz w:val="24"/>
                <w:szCs w:val="24"/>
                <w:color w:val="auto"/>
              </w:rPr>
            </w:pPr>
          </w:p>
        </w:tc>
        <w:tc>
          <w:tcPr>
            <w:tcW w:w="2880" w:type="dxa"/>
            <w:vAlign w:val="bottom"/>
            <w:gridSpan w:val="4"/>
          </w:tcPr>
          <w:p>
            <w:pPr>
              <w:jc w:val="right"/>
              <w:ind w:right="5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200" w:right="140" w:hanging="598"/>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200" w:right="300" w:hanging="598"/>
        <w:spacing w:after="0" w:line="264"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73"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2017.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Based on management’s assessment and those criteria, management concluded that the Company maintained effective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2017.</w:t>
      </w:r>
    </w:p>
    <w:p>
      <w:pPr>
        <w:spacing w:after="0" w:line="18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560" w:firstLine="598"/>
        <w:spacing w:after="0" w:line="34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2017, as stated in their report which appears under “Report of Independent Registered Public Accounting Firm.”</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4" w:name="page75"/>
    <w:bookmarkEnd w:id="7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Lazard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 w:firstLine="877"/>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Lazard Ltd and subsidiaries (the “Company”)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73" w:lineRule="exact"/>
        <w:rPr>
          <w:sz w:val="20"/>
          <w:szCs w:val="20"/>
          <w:color w:val="auto"/>
        </w:rPr>
      </w:pPr>
    </w:p>
    <w:p>
      <w:pPr>
        <w:jc w:val="both"/>
        <w:ind w:right="420" w:firstLine="877"/>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listed in the Index at Item 8 as of and for the year ended December 31, 2017 of the Company, and our report dated February 26, 2018, expressed an unqualified opinion on those consolidated financial statements and financial statement schedule.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240" w:firstLine="877"/>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ind w:right="20" w:firstLine="877"/>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5" w:name="page76"/>
    <w:bookmarkEnd w:id="7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Lazard Ltd: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16" w:lineRule="exact"/>
        <w:rPr>
          <w:sz w:val="20"/>
          <w:szCs w:val="20"/>
          <w:color w:val="auto"/>
        </w:rPr>
      </w:pPr>
    </w:p>
    <w:p>
      <w:pPr>
        <w:ind w:right="60" w:firstLine="877"/>
        <w:spacing w:after="0" w:line="273" w:lineRule="auto"/>
        <w:rPr>
          <w:sz w:val="20"/>
          <w:szCs w:val="20"/>
          <w:color w:val="auto"/>
        </w:rPr>
      </w:pPr>
      <w:r>
        <w:rPr>
          <w:rFonts w:ascii="Arial" w:cs="Arial" w:eastAsia="Arial" w:hAnsi="Arial"/>
          <w:sz w:val="17"/>
          <w:szCs w:val="17"/>
          <w:color w:val="auto"/>
        </w:rPr>
        <w:t>We have audited the accompanying consolidated statements of financial condition of Lazard Ltd and subsidiaries (the “Company”) as of December 31, 2017 and 2016, and the related consolidated statements of operations, comprehensive income, cash flows, and changes in stockholders’ equity for each of the three years in the period ended December 31, 2017, the related notes and the schedule listed in the Index at Item 8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51"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26, 2018,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Company’s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160" w:firstLine="877"/>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auditors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6" w:name="page77"/>
    <w:bookmarkEnd w:id="7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1,483,836</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1,158,785</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29,030</w:t>
            </w:r>
          </w:p>
        </w:tc>
        <w:tc>
          <w:tcPr>
            <w:tcW w:w="120" w:type="dxa"/>
            <w:vAlign w:val="bottom"/>
          </w:tcPr>
          <w:p>
            <w:pPr>
              <w:spacing w:after="0"/>
              <w:rPr>
                <w:sz w:val="19"/>
                <w:szCs w:val="19"/>
                <w:color w:val="auto"/>
              </w:rPr>
            </w:pPr>
          </w:p>
        </w:tc>
      </w:tr>
      <w:tr>
        <w:trPr>
          <w:trHeight w:val="21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$23,746 and $16,386</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December 31, 2017 and 2016,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Fees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487,800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564,291</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73,991</w:t>
            </w:r>
          </w:p>
        </w:tc>
        <w:tc>
          <w:tcPr>
            <w:tcW w:w="120" w:type="dxa"/>
            <w:vAlign w:val="bottom"/>
            <w:shd w:val="clear" w:color="auto" w:fill="CFF0FC"/>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571,616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638,282</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shd w:val="clear" w:color="auto" w:fill="CFF0FC"/>
          </w:tcPr>
          <w:p>
            <w:pPr>
              <w:spacing w:after="0"/>
              <w:rPr>
                <w:sz w:val="19"/>
                <w:szCs w:val="19"/>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$317,827</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and $286,001 at December 31, 2017 and 2016, respectively)</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205,301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209,021</w:t>
            </w:r>
          </w:p>
        </w:tc>
        <w:tc>
          <w:tcPr>
            <w:tcW w:w="120" w:type="dxa"/>
            <w:vAlign w:val="bottom"/>
          </w:tcPr>
          <w:p>
            <w:pPr>
              <w:spacing w:after="0"/>
              <w:rPr>
                <w:sz w:val="20"/>
                <w:szCs w:val="20"/>
                <w:color w:val="auto"/>
              </w:rPr>
            </w:pPr>
          </w:p>
        </w:tc>
      </w:tr>
      <w:tr>
        <w:trPr>
          <w:trHeight w:val="21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$63,099 and $60,080 at December 31, 2017 and 2016,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391,364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382,024</w:t>
            </w: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Deferred tax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650,260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1,075,777</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184,499</w:t>
            </w:r>
          </w:p>
        </w:tc>
        <w:tc>
          <w:tcPr>
            <w:tcW w:w="120" w:type="dxa"/>
            <w:vAlign w:val="bottom"/>
            <w:shd w:val="clear" w:color="auto" w:fill="CFF0FC"/>
          </w:tcPr>
          <w:p>
            <w:pPr>
              <w:spacing w:after="0"/>
              <w:rPr>
                <w:sz w:val="19"/>
                <w:szCs w:val="19"/>
                <w:color w:val="auto"/>
              </w:rPr>
            </w:pPr>
          </w:p>
        </w:tc>
      </w:tr>
      <w:tr>
        <w:trPr>
          <w:trHeight w:val="223"/>
        </w:trPr>
        <w:tc>
          <w:tcPr>
            <w:tcW w:w="67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4,928,677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4,556,508</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7" w:name="page78"/>
    <w:bookmarkEnd w:id="7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992,338</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472,283</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593,781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541,588</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Tax receivable agreement obligation</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310,275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513,610</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9,168</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537,446</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3,669,772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3,262,695</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64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129,766,091 shares issued at December 31, 2017 and 2016,</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688,231</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1,080,413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1,134,186</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(232,518)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(314,222)</w:t>
            </w:r>
          </w:p>
        </w:tc>
      </w:tr>
      <w:tr>
        <w:trPr>
          <w:trHeight w:val="223"/>
        </w:trPr>
        <w:tc>
          <w:tcPr>
            <w:tcW w:w="6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1,509,493</w:t>
            </w:r>
          </w:p>
        </w:tc>
        <w:tc>
          <w:tcPr>
            <w:tcW w:w="120" w:type="dxa"/>
            <w:vAlign w:val="bottom"/>
          </w:tcPr>
          <w:p>
            <w:pPr>
              <w:spacing w:after="0"/>
              <w:rPr>
                <w:sz w:val="19"/>
                <w:szCs w:val="19"/>
                <w:color w:val="auto"/>
              </w:rPr>
            </w:pPr>
          </w:p>
        </w:tc>
      </w:tr>
      <w:tr>
        <w:trPr>
          <w:trHeight w:val="215"/>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(10,747,142 and</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7,628,786 shares at December 31, 2017 and 2016, respectively)</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(437,530)</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(273,506)</w:t>
            </w: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Total Lazard Ltd Stockholders’ Equity</w:t>
            </w:r>
          </w:p>
        </w:tc>
        <w:tc>
          <w:tcPr>
            <w:tcW w:w="1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1,199,803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1,235,987</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57,826</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1,258,905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1,293,813</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4,928,677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4,556,508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1,385,536</w:t>
            </w:r>
          </w:p>
        </w:tc>
        <w:tc>
          <w:tcPr>
            <w:tcW w:w="100" w:type="dxa"/>
            <w:vAlign w:val="bottom"/>
          </w:tcPr>
          <w:p>
            <w:pPr>
              <w:spacing w:after="0"/>
              <w:rPr>
                <w:sz w:val="19"/>
                <w:szCs w:val="19"/>
                <w:color w:val="auto"/>
              </w:rPr>
            </w:pP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1,298,364</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1,276,096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1,195,550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998,887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2,697,829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2,383,663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2,404,767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50,292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2,644,311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2,333,371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1,512,873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1,340,543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1,319,746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121,671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pursuant to tax receivable agreement</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(202,546)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1,818,865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1,815,910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825,446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517,461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for income taxes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123,769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(1,009,552)</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393,692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2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387,698</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986,373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54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ATTRIBUTABLE TO LAZARD LTD CLASS A</w:t>
            </w:r>
          </w:p>
        </w:tc>
        <w:tc>
          <w:tcPr>
            <w:tcW w:w="1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COMMON STOCKHOLDERS:</w:t>
            </w: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540" w:type="dxa"/>
            <w:vAlign w:val="bottom"/>
          </w:tcPr>
          <w:p>
            <w:pPr>
              <w:ind w:left="260"/>
              <w:spacing w:after="0"/>
              <w:rPr>
                <w:sz w:val="20"/>
                <w:szCs w:val="20"/>
                <w:color w:val="auto"/>
              </w:rPr>
            </w:pPr>
            <w:r>
              <w:rPr>
                <w:rFonts w:ascii="Arial" w:cs="Arial" w:eastAsia="Arial" w:hAnsi="Arial"/>
                <w:sz w:val="18"/>
                <w:szCs w:val="18"/>
                <w:b w:val="1"/>
                <w:bCs w:val="1"/>
                <w:color w:val="auto"/>
              </w:rPr>
              <w:t>WEIGHTED AVERAGE SHARES OF</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380"/>
              <w:spacing w:after="0"/>
              <w:rPr>
                <w:sz w:val="20"/>
                <w:szCs w:val="20"/>
                <w:color w:val="auto"/>
              </w:rPr>
            </w:pPr>
            <w:r>
              <w:rPr>
                <w:rFonts w:ascii="Arial" w:cs="Arial" w:eastAsia="Arial" w:hAnsi="Arial"/>
                <w:sz w:val="18"/>
                <w:szCs w:val="18"/>
                <w:b w:val="1"/>
                <w:bCs w:val="1"/>
                <w:color w:val="auto"/>
              </w:rPr>
              <w:t>COMMON STOCK OUTSTANDING:</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121,573,442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124,770,401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125,366,272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500"/>
              <w:spacing w:after="0"/>
              <w:rPr>
                <w:sz w:val="20"/>
                <w:szCs w:val="20"/>
                <w:color w:val="auto"/>
              </w:rPr>
            </w:pPr>
            <w:r>
              <w:rPr>
                <w:rFonts w:ascii="Arial" w:cs="Arial" w:eastAsia="Arial" w:hAnsi="Arial"/>
                <w:sz w:val="18"/>
                <w:szCs w:val="18"/>
                <w:color w:val="auto"/>
              </w:rPr>
              <w:t>Diluted</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132,479,728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132,633,630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133,244,546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INCOME PER SHARE OF COMMON</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STOCK:</w:t>
            </w: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50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3"/>
                <w:szCs w:val="23"/>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DIVIDENDS DECLARED PER SHARE OF</w:t>
            </w: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380"/>
              <w:spacing w:after="0"/>
              <w:rPr>
                <w:sz w:val="20"/>
                <w:szCs w:val="20"/>
                <w:color w:val="auto"/>
              </w:rPr>
            </w:pPr>
            <w:r>
              <w:rPr>
                <w:rFonts w:ascii="Arial" w:cs="Arial" w:eastAsia="Arial" w:hAnsi="Arial"/>
                <w:sz w:val="18"/>
                <w:szCs w:val="18"/>
                <w:b w:val="1"/>
                <w:bCs w:val="1"/>
                <w:color w:val="auto"/>
              </w:rPr>
              <w:t>COMMON STOCK</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20"/>
                <w:szCs w:val="20"/>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259,847</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992,932</w:t>
            </w:r>
          </w:p>
        </w:tc>
        <w:tc>
          <w:tcPr>
            <w:tcW w:w="120" w:type="dxa"/>
            <w:vAlign w:val="bottom"/>
            <w:shd w:val="clear" w:color="auto" w:fill="CFF0FC"/>
          </w:tcPr>
          <w:p>
            <w:pPr>
              <w:spacing w:after="0"/>
              <w:rPr>
                <w:sz w:val="19"/>
                <w:szCs w:val="19"/>
                <w:color w:val="auto"/>
              </w:rPr>
            </w:pPr>
          </w:p>
        </w:tc>
      </w:tr>
      <w:tr>
        <w:trPr>
          <w:trHeight w:val="205"/>
        </w:trPr>
        <w:tc>
          <w:tcPr>
            <w:tcW w:w="588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8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(57,920)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(51,182)</w:t>
            </w: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$(3,507), $(5,205) and $5,644 for the years ended</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2017, 2016 and 2015, respectively)</w:t>
            </w: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(24,473)</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120" w:type="dxa"/>
            <w:vAlign w:val="bottom"/>
            <w:shd w:val="clear" w:color="auto" w:fill="CFF0FC"/>
          </w:tcPr>
          <w:p>
            <w:pPr>
              <w:spacing w:after="0"/>
              <w:rPr>
                <w:sz w:val="20"/>
                <w:szCs w:val="20"/>
                <w:color w:val="auto"/>
              </w:rPr>
            </w:pPr>
          </w:p>
        </w:tc>
      </w:tr>
      <w:tr>
        <w:trPr>
          <w:trHeight w:val="215"/>
        </w:trPr>
        <w:tc>
          <w:tcPr>
            <w:tcW w:w="588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80" w:type="dxa"/>
            <w:vAlign w:val="bottom"/>
          </w:tcPr>
          <w:p>
            <w:pPr>
              <w:ind w:left="640"/>
              <w:spacing w:after="0"/>
              <w:rPr>
                <w:sz w:val="20"/>
                <w:szCs w:val="20"/>
                <w:color w:val="auto"/>
              </w:rPr>
            </w:pPr>
            <w:r>
              <w:rPr>
                <w:rFonts w:ascii="Arial" w:cs="Arial" w:eastAsia="Arial" w:hAnsi="Arial"/>
                <w:sz w:val="18"/>
                <w:szCs w:val="18"/>
                <w:color w:val="auto"/>
              </w:rPr>
              <w:t>tax expense of $2,220, $1,757 and $1,507 for the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80" w:type="dxa"/>
            <w:vAlign w:val="bottom"/>
          </w:tcPr>
          <w:p>
            <w:pPr>
              <w:ind w:left="640"/>
              <w:spacing w:after="0"/>
              <w:rPr>
                <w:sz w:val="20"/>
                <w:szCs w:val="20"/>
                <w:color w:val="auto"/>
              </w:rPr>
            </w:pPr>
            <w:r>
              <w:rPr>
                <w:rFonts w:ascii="Arial" w:cs="Arial" w:eastAsia="Arial" w:hAnsi="Arial"/>
                <w:sz w:val="18"/>
                <w:szCs w:val="18"/>
                <w:color w:val="auto"/>
              </w:rPr>
              <w:t>years ended December 31, 2017, 2016 and 2015,</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8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respectively)</w:t>
            </w:r>
          </w:p>
        </w:tc>
        <w:tc>
          <w:tcPr>
            <w:tcW w:w="9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120" w:type="dxa"/>
            <w:vAlign w:val="bottom"/>
            <w:tcBorders>
              <w:bottom w:val="single" w:sz="8" w:color="CFF0FC"/>
            </w:tcBorders>
          </w:tcPr>
          <w:p>
            <w:pPr>
              <w:spacing w:after="0"/>
              <w:rPr>
                <w:sz w:val="20"/>
                <w:szCs w:val="20"/>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9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341,552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313,825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959,342</w:t>
            </w:r>
          </w:p>
        </w:tc>
        <w:tc>
          <w:tcPr>
            <w:tcW w:w="120" w:type="dxa"/>
            <w:vAlign w:val="bottom"/>
          </w:tcPr>
          <w:p>
            <w:pPr>
              <w:spacing w:after="0"/>
              <w:rPr>
                <w:sz w:val="19"/>
                <w:szCs w:val="19"/>
                <w:color w:val="auto"/>
              </w:rPr>
            </w:pPr>
          </w:p>
        </w:tc>
      </w:tr>
      <w:tr>
        <w:trPr>
          <w:trHeight w:val="211"/>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8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9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6,265</w:t>
            </w:r>
          </w:p>
        </w:tc>
        <w:tc>
          <w:tcPr>
            <w:tcW w:w="2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5,993</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FF0FC"/>
          </w:tcPr>
          <w:p>
            <w:pPr>
              <w:spacing w:after="0"/>
              <w:rPr>
                <w:sz w:val="20"/>
                <w:szCs w:val="20"/>
                <w:color w:val="auto"/>
              </w:rPr>
            </w:pPr>
          </w:p>
        </w:tc>
      </w:tr>
      <w:tr>
        <w:trPr>
          <w:trHeight w:val="205"/>
        </w:trPr>
        <w:tc>
          <w:tcPr>
            <w:tcW w:w="588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8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335,287</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307,832</w:t>
            </w:r>
          </w:p>
        </w:tc>
        <w:tc>
          <w:tcPr>
            <w:tcW w:w="240" w:type="dxa"/>
            <w:vAlign w:val="bottom"/>
          </w:tcPr>
          <w:p>
            <w:pPr>
              <w:spacing w:after="0"/>
              <w:rPr>
                <w:sz w:val="20"/>
                <w:szCs w:val="20"/>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952,783</w:t>
            </w:r>
          </w:p>
        </w:tc>
        <w:tc>
          <w:tcPr>
            <w:tcW w:w="120" w:type="dxa"/>
            <w:vAlign w:val="bottom"/>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7"/>
              <w:spacing w:after="0" w:line="143" w:lineRule="exact"/>
              <w:rPr>
                <w:sz w:val="20"/>
                <w:szCs w:val="20"/>
                <w:color w:val="auto"/>
              </w:rPr>
            </w:pPr>
            <w:r>
              <w:rPr>
                <w:rFonts w:ascii="Arial" w:cs="Arial" w:eastAsia="Arial" w:hAnsi="Arial"/>
                <w:sz w:val="13"/>
                <w:szCs w:val="13"/>
                <w:b w:val="1"/>
                <w:bCs w:val="1"/>
                <w:color w:val="auto"/>
              </w:rPr>
              <w:t>2016</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7"/>
              <w:spacing w:after="0" w:line="143"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FROM OPERATING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259,847</w:t>
            </w:r>
          </w:p>
        </w:tc>
        <w:tc>
          <w:tcPr>
            <w:tcW w:w="140" w:type="dxa"/>
            <w:vAlign w:val="bottom"/>
          </w:tcPr>
          <w:p>
            <w:pPr>
              <w:spacing w:after="0"/>
              <w:rPr>
                <w:sz w:val="12"/>
                <w:szCs w:val="12"/>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393,692</w:t>
            </w:r>
          </w:p>
        </w:tc>
        <w:tc>
          <w:tcPr>
            <w:tcW w:w="300" w:type="dxa"/>
            <w:vAlign w:val="bottom"/>
          </w:tcPr>
          <w:p>
            <w:pPr>
              <w:spacing w:after="0"/>
              <w:rPr>
                <w:sz w:val="12"/>
                <w:szCs w:val="12"/>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992,932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20" w:type="dxa"/>
            <w:vAlign w:val="bottom"/>
            <w:shd w:val="clear" w:color="auto" w:fill="CFF0FC"/>
          </w:tcPr>
          <w:p>
            <w:pPr>
              <w:ind w:left="240"/>
              <w:spacing w:after="0" w:line="134" w:lineRule="exact"/>
              <w:rPr>
                <w:sz w:val="20"/>
                <w:szCs w:val="20"/>
                <w:color w:val="auto"/>
              </w:rPr>
            </w:pPr>
            <w:r>
              <w:rPr>
                <w:rFonts w:ascii="Arial" w:cs="Arial" w:eastAsia="Arial" w:hAnsi="Arial"/>
                <w:sz w:val="13"/>
                <w:szCs w:val="13"/>
                <w:color w:val="auto"/>
              </w:rPr>
              <w:t>Adjustments to reconcile net income to net cash provided by (used in)</w:t>
            </w:r>
          </w:p>
        </w:tc>
        <w:tc>
          <w:tcPr>
            <w:tcW w:w="8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320"/>
              <w:spacing w:after="0"/>
              <w:rPr>
                <w:sz w:val="20"/>
                <w:szCs w:val="20"/>
                <w:color w:val="auto"/>
              </w:rPr>
            </w:pPr>
            <w:r>
              <w:rPr>
                <w:rFonts w:ascii="Arial" w:cs="Arial" w:eastAsia="Arial" w:hAnsi="Arial"/>
                <w:sz w:val="13"/>
                <w:szCs w:val="13"/>
                <w:color w:val="auto"/>
              </w:rPr>
              <w:t>operating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Depreciation and amortization of property</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31,498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33,264</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32,785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Amortization of deferred expenses and share-based incentive compensation</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359,381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341,825</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320,472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Amortization and other acquisition-related costs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9,514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35,247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Deferred tax provision (benefit)</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501,163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63,660</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(1,100,785)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Provision (benefit) pursuant to tax receivable agreement</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(202,546)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547,691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Loss on extinguishment of debt</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3,148</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60,219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Gain on acquisition of portion of business already owned</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(12,668)</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Gain on disposal of subsidiaries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(24,388)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40"/>
              <w:spacing w:after="0"/>
              <w:rPr>
                <w:sz w:val="20"/>
                <w:szCs w:val="20"/>
                <w:color w:val="auto"/>
              </w:rPr>
            </w:pPr>
            <w:r>
              <w:rPr>
                <w:rFonts w:ascii="Arial" w:cs="Arial" w:eastAsia="Arial" w:hAnsi="Arial"/>
                <w:sz w:val="13"/>
                <w:szCs w:val="13"/>
                <w:color w:val="auto"/>
              </w:rPr>
              <w:t>(Increase) decrease in operating assets: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Deposits with banks and short-term investments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(430,388)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(44,278)</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(207,373)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20" w:type="dxa"/>
            <w:vAlign w:val="bottom"/>
          </w:tcPr>
          <w:p>
            <w:pPr>
              <w:ind w:left="480"/>
              <w:spacing w:after="0" w:line="134" w:lineRule="exact"/>
              <w:rPr>
                <w:sz w:val="20"/>
                <w:szCs w:val="20"/>
                <w:color w:val="auto"/>
              </w:rPr>
            </w:pPr>
            <w:r>
              <w:rPr>
                <w:rFonts w:ascii="Arial" w:cs="Arial" w:eastAsia="Arial" w:hAnsi="Arial"/>
                <w:sz w:val="13"/>
                <w:szCs w:val="13"/>
                <w:color w:val="auto"/>
              </w:rPr>
              <w:t>Cash deposited with clearing organizations and other segregated</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580"/>
              <w:spacing w:after="0"/>
              <w:rPr>
                <w:sz w:val="20"/>
                <w:szCs w:val="20"/>
                <w:color w:val="auto"/>
              </w:rPr>
            </w:pPr>
            <w:r>
              <w:rPr>
                <w:rFonts w:ascii="Arial" w:cs="Arial" w:eastAsia="Arial" w:hAnsi="Arial"/>
                <w:sz w:val="13"/>
                <w:szCs w:val="13"/>
                <w:color w:val="auto"/>
              </w:rPr>
              <w:t>cash</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(5,170)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5,767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Receivables-net</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95,976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(156,129)</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Investments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28,922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71,552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64,159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Other assets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(80,550)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(55,611)</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(90,138)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40"/>
              <w:spacing w:after="0"/>
              <w:rPr>
                <w:sz w:val="20"/>
                <w:szCs w:val="20"/>
                <w:color w:val="auto"/>
              </w:rPr>
            </w:pPr>
            <w:r>
              <w:rPr>
                <w:rFonts w:ascii="Arial" w:cs="Arial" w:eastAsia="Arial" w:hAnsi="Arial"/>
                <w:sz w:val="13"/>
                <w:szCs w:val="13"/>
                <w:color w:val="auto"/>
              </w:rPr>
              <w:t>Increase (decrease) in operating liabilities: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Deposits and other payables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428,826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(17,095)</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225,008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Accrued compensation and benefits and other liabilities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18,969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(61,087)</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20,839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top w:val="single" w:sz="8" w:color="CFF0FC"/>
            </w:tcBorders>
            <w:shd w:val="clear" w:color="auto" w:fill="CFF0FC"/>
          </w:tcPr>
          <w:p>
            <w:pPr>
              <w:ind w:left="720"/>
              <w:spacing w:after="0" w:line="143" w:lineRule="exact"/>
              <w:rPr>
                <w:sz w:val="20"/>
                <w:szCs w:val="20"/>
                <w:color w:val="auto"/>
              </w:rPr>
            </w:pPr>
            <w:r>
              <w:rPr>
                <w:rFonts w:ascii="Arial" w:cs="Arial" w:eastAsia="Arial" w:hAnsi="Arial"/>
                <w:sz w:val="13"/>
                <w:szCs w:val="13"/>
                <w:color w:val="auto"/>
              </w:rPr>
              <w:t>Net cash provided by operating activities</w:t>
            </w:r>
          </w:p>
        </w:tc>
        <w:tc>
          <w:tcPr>
            <w:tcW w:w="8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6"/>
              </w:rPr>
              <w:t>1,015,442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601,287</w:t>
            </w:r>
          </w:p>
        </w:tc>
        <w:tc>
          <w:tcPr>
            <w:tcW w:w="3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887,296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Additions to property</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(27,670)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(38,749)</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Disposals of property</w:t>
            </w:r>
          </w:p>
        </w:tc>
        <w:tc>
          <w:tcPr>
            <w:tcW w:w="8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FF0FC"/>
          </w:tcPr>
          <w:p>
            <w:pPr>
              <w:ind w:left="720"/>
              <w:spacing w:after="0" w:line="143" w:lineRule="exact"/>
              <w:rPr>
                <w:sz w:val="20"/>
                <w:szCs w:val="20"/>
                <w:color w:val="auto"/>
              </w:rPr>
            </w:pPr>
            <w:r>
              <w:rPr>
                <w:rFonts w:ascii="Arial" w:cs="Arial" w:eastAsia="Arial" w:hAnsi="Arial"/>
                <w:sz w:val="13"/>
                <w:szCs w:val="13"/>
                <w:color w:val="auto"/>
              </w:rPr>
              <w:t>Net cash used in investing activities</w:t>
            </w: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(26,920)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(37,653)</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(25,952)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CASH FLOWS FROM FINANCING ACTIVITIES:</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Contributions from noncontrolling interests</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Issuance of senior debt, net of expenses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296,757</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396,272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Excess tax benefits from share-based incentive compensation</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4,071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Other financing activities</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24,484</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240"/>
              <w:spacing w:after="0"/>
              <w:rPr>
                <w:sz w:val="20"/>
                <w:szCs w:val="20"/>
                <w:color w:val="auto"/>
              </w:rPr>
            </w:pPr>
            <w:r>
              <w:rPr>
                <w:rFonts w:ascii="Arial" w:cs="Arial" w:eastAsia="Arial" w:hAnsi="Arial"/>
                <w:sz w:val="13"/>
                <w:szCs w:val="13"/>
                <w:color w:val="auto"/>
              </w:rPr>
              <w:t>Payments for:</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Senior debt</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(101,441)</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(509,098)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Capital lease obligations</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(7,337)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(1,619)</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Distributions to noncontrolling interests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(5,193)</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(2,111)</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Payments under tax receivable agreement</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(789)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(10,086)</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Partial extinguishment of tax receivable agreement obligation</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(42,222)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Purchase of Class A common stock</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(306,741)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(300,217)</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(172,772)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Class A common stock dividends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(341,450)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(336,138)</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(290,684)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ind w:left="480"/>
              <w:spacing w:after="0"/>
              <w:rPr>
                <w:sz w:val="20"/>
                <w:szCs w:val="20"/>
                <w:color w:val="auto"/>
              </w:rPr>
            </w:pPr>
            <w:r>
              <w:rPr>
                <w:rFonts w:ascii="Arial" w:cs="Arial" w:eastAsia="Arial" w:hAnsi="Arial"/>
                <w:sz w:val="13"/>
                <w:szCs w:val="13"/>
                <w:color w:val="auto"/>
              </w:rPr>
              <w:t>Settlement of vested share-based incentive compensation</w:t>
            </w:r>
          </w:p>
        </w:tc>
        <w:tc>
          <w:tcPr>
            <w:tcW w:w="8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(67,899)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(56,078)</w:t>
            </w: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(120,116)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Other financing activities</w:t>
            </w:r>
          </w:p>
        </w:tc>
        <w:tc>
          <w:tcPr>
            <w:tcW w:w="8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(10,984)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(4,667)</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(2,361)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FF0FC"/>
            </w:tcBorders>
          </w:tcPr>
          <w:p>
            <w:pPr>
              <w:ind w:left="720"/>
              <w:spacing w:after="0" w:line="143" w:lineRule="exact"/>
              <w:rPr>
                <w:sz w:val="20"/>
                <w:szCs w:val="20"/>
                <w:color w:val="auto"/>
              </w:rPr>
            </w:pPr>
            <w:r>
              <w:rPr>
                <w:rFonts w:ascii="Arial" w:cs="Arial" w:eastAsia="Arial" w:hAnsi="Arial"/>
                <w:sz w:val="13"/>
                <w:szCs w:val="13"/>
                <w:color w:val="auto"/>
              </w:rPr>
              <w:t>Net cash used in financing activities</w:t>
            </w:r>
          </w:p>
        </w:tc>
        <w:tc>
          <w:tcPr>
            <w:tcW w:w="8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(740,393)</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(486,952)</w:t>
            </w:r>
          </w:p>
        </w:tc>
        <w:tc>
          <w:tcPr>
            <w:tcW w:w="30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(746,804)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EFFECT OF EXCHANGE RATE CHANGES ON CASH</w:t>
            </w: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76,922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(49,980)</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(49,037)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NET INCREASE IN CASH AND CASH EQUIVALENTS</w:t>
            </w:r>
          </w:p>
        </w:tc>
        <w:tc>
          <w:tcPr>
            <w:tcW w:w="8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3"/>
                <w:szCs w:val="13"/>
                <w:color w:val="auto"/>
              </w:rPr>
              <w:t>325,051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26,702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65,503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AND CASH EQUIVALENTS—January 1</w:t>
            </w:r>
          </w:p>
        </w:tc>
        <w:tc>
          <w:tcPr>
            <w:tcW w:w="8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6"/>
              </w:rPr>
              <w:t>1,158,785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1,132,083</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1,066,580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4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CASH AND CASH EQUIVALENTS—December 31</w:t>
            </w:r>
          </w:p>
        </w:tc>
        <w:tc>
          <w:tcPr>
            <w:tcW w:w="800" w:type="dxa"/>
            <w:vAlign w:val="bottom"/>
            <w:tcBorders>
              <w:bottom w:val="single" w:sz="8" w:color="auto"/>
            </w:tcBorders>
          </w:tcPr>
          <w:p>
            <w:pPr>
              <w:jc w:val="right"/>
              <w:ind w:right="657"/>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1,483,836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1,158,785</w:t>
            </w:r>
          </w:p>
        </w:tc>
        <w:tc>
          <w:tcPr>
            <w:tcW w:w="300" w:type="dxa"/>
            <w:vAlign w:val="bottom"/>
          </w:tcPr>
          <w:p>
            <w:pPr>
              <w:spacing w:after="0"/>
              <w:rPr>
                <w:sz w:val="15"/>
                <w:szCs w:val="15"/>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1,132,083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72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720" w:type="dxa"/>
            <w:vAlign w:val="bottom"/>
          </w:tcPr>
          <w:p>
            <w:pPr>
              <w:spacing w:after="0" w:line="131" w:lineRule="exact"/>
              <w:rPr>
                <w:sz w:val="20"/>
                <w:szCs w:val="20"/>
                <w:color w:val="auto"/>
              </w:rPr>
            </w:pPr>
            <w:r>
              <w:rPr>
                <w:rFonts w:ascii="Arial" w:cs="Arial" w:eastAsia="Arial" w:hAnsi="Arial"/>
                <w:sz w:val="13"/>
                <w:szCs w:val="13"/>
                <w:b w:val="1"/>
                <w:bCs w:val="1"/>
                <w:color w:val="auto"/>
              </w:rPr>
              <w:t>SUPPLEMENTAL DISCLOSURES OF CASH FLOW</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20" w:type="dxa"/>
            <w:vAlign w:val="bottom"/>
          </w:tcPr>
          <w:p>
            <w:pPr>
              <w:ind w:left="80"/>
              <w:spacing w:after="0"/>
              <w:rPr>
                <w:sz w:val="20"/>
                <w:szCs w:val="20"/>
                <w:color w:val="auto"/>
              </w:rPr>
            </w:pPr>
            <w:r>
              <w:rPr>
                <w:rFonts w:ascii="Arial" w:cs="Arial" w:eastAsia="Arial" w:hAnsi="Arial"/>
                <w:sz w:val="13"/>
                <w:szCs w:val="13"/>
                <w:b w:val="1"/>
                <w:bCs w:val="1"/>
                <w:color w:val="auto"/>
              </w:rPr>
              <w:t>INFORMATION:</w:t>
            </w: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paid during the year for:</w:t>
            </w:r>
          </w:p>
        </w:tc>
        <w:tc>
          <w:tcPr>
            <w:tcW w:w="8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Interest</w:t>
            </w:r>
          </w:p>
        </w:tc>
        <w:tc>
          <w:tcPr>
            <w:tcW w:w="8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49,601</w:t>
            </w:r>
          </w:p>
        </w:tc>
        <w:tc>
          <w:tcPr>
            <w:tcW w:w="1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46,262</w:t>
            </w:r>
          </w:p>
        </w:tc>
        <w:tc>
          <w:tcPr>
            <w:tcW w:w="3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45,359</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20" w:type="dxa"/>
            <w:vAlign w:val="bottom"/>
            <w:tcBorders>
              <w:bottom w:val="single" w:sz="8" w:color="CFF0FC"/>
            </w:tcBorders>
            <w:shd w:val="clear" w:color="auto" w:fill="CFF0FC"/>
          </w:tcPr>
          <w:p>
            <w:pPr>
              <w:ind w:left="240"/>
              <w:spacing w:after="0" w:line="129" w:lineRule="exact"/>
              <w:rPr>
                <w:sz w:val="20"/>
                <w:szCs w:val="20"/>
                <w:color w:val="auto"/>
              </w:rPr>
            </w:pPr>
            <w:r>
              <w:rPr>
                <w:rFonts w:ascii="Arial" w:cs="Arial" w:eastAsia="Arial" w:hAnsi="Arial"/>
                <w:sz w:val="13"/>
                <w:szCs w:val="13"/>
                <w:color w:val="auto"/>
              </w:rPr>
              <w:t>Income taxes, net of refunds</w:t>
            </w:r>
          </w:p>
        </w:tc>
        <w:tc>
          <w:tcPr>
            <w:tcW w:w="800" w:type="dxa"/>
            <w:vAlign w:val="bottom"/>
            <w:tcBorders>
              <w:bottom w:val="single" w:sz="8" w:color="auto"/>
            </w:tcBorders>
            <w:shd w:val="clear" w:color="auto" w:fill="CFF0FC"/>
          </w:tcPr>
          <w:p>
            <w:pPr>
              <w:jc w:val="right"/>
              <w:ind w:right="657"/>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48,738</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72,420</w:t>
            </w:r>
          </w:p>
        </w:tc>
        <w:tc>
          <w:tcPr>
            <w:tcW w:w="3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60,716</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Other</w:t>
            </w:r>
          </w:p>
        </w:tc>
        <w:tc>
          <w:tcPr>
            <w:tcW w:w="170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Class A</w:t>
            </w:r>
          </w:p>
        </w:tc>
        <w:tc>
          <w:tcPr>
            <w:tcW w:w="12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60" w:type="dxa"/>
            <w:vAlign w:val="bottom"/>
            <w:gridSpan w:val="3"/>
          </w:tcPr>
          <w:p>
            <w:pPr>
              <w:jc w:val="center"/>
              <w:ind w:left="213"/>
              <w:spacing w:after="0"/>
              <w:rPr>
                <w:sz w:val="20"/>
                <w:szCs w:val="20"/>
                <w:color w:val="auto"/>
              </w:rPr>
            </w:pPr>
            <w:r>
              <w:rPr>
                <w:rFonts w:ascii="Arial" w:cs="Arial" w:eastAsia="Arial" w:hAnsi="Arial"/>
                <w:sz w:val="13"/>
                <w:szCs w:val="13"/>
                <w:b w:val="1"/>
                <w:bCs w:val="1"/>
                <w:color w:val="auto"/>
                <w:w w:val="84"/>
              </w:rPr>
              <w:t>Series 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Comprehensive</w:t>
            </w:r>
          </w:p>
        </w:tc>
        <w:tc>
          <w:tcPr>
            <w:tcW w:w="17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Common Stock</w:t>
            </w: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Lazard Ltd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8"/>
              </w:rPr>
              <w:t>Preferred Stock</w:t>
            </w:r>
          </w:p>
        </w:tc>
        <w:tc>
          <w:tcPr>
            <w:tcW w:w="1420" w:type="dxa"/>
            <w:vAlign w:val="bottom"/>
            <w:gridSpan w:val="3"/>
          </w:tcPr>
          <w:p>
            <w:pPr>
              <w:ind w:left="3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7"/>
              </w:rPr>
              <w:t>Retained</w:t>
            </w: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Income (Loss),</w:t>
            </w:r>
          </w:p>
        </w:tc>
        <w:tc>
          <w:tcPr>
            <w:tcW w:w="17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Held By Subsidiaries</w:t>
            </w: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6"/>
              </w:rPr>
              <w:t>Stockholders’</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11"/>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3"/>
                <w:szCs w:val="13"/>
                <w:b w:val="1"/>
                <w:bCs w:val="1"/>
                <w:color w:val="auto"/>
              </w:rPr>
              <w:t>Shares (*)</w:t>
            </w:r>
          </w:p>
        </w:tc>
        <w:tc>
          <w:tcPr>
            <w:tcW w:w="140" w:type="dxa"/>
            <w:vAlign w:val="bottom"/>
            <w:tcBorders>
              <w:top w:val="single" w:sz="8" w:color="auto"/>
              <w:bottom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2"/>
              </w:rPr>
              <w:t>$</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0"/>
              <w:spacing w:after="0" w:line="143"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
              <w:spacing w:after="0" w:line="143" w:lineRule="exact"/>
              <w:rPr>
                <w:sz w:val="20"/>
                <w:szCs w:val="20"/>
                <w:color w:val="auto"/>
              </w:rPr>
            </w:pPr>
            <w:r>
              <w:rPr>
                <w:rFonts w:ascii="Arial" w:cs="Arial" w:eastAsia="Arial" w:hAnsi="Arial"/>
                <w:sz w:val="13"/>
                <w:szCs w:val="13"/>
                <w:b w:val="1"/>
                <w:bCs w:val="1"/>
                <w:color w:val="auto"/>
                <w:w w:val="86"/>
              </w:rPr>
              <w:t>Earnings</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52"/>
              <w:spacing w:after="0" w:line="143" w:lineRule="exact"/>
              <w:rPr>
                <w:sz w:val="20"/>
                <w:szCs w:val="20"/>
                <w:color w:val="auto"/>
              </w:rPr>
            </w:pPr>
            <w:r>
              <w:rPr>
                <w:rFonts w:ascii="Arial" w:cs="Arial" w:eastAsia="Arial" w:hAnsi="Arial"/>
                <w:sz w:val="13"/>
                <w:szCs w:val="13"/>
                <w:b w:val="1"/>
                <w:bCs w:val="1"/>
                <w:color w:val="auto"/>
                <w:w w:val="85"/>
              </w:rPr>
              <w:t>Net of Tax</w:t>
            </w:r>
          </w:p>
        </w:tc>
        <w:tc>
          <w:tcPr>
            <w:tcW w:w="16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3"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0"/>
              <w:spacing w:after="0" w:line="143"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49"/>
              <w:spacing w:after="0" w:line="143" w:lineRule="exact"/>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0"/>
              <w:spacing w:after="0" w:line="143" w:lineRule="exact"/>
              <w:rPr>
                <w:sz w:val="20"/>
                <w:szCs w:val="20"/>
                <w:color w:val="auto"/>
              </w:rPr>
            </w:pPr>
            <w:r>
              <w:rPr>
                <w:rFonts w:ascii="Arial" w:cs="Arial" w:eastAsia="Arial" w:hAnsi="Arial"/>
                <w:sz w:val="13"/>
                <w:szCs w:val="13"/>
                <w:b w:val="1"/>
                <w:bCs w:val="1"/>
                <w:color w:val="auto"/>
                <w:w w:val="92"/>
              </w:rPr>
              <w:t>Interests</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9"/>
              <w:spacing w:after="0" w:line="14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 January 1,</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7,921</w:t>
            </w:r>
          </w:p>
        </w:tc>
        <w:tc>
          <w:tcPr>
            <w:tcW w:w="3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129,766,091</w:t>
            </w:r>
          </w:p>
        </w:tc>
        <w:tc>
          <w:tcPr>
            <w:tcW w:w="14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8"/>
              </w:rPr>
              <w:t>$ 1,298</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702,800</w:t>
            </w:r>
          </w:p>
        </w:tc>
        <w:tc>
          <w:tcPr>
            <w:tcW w:w="16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464,655</w:t>
            </w: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(200,766)</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7,450,745</w:t>
            </w:r>
          </w:p>
        </w:tc>
        <w:tc>
          <w:tcPr>
            <w:tcW w:w="160" w:type="dxa"/>
            <w:vAlign w:val="bottom"/>
            <w:tcBorders>
              <w:righ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94"/>
              </w:rPr>
              <w:t>$ (261,243)</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706,744</w:t>
            </w:r>
          </w:p>
        </w:tc>
        <w:tc>
          <w:tcPr>
            <w:tcW w:w="1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63,313</w:t>
            </w:r>
          </w:p>
        </w:tc>
        <w:tc>
          <w:tcPr>
            <w:tcW w:w="1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CFF0FC"/>
            </w:tcBorders>
            <w:vMerge w:val="restart"/>
            <w:shd w:val="clear" w:color="auto" w:fill="CFF0FC"/>
          </w:tcPr>
          <w:p>
            <w:pPr>
              <w:jc w:val="right"/>
              <w:ind w:right="9"/>
              <w:spacing w:after="0"/>
              <w:rPr>
                <w:sz w:val="20"/>
                <w:szCs w:val="20"/>
                <w:color w:val="auto"/>
              </w:rPr>
            </w:pPr>
            <w:r>
              <w:rPr>
                <w:rFonts w:ascii="Arial" w:cs="Arial" w:eastAsia="Arial" w:hAnsi="Arial"/>
                <w:sz w:val="14"/>
                <w:szCs w:val="14"/>
                <w:b w:val="1"/>
                <w:bCs w:val="1"/>
                <w:color w:val="auto"/>
              </w:rPr>
              <w:t>770,057</w:t>
            </w:r>
          </w:p>
        </w:tc>
        <w:tc>
          <w:tcPr>
            <w:tcW w:w="0" w:type="dxa"/>
            <w:vAlign w:val="bottom"/>
          </w:tcPr>
          <w:p>
            <w:pPr>
              <w:spacing w:after="0"/>
              <w:rPr>
                <w:sz w:val="1"/>
                <w:szCs w:val="1"/>
                <w:color w:val="auto"/>
              </w:rPr>
            </w:pPr>
          </w:p>
        </w:tc>
      </w:tr>
      <w:tr>
        <w:trPr>
          <w:trHeight w:val="171"/>
        </w:trPr>
        <w:tc>
          <w:tcPr>
            <w:tcW w:w="1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2015</w:t>
            </w:r>
          </w:p>
        </w:tc>
        <w:tc>
          <w:tcPr>
            <w:tcW w:w="46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rPr>
              <w:t>Comprehensive income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20"/>
                <w:szCs w:val="20"/>
                <w:color w:val="auto"/>
              </w:rPr>
            </w:pPr>
            <w:r>
              <w:rPr>
                <w:rFonts w:ascii="Arial" w:cs="Arial" w:eastAsia="Arial" w:hAnsi="Arial"/>
                <w:sz w:val="14"/>
                <w:szCs w:val="14"/>
                <w:color w:val="auto"/>
              </w:rPr>
              <w:t>(loss):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986,373</w:t>
            </w: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986,373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992,932</w:t>
            </w:r>
          </w:p>
        </w:tc>
        <w:tc>
          <w:tcPr>
            <w:tcW w:w="0" w:type="dxa"/>
            <w:vAlign w:val="bottom"/>
          </w:tcPr>
          <w:p>
            <w:pPr>
              <w:spacing w:after="0"/>
              <w:rPr>
                <w:sz w:val="1"/>
                <w:szCs w:val="1"/>
                <w:color w:val="auto"/>
              </w:rPr>
            </w:pPr>
          </w:p>
        </w:tc>
      </w:tr>
      <w:tr>
        <w:trPr>
          <w:trHeight w:val="143"/>
        </w:trPr>
        <w:tc>
          <w:tcPr>
            <w:tcW w:w="1580" w:type="dxa"/>
            <w:vAlign w:val="bottom"/>
          </w:tcPr>
          <w:p>
            <w:pPr>
              <w:ind w:left="260"/>
              <w:spacing w:after="0" w:line="143" w:lineRule="exact"/>
              <w:rPr>
                <w:sz w:val="20"/>
                <w:szCs w:val="20"/>
                <w:color w:val="auto"/>
              </w:rPr>
            </w:pPr>
            <w:r>
              <w:rPr>
                <w:rFonts w:ascii="Arial" w:cs="Arial" w:eastAsia="Arial" w:hAnsi="Arial"/>
                <w:sz w:val="14"/>
                <w:szCs w:val="14"/>
                <w:color w:val="auto"/>
                <w:w w:val="97"/>
              </w:rPr>
              <w:t>Other comprehensive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60"/>
              <w:spacing w:after="0"/>
              <w:rPr>
                <w:sz w:val="20"/>
                <w:szCs w:val="20"/>
                <w:color w:val="auto"/>
              </w:rPr>
            </w:pPr>
            <w:r>
              <w:rPr>
                <w:rFonts w:ascii="Arial" w:cs="Arial" w:eastAsia="Arial" w:hAnsi="Arial"/>
                <w:sz w:val="14"/>
                <w:szCs w:val="14"/>
                <w:color w:val="auto"/>
              </w:rPr>
              <w:t>loss - net of tax</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(33,590)</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(33,590)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(33,590)</w:t>
            </w:r>
          </w:p>
        </w:tc>
        <w:tc>
          <w:tcPr>
            <w:tcW w:w="0" w:type="dxa"/>
            <w:vAlign w:val="bottom"/>
          </w:tcPr>
          <w:p>
            <w:pPr>
              <w:spacing w:after="0"/>
              <w:rPr>
                <w:sz w:val="1"/>
                <w:szCs w:val="1"/>
                <w:color w:val="auto"/>
              </w:rPr>
            </w:pPr>
          </w:p>
        </w:tc>
      </w:tr>
      <w:tr>
        <w:trPr>
          <w:trHeight w:val="143"/>
        </w:trPr>
        <w:tc>
          <w:tcPr>
            <w:tcW w:w="1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based incentive</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226,723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226,723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226,723</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34,255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(36,616)</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(2,361)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143"/>
        </w:trPr>
        <w:tc>
          <w:tcPr>
            <w:tcW w:w="1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Class A common stock</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20"/>
                <w:szCs w:val="20"/>
                <w:color w:val="auto"/>
              </w:rPr>
            </w:pPr>
            <w:r>
              <w:rPr>
                <w:rFonts w:ascii="Arial" w:cs="Arial" w:eastAsia="Arial" w:hAnsi="Arial"/>
                <w:sz w:val="14"/>
                <w:szCs w:val="14"/>
                <w:color w:val="auto"/>
              </w:rPr>
              <w:t>dividends</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(290,684)</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(290,684)</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(290,684)</w:t>
            </w: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rPr>
              <w:t>Purchase of Class A</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20"/>
                <w:szCs w:val="20"/>
                <w:color w:val="auto"/>
              </w:rPr>
            </w:pPr>
            <w:r>
              <w:rPr>
                <w:rFonts w:ascii="Arial" w:cs="Arial" w:eastAsia="Arial" w:hAnsi="Arial"/>
                <w:sz w:val="14"/>
                <w:szCs w:val="14"/>
                <w:color w:val="auto"/>
              </w:rPr>
              <w:t>common stock</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3,438,789</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(172,772)</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(172,772)</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(172,772)</w:t>
            </w:r>
          </w:p>
        </w:tc>
        <w:tc>
          <w:tcPr>
            <w:tcW w:w="0" w:type="dxa"/>
            <w:vAlign w:val="bottom"/>
          </w:tcPr>
          <w:p>
            <w:pPr>
              <w:spacing w:after="0"/>
              <w:rPr>
                <w:sz w:val="1"/>
                <w:szCs w:val="1"/>
                <w:color w:val="auto"/>
              </w:rPr>
            </w:pPr>
          </w:p>
        </w:tc>
      </w:tr>
      <w:tr>
        <w:trPr>
          <w:trHeight w:val="143"/>
        </w:trPr>
        <w:tc>
          <w:tcPr>
            <w:tcW w:w="1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Delivery of Class A</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common stock in</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share-</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based incentive</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compensation and</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related tax benefit</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$13,138</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(362,417)</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(6,608,837)</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255,439</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(106,978)</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(106,978)</w:t>
            </w: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w w:val="96"/>
              </w:rPr>
              <w:t>Business acquisitions and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related equity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Delivery of Class A</w:t>
            </w: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w:t>
            </w: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(27,316)</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1,327</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rPr>
              <w:t>Distributions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20"/>
                <w:szCs w:val="20"/>
                <w:color w:val="auto"/>
              </w:rPr>
            </w:pPr>
            <w:r>
              <w:rPr>
                <w:rFonts w:ascii="Arial" w:cs="Arial" w:eastAsia="Arial" w:hAnsi="Arial"/>
                <w:sz w:val="14"/>
                <w:szCs w:val="14"/>
                <w:color w:val="auto"/>
              </w:rPr>
              <w:t>net</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(16,021)</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(16,021)</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FF0FC"/>
          </w:tcPr>
          <w:p>
            <w:pPr>
              <w:spacing w:after="0" w:line="153" w:lineRule="exact"/>
              <w:rPr>
                <w:sz w:val="20"/>
                <w:szCs w:val="20"/>
                <w:color w:val="auto"/>
              </w:rPr>
            </w:pPr>
            <w:r>
              <w:rPr>
                <w:rFonts w:ascii="Arial" w:cs="Arial" w:eastAsia="Arial" w:hAnsi="Arial"/>
                <w:sz w:val="14"/>
                <w:szCs w:val="14"/>
                <w:b w:val="1"/>
                <w:bCs w:val="1"/>
                <w:color w:val="auto"/>
                <w:w w:val="99"/>
              </w:rPr>
              <w:t>Balance - December 31,</w:t>
            </w: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vMerge w:val="continue"/>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7,921</w:t>
            </w:r>
          </w:p>
        </w:tc>
        <w:tc>
          <w:tcPr>
            <w:tcW w:w="3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129,766,091</w:t>
            </w:r>
          </w:p>
        </w:tc>
        <w:tc>
          <w:tcPr>
            <w:tcW w:w="14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8"/>
              </w:rPr>
              <w:t>$ 1,298</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600,034</w:t>
            </w:r>
          </w:p>
        </w:tc>
        <w:tc>
          <w:tcPr>
            <w:tcW w:w="16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93"/>
              </w:rPr>
              <w:t>1,123,728</w:t>
            </w: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(234,356)</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4,253,381</w:t>
            </w:r>
          </w:p>
        </w:tc>
        <w:tc>
          <w:tcPr>
            <w:tcW w:w="160" w:type="dxa"/>
            <w:vAlign w:val="bottom"/>
            <w:tcBorders>
              <w:righ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94"/>
              </w:rPr>
              <w:t>$ (177,249)</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96"/>
              </w:rPr>
              <w:t>1,313,455</w:t>
            </w:r>
          </w:p>
        </w:tc>
        <w:tc>
          <w:tcPr>
            <w:tcW w:w="1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53,851</w:t>
            </w:r>
          </w:p>
        </w:tc>
        <w:tc>
          <w:tcPr>
            <w:tcW w:w="1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CFF0FC"/>
            </w:tcBorders>
            <w:vMerge w:val="restart"/>
            <w:shd w:val="clear" w:color="auto" w:fill="CFF0FC"/>
          </w:tcPr>
          <w:p>
            <w:pPr>
              <w:jc w:val="right"/>
              <w:ind w:right="9"/>
              <w:spacing w:after="0"/>
              <w:rPr>
                <w:sz w:val="20"/>
                <w:szCs w:val="20"/>
                <w:color w:val="auto"/>
              </w:rPr>
            </w:pPr>
            <w:r>
              <w:rPr>
                <w:rFonts w:ascii="Arial" w:cs="Arial" w:eastAsia="Arial" w:hAnsi="Arial"/>
                <w:sz w:val="14"/>
                <w:szCs w:val="14"/>
                <w:b w:val="1"/>
                <w:bCs w:val="1"/>
                <w:color w:val="auto"/>
                <w:w w:val="96"/>
              </w:rPr>
              <w:t>1,367,306</w:t>
            </w:r>
          </w:p>
        </w:tc>
        <w:tc>
          <w:tcPr>
            <w:tcW w:w="0" w:type="dxa"/>
            <w:vAlign w:val="bottom"/>
          </w:tcPr>
          <w:p>
            <w:pPr>
              <w:spacing w:after="0"/>
              <w:rPr>
                <w:sz w:val="1"/>
                <w:szCs w:val="1"/>
                <w:color w:val="auto"/>
              </w:rPr>
            </w:pPr>
          </w:p>
        </w:tc>
      </w:tr>
      <w:tr>
        <w:trPr>
          <w:trHeight w:val="171"/>
        </w:trPr>
        <w:tc>
          <w:tcPr>
            <w:tcW w:w="1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2015</w:t>
            </w:r>
          </w:p>
        </w:tc>
        <w:tc>
          <w:tcPr>
            <w:tcW w:w="46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8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168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A</w:t>
            </w:r>
          </w:p>
        </w:tc>
        <w:tc>
          <w:tcPr>
            <w:tcW w:w="12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800" w:type="dxa"/>
            <w:vAlign w:val="bottom"/>
            <w:gridSpan w:val="4"/>
          </w:tcPr>
          <w:p>
            <w:pPr>
              <w:jc w:val="center"/>
              <w:ind w:left="213"/>
              <w:spacing w:after="0"/>
              <w:rPr>
                <w:sz w:val="20"/>
                <w:szCs w:val="20"/>
                <w:color w:val="auto"/>
              </w:rPr>
            </w:pPr>
            <w:r>
              <w:rPr>
                <w:rFonts w:ascii="Arial" w:cs="Arial" w:eastAsia="Arial" w:hAnsi="Arial"/>
                <w:sz w:val="13"/>
                <w:szCs w:val="13"/>
                <w:b w:val="1"/>
                <w:bCs w:val="1"/>
                <w:color w:val="auto"/>
                <w:w w:val="84"/>
              </w:rPr>
              <w:t>Series A</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Common Stock</w:t>
            </w:r>
          </w:p>
        </w:tc>
        <w:tc>
          <w:tcPr>
            <w:tcW w:w="9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Lazard Ltd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2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1440" w:type="dxa"/>
            <w:vAlign w:val="bottom"/>
            <w:gridSpan w:val="3"/>
          </w:tcPr>
          <w:p>
            <w:pPr>
              <w:ind w:left="3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3"/>
                <w:szCs w:val="13"/>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Income (Loss),</w:t>
            </w:r>
          </w:p>
        </w:tc>
        <w:tc>
          <w:tcPr>
            <w:tcW w:w="16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6"/>
              </w:rPr>
              <w:t>Held By Subsidiaries</w:t>
            </w:r>
          </w:p>
        </w:tc>
        <w:tc>
          <w:tcPr>
            <w:tcW w:w="9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FF0FC"/>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3"/>
                <w:szCs w:val="13"/>
                <w:b w:val="1"/>
                <w:bCs w:val="1"/>
                <w:color w:val="auto"/>
                <w:w w:val="92"/>
              </w:rPr>
              <w:t>Shares</w:t>
            </w:r>
          </w:p>
        </w:tc>
        <w:tc>
          <w:tcPr>
            <w:tcW w:w="100" w:type="dxa"/>
            <w:vAlign w:val="bottom"/>
            <w:tcBorders>
              <w:top w:val="single" w:sz="8" w:color="auto"/>
              <w:bottom w:val="single" w:sz="8" w:color="CFF0FC"/>
            </w:tcBorders>
          </w:tcPr>
          <w:p>
            <w:pPr>
              <w:spacing w:after="0"/>
              <w:rPr>
                <w:sz w:val="12"/>
                <w:szCs w:val="12"/>
                <w:color w:val="auto"/>
              </w:rPr>
            </w:pPr>
          </w:p>
        </w:tc>
        <w:tc>
          <w:tcPr>
            <w:tcW w:w="6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11"/>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3"/>
              <w:spacing w:after="0" w:line="143" w:lineRule="exact"/>
              <w:rPr>
                <w:sz w:val="20"/>
                <w:szCs w:val="20"/>
                <w:color w:val="auto"/>
              </w:rPr>
            </w:pPr>
            <w:r>
              <w:rPr>
                <w:rFonts w:ascii="Arial" w:cs="Arial" w:eastAsia="Arial" w:hAnsi="Arial"/>
                <w:sz w:val="13"/>
                <w:szCs w:val="13"/>
                <w:b w:val="1"/>
                <w:bCs w:val="1"/>
                <w:color w:val="auto"/>
              </w:rPr>
              <w:t>Shares (*)</w:t>
            </w:r>
          </w:p>
        </w:tc>
        <w:tc>
          <w:tcPr>
            <w:tcW w:w="160" w:type="dxa"/>
            <w:vAlign w:val="bottom"/>
            <w:tcBorders>
              <w:top w:val="single" w:sz="8" w:color="auto"/>
              <w:bottom w:val="single" w:sz="8" w:color="CFF0FC"/>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2"/>
              </w:rPr>
              <w:t>$</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0"/>
              <w:spacing w:after="0" w:line="143"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72"/>
              <w:spacing w:after="0" w:line="143" w:lineRule="exact"/>
              <w:rPr>
                <w:sz w:val="20"/>
                <w:szCs w:val="20"/>
                <w:color w:val="auto"/>
              </w:rPr>
            </w:pPr>
            <w:r>
              <w:rPr>
                <w:rFonts w:ascii="Arial" w:cs="Arial" w:eastAsia="Arial" w:hAnsi="Arial"/>
                <w:sz w:val="13"/>
                <w:szCs w:val="13"/>
                <w:b w:val="1"/>
                <w:bCs w:val="1"/>
                <w:color w:val="auto"/>
                <w:w w:val="89"/>
              </w:rPr>
              <w:t>Net of Tax</w:t>
            </w:r>
          </w:p>
        </w:tc>
        <w:tc>
          <w:tcPr>
            <w:tcW w:w="14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3"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bottom w:val="single" w:sz="8" w:color="CFF0FC"/>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0"/>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69"/>
              <w:spacing w:after="0" w:line="143"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0"/>
              <w:spacing w:after="0" w:line="143" w:lineRule="exact"/>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9"/>
              <w:spacing w:after="0" w:line="143" w:lineRule="exact"/>
              <w:rPr>
                <w:sz w:val="20"/>
                <w:szCs w:val="20"/>
                <w:color w:val="auto"/>
              </w:rPr>
            </w:pPr>
            <w:r>
              <w:rPr>
                <w:rFonts w:ascii="Arial" w:cs="Arial" w:eastAsia="Arial" w:hAnsi="Arial"/>
                <w:sz w:val="13"/>
                <w:szCs w:val="13"/>
                <w:b w:val="1"/>
                <w:bCs w:val="1"/>
                <w:color w:val="auto"/>
              </w:rPr>
              <w:t>Equity</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 January 1,</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7,921</w:t>
            </w:r>
          </w:p>
        </w:tc>
        <w:tc>
          <w:tcPr>
            <w:tcW w:w="100" w:type="dxa"/>
            <w:vAlign w:val="bottom"/>
            <w:shd w:val="clear" w:color="auto" w:fill="CFF0FC"/>
          </w:tcPr>
          <w:p>
            <w:pPr>
              <w:spacing w:after="0"/>
              <w:rPr>
                <w:sz w:val="11"/>
                <w:szCs w:val="11"/>
                <w:color w:val="auto"/>
              </w:rPr>
            </w:pPr>
          </w:p>
        </w:tc>
        <w:tc>
          <w:tcPr>
            <w:tcW w:w="2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129,766,091</w:t>
            </w:r>
          </w:p>
        </w:tc>
        <w:tc>
          <w:tcPr>
            <w:tcW w:w="16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center"/>
              <w:spacing w:after="0"/>
              <w:rPr>
                <w:sz w:val="20"/>
                <w:szCs w:val="20"/>
                <w:color w:val="auto"/>
              </w:rPr>
            </w:pPr>
            <w:r>
              <w:rPr>
                <w:rFonts w:ascii="Arial" w:cs="Arial" w:eastAsia="Arial" w:hAnsi="Arial"/>
                <w:sz w:val="14"/>
                <w:szCs w:val="14"/>
                <w:b w:val="1"/>
                <w:bCs w:val="1"/>
                <w:color w:val="auto"/>
                <w:w w:val="98"/>
              </w:rPr>
              <w:t>$ 1,298</w:t>
            </w:r>
          </w:p>
        </w:tc>
        <w:tc>
          <w:tcPr>
            <w:tcW w:w="2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600,034</w:t>
            </w:r>
          </w:p>
        </w:tc>
        <w:tc>
          <w:tcPr>
            <w:tcW w:w="10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97"/>
              </w:rPr>
              <w:t>$ 1,123,728</w:t>
            </w:r>
          </w:p>
        </w:tc>
        <w:tc>
          <w:tcPr>
            <w:tcW w:w="100" w:type="dxa"/>
            <w:vAlign w:val="bottom"/>
            <w:shd w:val="clear" w:color="auto" w:fill="CFF0FC"/>
          </w:tcPr>
          <w:p>
            <w:pPr>
              <w:spacing w:after="0"/>
              <w:rPr>
                <w:sz w:val="11"/>
                <w:szCs w:val="11"/>
                <w:color w:val="auto"/>
              </w:rPr>
            </w:pP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rPr>
              <w:t>(234,356)</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4,253,381</w:t>
            </w:r>
          </w:p>
        </w:tc>
        <w:tc>
          <w:tcPr>
            <w:tcW w:w="14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b w:val="1"/>
                <w:bCs w:val="1"/>
                <w:color w:val="auto"/>
                <w:w w:val="94"/>
              </w:rPr>
              <w:t>$ (177,249)</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96"/>
              </w:rPr>
              <w:t>1,313,455</w:t>
            </w:r>
          </w:p>
        </w:tc>
        <w:tc>
          <w:tcPr>
            <w:tcW w:w="1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53,851</w:t>
            </w:r>
          </w:p>
        </w:tc>
        <w:tc>
          <w:tcPr>
            <w:tcW w:w="1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96"/>
              </w:rPr>
              <w:t>1,367,306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2016</w:t>
            </w: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20"/>
                <w:szCs w:val="20"/>
                <w:color w:val="auto"/>
              </w:rPr>
            </w:pPr>
            <w:r>
              <w:rPr>
                <w:rFonts w:ascii="Arial" w:cs="Arial" w:eastAsia="Arial" w:hAnsi="Arial"/>
                <w:sz w:val="14"/>
                <w:szCs w:val="14"/>
                <w:color w:val="auto"/>
              </w:rPr>
              <w:t>(loss):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387,698</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387,698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393,692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80" w:type="dxa"/>
            <w:vAlign w:val="bottom"/>
          </w:tcPr>
          <w:p>
            <w:pPr>
              <w:ind w:left="260"/>
              <w:spacing w:after="0" w:line="143" w:lineRule="exact"/>
              <w:rPr>
                <w:sz w:val="20"/>
                <w:szCs w:val="20"/>
                <w:color w:val="auto"/>
              </w:rPr>
            </w:pPr>
            <w:r>
              <w:rPr>
                <w:rFonts w:ascii="Arial" w:cs="Arial" w:eastAsia="Arial" w:hAnsi="Arial"/>
                <w:sz w:val="14"/>
                <w:szCs w:val="14"/>
                <w:color w:val="auto"/>
                <w:w w:val="97"/>
              </w:rPr>
              <w:t>Other comprehensive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60"/>
              <w:spacing w:after="0"/>
              <w:rPr>
                <w:sz w:val="20"/>
                <w:szCs w:val="20"/>
                <w:color w:val="auto"/>
              </w:rPr>
            </w:pPr>
            <w:r>
              <w:rPr>
                <w:rFonts w:ascii="Arial" w:cs="Arial" w:eastAsia="Arial" w:hAnsi="Arial"/>
                <w:sz w:val="14"/>
                <w:szCs w:val="14"/>
                <w:color w:val="auto"/>
              </w:rPr>
              <w:t>loss - net of tax</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(79,866)</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(79,866)</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(79,867)</w:t>
            </w:r>
          </w:p>
        </w:tc>
        <w:tc>
          <w:tcPr>
            <w:tcW w:w="0" w:type="dxa"/>
            <w:vAlign w:val="bottom"/>
          </w:tcPr>
          <w:p>
            <w:pPr>
              <w:spacing w:after="0"/>
              <w:rPr>
                <w:sz w:val="1"/>
                <w:szCs w:val="1"/>
                <w:color w:val="auto"/>
              </w:rPr>
            </w:pPr>
          </w:p>
        </w:tc>
      </w:tr>
      <w:tr>
        <w:trPr>
          <w:trHeight w:val="143"/>
        </w:trPr>
        <w:tc>
          <w:tcPr>
            <w:tcW w:w="1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Settlement of Series A</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20"/>
                <w:szCs w:val="20"/>
                <w:color w:val="auto"/>
              </w:rPr>
            </w:pPr>
            <w:r>
              <w:rPr>
                <w:rFonts w:ascii="Arial" w:cs="Arial" w:eastAsia="Arial" w:hAnsi="Arial"/>
                <w:sz w:val="14"/>
                <w:szCs w:val="14"/>
                <w:color w:val="auto"/>
              </w:rPr>
              <w:t>preferred stock</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(7,921)</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rPr>
              <w:t>Amortization of share-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based incentive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261,462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261,462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261,462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spacing w:after="0"/>
              <w:rPr>
                <w:sz w:val="20"/>
                <w:szCs w:val="20"/>
                <w:color w:val="auto"/>
              </w:rPr>
            </w:pPr>
            <w:r>
              <w:rPr>
                <w:rFonts w:ascii="Arial" w:cs="Arial" w:eastAsia="Arial" w:hAnsi="Arial"/>
                <w:sz w:val="14"/>
                <w:szCs w:val="14"/>
                <w:color w:val="auto"/>
              </w:rPr>
              <w:t>Dividend-equivalents</w:t>
            </w: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37,284</w:t>
            </w: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(41,102)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(3,818)</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(3,818)</w:t>
            </w: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rPr>
              <w:t>Class A common stock</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20"/>
                <w:szCs w:val="20"/>
                <w:color w:val="auto"/>
              </w:rPr>
            </w:pPr>
            <w:r>
              <w:rPr>
                <w:rFonts w:ascii="Arial" w:cs="Arial" w:eastAsia="Arial" w:hAnsi="Arial"/>
                <w:sz w:val="14"/>
                <w:szCs w:val="14"/>
                <w:color w:val="auto"/>
              </w:rPr>
              <w:t>dividends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(336,138)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(336,138)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(336,138)</w:t>
            </w:r>
          </w:p>
        </w:tc>
        <w:tc>
          <w:tcPr>
            <w:tcW w:w="0" w:type="dxa"/>
            <w:vAlign w:val="bottom"/>
          </w:tcPr>
          <w:p>
            <w:pPr>
              <w:spacing w:after="0"/>
              <w:rPr>
                <w:sz w:val="1"/>
                <w:szCs w:val="1"/>
                <w:color w:val="auto"/>
              </w:rPr>
            </w:pPr>
          </w:p>
        </w:tc>
      </w:tr>
      <w:tr>
        <w:trPr>
          <w:trHeight w:val="143"/>
        </w:trPr>
        <w:tc>
          <w:tcPr>
            <w:tcW w:w="1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Purchase of Class A</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spacing w:after="0"/>
              <w:rPr>
                <w:sz w:val="20"/>
                <w:szCs w:val="20"/>
                <w:color w:val="auto"/>
              </w:rPr>
            </w:pPr>
            <w:r>
              <w:rPr>
                <w:rFonts w:ascii="Arial" w:cs="Arial" w:eastAsia="Arial" w:hAnsi="Arial"/>
                <w:sz w:val="14"/>
                <w:szCs w:val="14"/>
                <w:color w:val="auto"/>
              </w:rPr>
              <w:t>common stock</w:t>
            </w: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8,551,271</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(300,217)</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(300,217)</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(300,217)</w:t>
            </w: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rPr>
              <w:t>Delivery of Class A</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common stock in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share-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based incentive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20"/>
              <w:spacing w:after="0" w:line="149" w:lineRule="exact"/>
              <w:rPr>
                <w:sz w:val="20"/>
                <w:szCs w:val="20"/>
                <w:color w:val="auto"/>
              </w:rPr>
            </w:pPr>
            <w:r>
              <w:rPr>
                <w:rFonts w:ascii="Arial" w:cs="Arial" w:eastAsia="Arial" w:hAnsi="Arial"/>
                <w:sz w:val="14"/>
                <w:szCs w:val="14"/>
                <w:color w:val="auto"/>
              </w:rPr>
              <w:t>compensation and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related tax benefit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20"/>
              <w:spacing w:after="0"/>
              <w:rPr>
                <w:sz w:val="20"/>
                <w:szCs w:val="20"/>
                <w:color w:val="auto"/>
              </w:rPr>
            </w:pPr>
            <w:r>
              <w:rPr>
                <w:rFonts w:ascii="Arial" w:cs="Arial" w:eastAsia="Arial" w:hAnsi="Arial"/>
                <w:sz w:val="14"/>
                <w:szCs w:val="14"/>
                <w:color w:val="auto"/>
              </w:rPr>
              <w:t>of $448</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(224,201)</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(4,235,455)</w:t>
            </w:r>
          </w:p>
        </w:tc>
        <w:tc>
          <w:tcPr>
            <w:tcW w:w="660" w:type="dxa"/>
            <w:vAlign w:val="bottom"/>
          </w:tcPr>
          <w:p>
            <w:pPr>
              <w:jc w:val="right"/>
              <w:spacing w:after="0"/>
              <w:rPr>
                <w:sz w:val="20"/>
                <w:szCs w:val="20"/>
                <w:color w:val="auto"/>
              </w:rPr>
            </w:pPr>
            <w:r>
              <w:rPr>
                <w:rFonts w:ascii="Arial" w:cs="Arial" w:eastAsia="Arial" w:hAnsi="Arial"/>
                <w:sz w:val="14"/>
                <w:szCs w:val="14"/>
                <w:color w:val="auto"/>
              </w:rPr>
              <w:t>168,571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(55,630)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(55,630)</w:t>
            </w:r>
          </w:p>
        </w:tc>
        <w:tc>
          <w:tcPr>
            <w:tcW w:w="0" w:type="dxa"/>
            <w:vAlign w:val="bottom"/>
          </w:tcPr>
          <w:p>
            <w:pPr>
              <w:spacing w:after="0"/>
              <w:rPr>
                <w:sz w:val="1"/>
                <w:szCs w:val="1"/>
                <w:color w:val="auto"/>
              </w:rPr>
            </w:pPr>
          </w:p>
        </w:tc>
      </w:tr>
      <w:tr>
        <w:trPr>
          <w:trHeight w:val="143"/>
        </w:trPr>
        <w:tc>
          <w:tcPr>
            <w:tcW w:w="15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6"/>
              </w:rPr>
              <w:t>Business acquisitions and</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related equity</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transactions:</w:t>
            </w: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80" w:type="dxa"/>
            <w:vAlign w:val="bottom"/>
          </w:tcPr>
          <w:p>
            <w:pPr>
              <w:ind w:left="260"/>
              <w:spacing w:after="0" w:line="143" w:lineRule="exact"/>
              <w:rPr>
                <w:sz w:val="20"/>
                <w:szCs w:val="20"/>
                <w:color w:val="auto"/>
              </w:rPr>
            </w:pPr>
            <w:r>
              <w:rPr>
                <w:rFonts w:ascii="Arial" w:cs="Arial" w:eastAsia="Arial" w:hAnsi="Arial"/>
                <w:sz w:val="14"/>
                <w:szCs w:val="14"/>
                <w:color w:val="auto"/>
              </w:rPr>
              <w:t>Class A common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stock issuable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360"/>
              <w:spacing w:after="0" w:line="149" w:lineRule="exact"/>
              <w:rPr>
                <w:sz w:val="20"/>
                <w:szCs w:val="20"/>
                <w:color w:val="auto"/>
              </w:rPr>
            </w:pPr>
            <w:r>
              <w:rPr>
                <w:rFonts w:ascii="Arial" w:cs="Arial" w:eastAsia="Arial" w:hAnsi="Arial"/>
                <w:sz w:val="14"/>
                <w:szCs w:val="14"/>
                <w:color w:val="auto"/>
              </w:rPr>
              <w:t>(including related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60"/>
              <w:spacing w:after="0"/>
              <w:rPr>
                <w:sz w:val="20"/>
                <w:szCs w:val="20"/>
                <w:color w:val="auto"/>
              </w:rPr>
            </w:pPr>
            <w:r>
              <w:rPr>
                <w:rFonts w:ascii="Arial" w:cs="Arial" w:eastAsia="Arial" w:hAnsi="Arial"/>
                <w:sz w:val="14"/>
                <w:szCs w:val="14"/>
                <w:color w:val="auto"/>
              </w:rPr>
              <w:t>amortization)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37,861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37,861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37,861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Delivery of Class A</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 stock</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and related tax</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benefit of $1,074</w:t>
            </w: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(33,768)</w:t>
            </w: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(940,411)</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35,389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580" w:type="dxa"/>
            <w:vAlign w:val="bottom"/>
          </w:tcPr>
          <w:p>
            <w:pPr>
              <w:spacing w:after="0" w:line="143" w:lineRule="exact"/>
              <w:rPr>
                <w:sz w:val="20"/>
                <w:szCs w:val="20"/>
                <w:color w:val="auto"/>
              </w:rPr>
            </w:pPr>
            <w:r>
              <w:rPr>
                <w:rFonts w:ascii="Arial" w:cs="Arial" w:eastAsia="Arial" w:hAnsi="Arial"/>
                <w:sz w:val="14"/>
                <w:szCs w:val="14"/>
                <w:color w:val="auto"/>
              </w:rPr>
              <w:t>Distributions to</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20"/>
                <w:szCs w:val="20"/>
                <w:color w:val="auto"/>
              </w:rPr>
            </w:pPr>
            <w:r>
              <w:rPr>
                <w:rFonts w:ascii="Arial" w:cs="Arial" w:eastAsia="Arial" w:hAnsi="Arial"/>
                <w:sz w:val="14"/>
                <w:szCs w:val="14"/>
                <w:color w:val="auto"/>
              </w:rPr>
              <w:t>net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9,559</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9,559</w:t>
            </w: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9,559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line="133" w:lineRule="exact"/>
              <w:rPr>
                <w:sz w:val="20"/>
                <w:szCs w:val="20"/>
                <w:color w:val="auto"/>
              </w:rPr>
            </w:pPr>
            <w:r>
              <w:rPr>
                <w:rFonts w:ascii="Arial" w:cs="Arial" w:eastAsia="Arial" w:hAnsi="Arial"/>
                <w:sz w:val="14"/>
                <w:szCs w:val="14"/>
                <w:b w:val="1"/>
                <w:bCs w:val="1"/>
                <w:color w:val="auto"/>
                <w:w w:val="99"/>
              </w:rPr>
              <w:t>Balance - December 31,</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129,766,091</w:t>
            </w:r>
          </w:p>
        </w:tc>
        <w:tc>
          <w:tcPr>
            <w:tcW w:w="16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$ 1,298</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688,231</w:t>
            </w:r>
          </w:p>
        </w:tc>
        <w:tc>
          <w:tcPr>
            <w:tcW w:w="10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$ 1,134,186</w:t>
            </w:r>
          </w:p>
        </w:tc>
        <w:tc>
          <w:tcPr>
            <w:tcW w:w="10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(314,222)</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7,628,786</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(273,506)</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1,235,987</w:t>
            </w:r>
          </w:p>
        </w:tc>
        <w:tc>
          <w:tcPr>
            <w:tcW w:w="14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57,826</w:t>
            </w:r>
          </w:p>
        </w:tc>
        <w:tc>
          <w:tcPr>
            <w:tcW w:w="14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1,293,813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center"/>
              <w:ind w:right="119"/>
              <w:spacing w:after="0"/>
              <w:rPr>
                <w:sz w:val="20"/>
                <w:szCs w:val="20"/>
                <w:color w:val="auto"/>
              </w:rPr>
            </w:pPr>
            <w:r>
              <w:rPr>
                <w:rFonts w:ascii="Arial" w:cs="Arial" w:eastAsia="Arial" w:hAnsi="Arial"/>
                <w:sz w:val="13"/>
                <w:szCs w:val="13"/>
                <w:b w:val="1"/>
                <w:bCs w:val="1"/>
                <w:color w:val="auto"/>
                <w:w w:val="85"/>
              </w:rPr>
              <w:t>Accumulated</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59"/>
              <w:spacing w:after="0" w:line="135" w:lineRule="exact"/>
              <w:rPr>
                <w:sz w:val="20"/>
                <w:szCs w:val="20"/>
                <w:color w:val="auto"/>
              </w:rPr>
            </w:pPr>
            <w:r>
              <w:rPr>
                <w:rFonts w:ascii="Arial" w:cs="Arial" w:eastAsia="Arial" w:hAnsi="Arial"/>
                <w:sz w:val="13"/>
                <w:szCs w:val="13"/>
                <w:b w:val="1"/>
                <w:bCs w:val="1"/>
                <w:color w:val="auto"/>
                <w:w w:val="92"/>
              </w:rPr>
              <w:t>Other</w:t>
            </w:r>
          </w:p>
        </w:tc>
        <w:tc>
          <w:tcPr>
            <w:tcW w:w="1680" w:type="dxa"/>
            <w:vAlign w:val="bottom"/>
            <w:gridSpan w:val="5"/>
          </w:tcPr>
          <w:p>
            <w:pPr>
              <w:jc w:val="center"/>
              <w:ind w:right="48"/>
              <w:spacing w:after="0" w:line="135" w:lineRule="exact"/>
              <w:rPr>
                <w:sz w:val="20"/>
                <w:szCs w:val="20"/>
                <w:color w:val="auto"/>
              </w:rPr>
            </w:pPr>
            <w:r>
              <w:rPr>
                <w:rFonts w:ascii="Arial" w:cs="Arial" w:eastAsia="Arial" w:hAnsi="Arial"/>
                <w:sz w:val="13"/>
                <w:szCs w:val="13"/>
                <w:b w:val="1"/>
                <w:bCs w:val="1"/>
                <w:color w:val="auto"/>
                <w:w w:val="83"/>
              </w:rPr>
              <w:t>Class A</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Total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99"/>
              <w:spacing w:after="0"/>
              <w:rPr>
                <w:sz w:val="20"/>
                <w:szCs w:val="20"/>
                <w:color w:val="auto"/>
              </w:rPr>
            </w:pPr>
            <w:r>
              <w:rPr>
                <w:rFonts w:ascii="Arial" w:cs="Arial" w:eastAsia="Arial" w:hAnsi="Arial"/>
                <w:sz w:val="13"/>
                <w:szCs w:val="13"/>
                <w:b w:val="1"/>
                <w:bCs w:val="1"/>
                <w:color w:val="auto"/>
                <w:w w:val="86"/>
              </w:rPr>
              <w:t>Comprehensive</w:t>
            </w:r>
          </w:p>
        </w:tc>
        <w:tc>
          <w:tcPr>
            <w:tcW w:w="1680" w:type="dxa"/>
            <w:vAlign w:val="bottom"/>
            <w:gridSpan w:val="5"/>
          </w:tcPr>
          <w:p>
            <w:pPr>
              <w:jc w:val="center"/>
              <w:ind w:right="48"/>
              <w:spacing w:after="0"/>
              <w:rPr>
                <w:sz w:val="20"/>
                <w:szCs w:val="20"/>
                <w:color w:val="auto"/>
              </w:rPr>
            </w:pPr>
            <w:r>
              <w:rPr>
                <w:rFonts w:ascii="Arial" w:cs="Arial" w:eastAsia="Arial" w:hAnsi="Arial"/>
                <w:sz w:val="13"/>
                <w:szCs w:val="13"/>
                <w:b w:val="1"/>
                <w:bCs w:val="1"/>
                <w:color w:val="auto"/>
                <w:w w:val="88"/>
              </w:rPr>
              <w:t>Common Stock</w:t>
            </w:r>
          </w:p>
        </w:tc>
        <w:tc>
          <w:tcPr>
            <w:tcW w:w="60" w:type="dxa"/>
            <w:vAlign w:val="bottom"/>
          </w:tcPr>
          <w:p>
            <w:pPr>
              <w:spacing w:after="0"/>
              <w:rPr>
                <w:sz w:val="12"/>
                <w:szCs w:val="12"/>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Lazard Ltd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r>
      <w:tr>
        <w:trPr>
          <w:trHeight w:val="153"/>
        </w:trPr>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3"/>
                <w:szCs w:val="13"/>
                <w:color w:val="auto"/>
              </w:rPr>
            </w:pPr>
          </w:p>
        </w:tc>
        <w:tc>
          <w:tcPr>
            <w:tcW w:w="1020" w:type="dxa"/>
            <w:vAlign w:val="bottom"/>
            <w:gridSpan w:val="3"/>
          </w:tcPr>
          <w:p>
            <w:pPr>
              <w:jc w:val="center"/>
              <w:ind w:right="119"/>
              <w:spacing w:after="0"/>
              <w:rPr>
                <w:sz w:val="20"/>
                <w:szCs w:val="20"/>
                <w:color w:val="auto"/>
              </w:rPr>
            </w:pPr>
            <w:r>
              <w:rPr>
                <w:rFonts w:ascii="Arial" w:cs="Arial" w:eastAsia="Arial" w:hAnsi="Arial"/>
                <w:sz w:val="13"/>
                <w:szCs w:val="13"/>
                <w:b w:val="1"/>
                <w:bCs w:val="1"/>
                <w:color w:val="auto"/>
                <w:w w:val="84"/>
              </w:rPr>
              <w:t>Income (Loss),</w:t>
            </w:r>
          </w:p>
        </w:tc>
        <w:tc>
          <w:tcPr>
            <w:tcW w:w="1680" w:type="dxa"/>
            <w:vAlign w:val="bottom"/>
            <w:gridSpan w:val="5"/>
          </w:tcPr>
          <w:p>
            <w:pPr>
              <w:jc w:val="center"/>
              <w:ind w:right="48"/>
              <w:spacing w:after="0"/>
              <w:rPr>
                <w:sz w:val="20"/>
                <w:szCs w:val="20"/>
                <w:color w:val="auto"/>
              </w:rPr>
            </w:pPr>
            <w:r>
              <w:rPr>
                <w:rFonts w:ascii="Arial" w:cs="Arial" w:eastAsia="Arial" w:hAnsi="Arial"/>
                <w:sz w:val="13"/>
                <w:szCs w:val="13"/>
                <w:b w:val="1"/>
                <w:bCs w:val="1"/>
                <w:color w:val="auto"/>
                <w:w w:val="86"/>
              </w:rPr>
              <w:t>Held By Subsidiaries</w:t>
            </w:r>
          </w:p>
        </w:tc>
        <w:tc>
          <w:tcPr>
            <w:tcW w:w="9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3"/>
                <w:szCs w:val="13"/>
                <w:b w:val="1"/>
                <w:bCs w:val="1"/>
                <w:color w:val="auto"/>
              </w:rPr>
              <w:t>Noncontrolling</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7"/>
              </w:rPr>
              <w:t>Stockholders’</w:t>
            </w:r>
          </w:p>
        </w:tc>
      </w:tr>
      <w:tr>
        <w:trPr>
          <w:trHeight w:val="142"/>
        </w:trPr>
        <w:tc>
          <w:tcPr>
            <w:tcW w:w="1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top w:val="single" w:sz="8" w:color="auto"/>
            </w:tcBorders>
          </w:tcPr>
          <w:p>
            <w:pPr>
              <w:jc w:val="right"/>
              <w:ind w:right="92"/>
              <w:spacing w:after="0" w:line="143" w:lineRule="exact"/>
              <w:rPr>
                <w:sz w:val="20"/>
                <w:szCs w:val="20"/>
                <w:color w:val="auto"/>
              </w:rPr>
            </w:pPr>
            <w:r>
              <w:rPr>
                <w:rFonts w:ascii="Arial" w:cs="Arial" w:eastAsia="Arial" w:hAnsi="Arial"/>
                <w:sz w:val="13"/>
                <w:szCs w:val="13"/>
                <w:b w:val="1"/>
                <w:bCs w:val="1"/>
                <w:color w:val="auto"/>
              </w:rPr>
              <w:t>Shares (*)</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90"/>
              <w:spacing w:after="0" w:line="14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39"/>
              <w:spacing w:after="0" w:line="143" w:lineRule="exact"/>
              <w:rPr>
                <w:sz w:val="20"/>
                <w:szCs w:val="20"/>
                <w:color w:val="auto"/>
              </w:rPr>
            </w:pPr>
            <w:r>
              <w:rPr>
                <w:rFonts w:ascii="Arial" w:cs="Arial" w:eastAsia="Arial" w:hAnsi="Arial"/>
                <w:sz w:val="13"/>
                <w:szCs w:val="13"/>
                <w:b w:val="1"/>
                <w:bCs w:val="1"/>
                <w:color w:val="auto"/>
                <w:w w:val="85"/>
              </w:rPr>
              <w:t>Net of Tax</w:t>
            </w:r>
          </w:p>
        </w:tc>
        <w:tc>
          <w:tcPr>
            <w:tcW w:w="860" w:type="dxa"/>
            <w:vAlign w:val="bottom"/>
            <w:tcBorders>
              <w:top w:val="single" w:sz="8" w:color="auto"/>
            </w:tcBorders>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Shares</w:t>
            </w:r>
          </w:p>
        </w:tc>
        <w:tc>
          <w:tcPr>
            <w:tcW w:w="700" w:type="dxa"/>
            <w:vAlign w:val="bottom"/>
            <w:tcBorders>
              <w:top w:val="single" w:sz="8" w:color="auto"/>
            </w:tcBorders>
            <w:gridSpan w:val="2"/>
          </w:tcPr>
          <w:p>
            <w:pPr>
              <w:jc w:val="right"/>
              <w:ind w:right="208"/>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w w:val="92"/>
              </w:rPr>
              <w:t>Interests</w:t>
            </w: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3" w:lineRule="exact"/>
              <w:rPr>
                <w:sz w:val="20"/>
                <w:szCs w:val="20"/>
                <w:color w:val="auto"/>
              </w:rPr>
            </w:pPr>
            <w:r>
              <w:rPr>
                <w:rFonts w:ascii="Arial" w:cs="Arial" w:eastAsia="Arial" w:hAnsi="Arial"/>
                <w:sz w:val="13"/>
                <w:szCs w:val="13"/>
                <w:b w:val="1"/>
                <w:bCs w:val="1"/>
                <w:color w:val="auto"/>
              </w:rPr>
              <w:t>Equity</w:t>
            </w:r>
          </w:p>
        </w:tc>
      </w:tr>
      <w:tr>
        <w:trPr>
          <w:trHeight w:val="156"/>
        </w:trPr>
        <w:tc>
          <w:tcPr>
            <w:tcW w:w="25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January 1, 2017</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1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1,298</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688,231</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$ 1,134,186</w:t>
            </w: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(314,222)</w:t>
            </w: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7,628,786</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6"/>
              </w:rPr>
              <w:t>$ (273,506)</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1,235,987</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57,826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1,293,813</w:t>
            </w:r>
          </w:p>
        </w:tc>
        <w:tc>
          <w:tcPr>
            <w:tcW w:w="100" w:type="dxa"/>
            <w:vAlign w:val="bottom"/>
            <w:tcBorders>
              <w:top w:val="single" w:sz="8" w:color="CFF0FC"/>
            </w:tcBorders>
            <w:shd w:val="clear" w:color="auto" w:fill="CFF0FC"/>
          </w:tcPr>
          <w:p>
            <w:pPr>
              <w:spacing w:after="0"/>
              <w:rPr>
                <w:sz w:val="13"/>
                <w:szCs w:val="13"/>
                <w:color w:val="auto"/>
              </w:rPr>
            </w:pPr>
          </w:p>
        </w:tc>
      </w:tr>
      <w:tr>
        <w:trPr>
          <w:trHeight w:val="143"/>
        </w:trPr>
        <w:tc>
          <w:tcPr>
            <w:tcW w:w="2520" w:type="dxa"/>
            <w:vAlign w:val="bottom"/>
            <w:gridSpan w:val="2"/>
          </w:tcPr>
          <w:p>
            <w:pPr>
              <w:spacing w:after="0" w:line="143" w:lineRule="exact"/>
              <w:rPr>
                <w:sz w:val="20"/>
                <w:szCs w:val="20"/>
                <w:color w:val="auto"/>
              </w:rPr>
            </w:pPr>
            <w:r>
              <w:rPr>
                <w:rFonts w:ascii="Arial" w:cs="Arial" w:eastAsia="Arial" w:hAnsi="Arial"/>
                <w:sz w:val="14"/>
                <w:szCs w:val="14"/>
                <w:color w:val="auto"/>
              </w:rPr>
              <w:t>Adjustment for the cumulative effect on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prior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years from the adoption of new</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accounting</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1"/>
              </w:rPr>
              <w:t>guidance related to share-based incentive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compensation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81,544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81,544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81,544</w:t>
            </w:r>
          </w:p>
        </w:tc>
        <w:tc>
          <w:tcPr>
            <w:tcW w:w="100" w:type="dxa"/>
            <w:vAlign w:val="bottom"/>
          </w:tcPr>
          <w:p>
            <w:pPr>
              <w:spacing w:after="0"/>
              <w:rPr>
                <w:sz w:val="14"/>
                <w:szCs w:val="14"/>
                <w:color w:val="auto"/>
              </w:rPr>
            </w:pPr>
          </w:p>
        </w:tc>
      </w:tr>
      <w:tr>
        <w:trPr>
          <w:trHeight w:val="156"/>
        </w:trPr>
        <w:tc>
          <w:tcPr>
            <w:tcW w:w="25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as adjusted - January 1, 2017</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129,766,091</w:t>
            </w:r>
          </w:p>
        </w:tc>
        <w:tc>
          <w:tcPr>
            <w:tcW w:w="1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1,298</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688,231</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1,215,730</w:t>
            </w: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(314,222)</w:t>
            </w: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7,628,786</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(273,506)</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1,317,531</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57,826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1,375,357</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252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5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253,583</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253,583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259,847</w:t>
            </w:r>
          </w:p>
        </w:tc>
        <w:tc>
          <w:tcPr>
            <w:tcW w:w="100" w:type="dxa"/>
            <w:vAlign w:val="bottom"/>
            <w:shd w:val="clear" w:color="auto" w:fill="CFF0FC"/>
          </w:tcPr>
          <w:p>
            <w:pPr>
              <w:spacing w:after="0"/>
              <w:rPr>
                <w:sz w:val="14"/>
                <w:szCs w:val="14"/>
                <w:color w:val="auto"/>
              </w:rPr>
            </w:pPr>
          </w:p>
        </w:tc>
      </w:tr>
      <w:tr>
        <w:trPr>
          <w:trHeight w:val="143"/>
        </w:trPr>
        <w:tc>
          <w:tcPr>
            <w:tcW w:w="2520" w:type="dxa"/>
            <w:vAlign w:val="bottom"/>
            <w:gridSpan w:val="2"/>
          </w:tcPr>
          <w:p>
            <w:pPr>
              <w:ind w:left="260"/>
              <w:spacing w:after="0" w:line="143" w:lineRule="exact"/>
              <w:rPr>
                <w:sz w:val="20"/>
                <w:szCs w:val="20"/>
                <w:color w:val="auto"/>
              </w:rPr>
            </w:pPr>
            <w:r>
              <w:rPr>
                <w:rFonts w:ascii="Arial" w:cs="Arial" w:eastAsia="Arial" w:hAnsi="Arial"/>
                <w:sz w:val="14"/>
                <w:szCs w:val="14"/>
                <w:color w:val="auto"/>
                <w:w w:val="97"/>
              </w:rPr>
              <w:t>Other comprehensive income - net of</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20" w:type="dxa"/>
            <w:vAlign w:val="bottom"/>
            <w:gridSpan w:val="2"/>
          </w:tcPr>
          <w:p>
            <w:pPr>
              <w:ind w:left="260"/>
              <w:spacing w:after="0"/>
              <w:rPr>
                <w:sz w:val="20"/>
                <w:szCs w:val="20"/>
                <w:color w:val="auto"/>
              </w:rPr>
            </w:pPr>
            <w:r>
              <w:rPr>
                <w:rFonts w:ascii="Arial" w:cs="Arial" w:eastAsia="Arial" w:hAnsi="Arial"/>
                <w:sz w:val="14"/>
                <w:szCs w:val="14"/>
                <w:color w:val="auto"/>
              </w:rPr>
              <w:t>tax</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81,704</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81,704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81,705</w:t>
            </w:r>
          </w:p>
        </w:tc>
        <w:tc>
          <w:tcPr>
            <w:tcW w:w="100" w:type="dxa"/>
            <w:vAlign w:val="bottom"/>
          </w:tcPr>
          <w:p>
            <w:pPr>
              <w:spacing w:after="0"/>
              <w:rPr>
                <w:sz w:val="14"/>
                <w:szCs w:val="14"/>
                <w:color w:val="auto"/>
              </w:rPr>
            </w:pPr>
          </w:p>
        </w:tc>
      </w:tr>
      <w:tr>
        <w:trPr>
          <w:trHeight w:val="143"/>
        </w:trPr>
        <w:tc>
          <w:tcPr>
            <w:tcW w:w="2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Amortization of share-based incentive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compensation</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272,965</w:t>
            </w:r>
          </w:p>
        </w:tc>
        <w:tc>
          <w:tcPr>
            <w:tcW w:w="100" w:type="dxa"/>
            <w:vAlign w:val="bottom"/>
            <w:shd w:val="clear" w:color="auto" w:fill="CFF0FC"/>
          </w:tcPr>
          <w:p>
            <w:pPr>
              <w:spacing w:after="0"/>
              <w:rPr>
                <w:sz w:val="14"/>
                <w:szCs w:val="14"/>
                <w:color w:val="auto"/>
              </w:rPr>
            </w:pPr>
          </w:p>
        </w:tc>
      </w:tr>
      <w:tr>
        <w:trPr>
          <w:trHeight w:val="162"/>
        </w:trPr>
        <w:tc>
          <w:tcPr>
            <w:tcW w:w="2520" w:type="dxa"/>
            <w:vAlign w:val="bottom"/>
            <w:gridSpan w:val="2"/>
          </w:tcPr>
          <w:p>
            <w:pPr>
              <w:spacing w:after="0"/>
              <w:rPr>
                <w:sz w:val="20"/>
                <w:szCs w:val="20"/>
                <w:color w:val="auto"/>
              </w:rPr>
            </w:pPr>
            <w:r>
              <w:rPr>
                <w:rFonts w:ascii="Arial" w:cs="Arial" w:eastAsia="Arial" w:hAnsi="Arial"/>
                <w:sz w:val="14"/>
                <w:szCs w:val="14"/>
                <w:color w:val="auto"/>
              </w:rPr>
              <w:t>Dividend-equivalents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41,746</w:t>
            </w:r>
          </w:p>
        </w:tc>
        <w:tc>
          <w:tcPr>
            <w:tcW w:w="10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(47,654)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(5,908)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(5,908)</w:t>
            </w:r>
          </w:p>
        </w:tc>
      </w:tr>
      <w:tr>
        <w:trPr>
          <w:trHeight w:val="162"/>
        </w:trPr>
        <w:tc>
          <w:tcPr>
            <w:tcW w:w="2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Class A common stock dividends</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(341,450)</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(341,450)</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(341,450)</w:t>
            </w:r>
          </w:p>
        </w:tc>
      </w:tr>
      <w:tr>
        <w:trPr>
          <w:trHeight w:val="162"/>
        </w:trPr>
        <w:tc>
          <w:tcPr>
            <w:tcW w:w="2520" w:type="dxa"/>
            <w:vAlign w:val="bottom"/>
            <w:gridSpan w:val="2"/>
          </w:tcPr>
          <w:p>
            <w:pPr>
              <w:spacing w:after="0"/>
              <w:rPr>
                <w:sz w:val="20"/>
                <w:szCs w:val="20"/>
                <w:color w:val="auto"/>
              </w:rPr>
            </w:pPr>
            <w:r>
              <w:rPr>
                <w:rFonts w:ascii="Arial" w:cs="Arial" w:eastAsia="Arial" w:hAnsi="Arial"/>
                <w:sz w:val="14"/>
                <w:szCs w:val="14"/>
                <w:color w:val="auto"/>
              </w:rPr>
              <w:t>Purchase of Class A common stock</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6,956,097</w:t>
            </w: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(306,741)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(306,741)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(306,741)</w:t>
            </w:r>
          </w:p>
        </w:tc>
      </w:tr>
      <w:tr>
        <w:trPr>
          <w:trHeight w:val="143"/>
        </w:trPr>
        <w:tc>
          <w:tcPr>
            <w:tcW w:w="2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Delivery of Class A common stock in</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520" w:type="dxa"/>
            <w:vAlign w:val="bottom"/>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connection with share-based incentive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520" w:type="dxa"/>
            <w:vAlign w:val="bottom"/>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w w:val="98"/>
              </w:rPr>
              <w:t>compensation and related tax expense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of $5,271</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(213,978)</w:t>
            </w: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(3,790,267)</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140,808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(73,170)</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(73,170)</w:t>
            </w:r>
          </w:p>
        </w:tc>
      </w:tr>
      <w:tr>
        <w:trPr>
          <w:trHeight w:val="143"/>
        </w:trPr>
        <w:tc>
          <w:tcPr>
            <w:tcW w:w="2520" w:type="dxa"/>
            <w:vAlign w:val="bottom"/>
            <w:gridSpan w:val="2"/>
          </w:tcPr>
          <w:p>
            <w:pPr>
              <w:spacing w:after="0" w:line="143" w:lineRule="exact"/>
              <w:rPr>
                <w:sz w:val="20"/>
                <w:szCs w:val="20"/>
                <w:color w:val="auto"/>
              </w:rPr>
            </w:pPr>
            <w:r>
              <w:rPr>
                <w:rFonts w:ascii="Arial" w:cs="Arial" w:eastAsia="Arial" w:hAnsi="Arial"/>
                <w:sz w:val="14"/>
                <w:szCs w:val="14"/>
                <w:color w:val="auto"/>
              </w:rPr>
              <w:t>Business acquisitions and related equity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transactions: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252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A common stock issuable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(including related amortization)</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FF0FC"/>
          </w:tcPr>
          <w:p>
            <w:pPr>
              <w:spacing w:after="0"/>
              <w:rPr>
                <w:sz w:val="14"/>
                <w:szCs w:val="14"/>
                <w:color w:val="auto"/>
              </w:rPr>
            </w:pPr>
          </w:p>
        </w:tc>
      </w:tr>
      <w:tr>
        <w:trPr>
          <w:trHeight w:val="143"/>
        </w:trPr>
        <w:tc>
          <w:tcPr>
            <w:tcW w:w="252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Delivery of Class A common stock</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20" w:type="dxa"/>
            <w:vAlign w:val="bottom"/>
            <w:gridSpan w:val="2"/>
          </w:tcPr>
          <w:p>
            <w:pPr>
              <w:ind w:left="360"/>
              <w:spacing w:after="0"/>
              <w:rPr>
                <w:sz w:val="20"/>
                <w:szCs w:val="20"/>
                <w:color w:val="auto"/>
              </w:rPr>
            </w:pPr>
            <w:r>
              <w:rPr>
                <w:rFonts w:ascii="Arial" w:cs="Arial" w:eastAsia="Arial" w:hAnsi="Arial"/>
                <w:sz w:val="14"/>
                <w:szCs w:val="14"/>
                <w:color w:val="auto"/>
              </w:rPr>
              <w:t>and related tax expense of $28</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(1,332)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(47,474)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1,909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4"/>
                <w:szCs w:val="14"/>
                <w:color w:val="auto"/>
              </w:rPr>
            </w:pPr>
          </w:p>
        </w:tc>
      </w:tr>
      <w:tr>
        <w:trPr>
          <w:trHeight w:val="143"/>
        </w:trPr>
        <w:tc>
          <w:tcPr>
            <w:tcW w:w="2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Distributions to noncontrolling interests,</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(5,193)</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(5,193)</w:t>
            </w:r>
          </w:p>
        </w:tc>
      </w:tr>
      <w:tr>
        <w:trPr>
          <w:trHeight w:val="162"/>
        </w:trPr>
        <w:tc>
          <w:tcPr>
            <w:tcW w:w="2520" w:type="dxa"/>
            <w:vAlign w:val="bottom"/>
            <w:gridSpan w:val="2"/>
          </w:tcPr>
          <w:p>
            <w:pPr>
              <w:spacing w:after="0"/>
              <w:rPr>
                <w:sz w:val="20"/>
                <w:szCs w:val="20"/>
                <w:color w:val="auto"/>
              </w:rPr>
            </w:pPr>
            <w:r>
              <w:rPr>
                <w:rFonts w:ascii="Arial" w:cs="Arial" w:eastAsia="Arial" w:hAnsi="Arial"/>
                <w:sz w:val="14"/>
                <w:szCs w:val="14"/>
                <w:color w:val="auto"/>
              </w:rPr>
              <w:t>Other</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4"/>
                <w:szCs w:val="14"/>
                <w:color w:val="auto"/>
              </w:rPr>
            </w:pPr>
          </w:p>
        </w:tc>
      </w:tr>
      <w:tr>
        <w:trPr>
          <w:trHeight w:val="156"/>
        </w:trPr>
        <w:tc>
          <w:tcPr>
            <w:tcW w:w="252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129,766,091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1,298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788,140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$ 1,080,413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(232,518</w:t>
            </w:r>
          </w:p>
        </w:tc>
        <w:tc>
          <w:tcPr>
            <w:tcW w:w="16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10,747,142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 (437,530</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4"/>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1,199,803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59,102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1,258,905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9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6"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129,766,091 shares of the Company’s Class A common stock issued at December 31, 2015, 2016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54"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431"/>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firstLine="431"/>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December 31, 2017 and 2016. Lazard Ltd, through its control of the managing members of Lazard Group, controls Lazard Group, which is governed by an Amended and Restated Operating Agreement dated as of October 26, 2015, as amended (the “Operating Agreement”).</w:t>
      </w:r>
    </w:p>
    <w:p>
      <w:pPr>
        <w:spacing w:after="0" w:line="181" w:lineRule="exact"/>
        <w:rPr>
          <w:sz w:val="20"/>
          <w:szCs w:val="20"/>
          <w:color w:val="auto"/>
        </w:rPr>
      </w:pPr>
    </w:p>
    <w:p>
      <w:pPr>
        <w:ind w:right="480" w:firstLine="431"/>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840" w:right="140" w:hanging="413"/>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shareholder advisory, and various other financial matters, and</w:t>
      </w:r>
    </w:p>
    <w:p>
      <w:pPr>
        <w:spacing w:after="0" w:line="73" w:lineRule="exact"/>
        <w:rPr>
          <w:rFonts w:ascii="Arial" w:cs="Arial" w:eastAsia="Arial" w:hAnsi="Arial"/>
          <w:sz w:val="18"/>
          <w:szCs w:val="18"/>
          <w:color w:val="auto"/>
        </w:rPr>
      </w:pPr>
    </w:p>
    <w:p>
      <w:pPr>
        <w:ind w:left="840" w:right="240" w:hanging="413"/>
        <w:spacing w:after="0" w:line="264" w:lineRule="auto"/>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60" w:firstLine="431"/>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consolidated financial statements are prepared in conformity with accounting principles generally accepted in the United States of America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 Company’s policy is to consolidate entities in which it has a controlling financial interest. The Company consolidates:</w:t>
      </w:r>
    </w:p>
    <w:p>
      <w:pPr>
        <w:spacing w:after="0" w:line="103" w:lineRule="exact"/>
        <w:rPr>
          <w:sz w:val="20"/>
          <w:szCs w:val="20"/>
          <w:color w:val="auto"/>
        </w:rPr>
      </w:pPr>
    </w:p>
    <w:p>
      <w:pPr>
        <w:ind w:left="840" w:hanging="413"/>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840" w:right="320" w:hanging="413"/>
        <w:spacing w:after="0" w:line="264" w:lineRule="auto"/>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jc w:val="both"/>
        <w:ind w:firstLine="431"/>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jc w:val="both"/>
        <w:ind w:firstLine="431"/>
        <w:spacing w:after="0" w:line="277" w:lineRule="auto"/>
        <w:rPr>
          <w:sz w:val="20"/>
          <w:szCs w:val="20"/>
          <w:color w:val="auto"/>
        </w:rPr>
      </w:pPr>
      <w:r>
        <w:rPr>
          <w:rFonts w:ascii="Arial" w:cs="Arial" w:eastAsia="Arial" w:hAnsi="Arial"/>
          <w:sz w:val="18"/>
          <w:szCs w:val="18"/>
          <w:color w:val="auto"/>
        </w:rPr>
        <w:t>The consolidated financial statements include Lazard Ltd, Lazard Group and Lazard Group’s principal operating subsidiaries: Lazard Frères &amp; Co. LLC (“LFNY”), a New York limited liability company, along with 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5" w:name="page86"/>
    <w:bookmarkEnd w:id="85"/>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by including capital lease obligations, previously presented separately, in other liabilities on the consolidated statements of financial condition. In addition, see Note 20 for the recasting of geographic information.</w:t>
      </w:r>
    </w:p>
    <w:p>
      <w:pPr>
        <w:spacing w:after="0" w:line="384"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225"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7) amounted to $1,900, $(1,153) and $1,589 for the years ended December 31, 2017, 2016 and 2015, respectively, and are included in “revenue-other” on the respective consolidated statements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consolidated financial statements in conformity with U.S. GAAP requires the use of management’s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preparing the consolidated financial statements, management makes estimates and assumptions regarding:</w:t>
      </w:r>
    </w:p>
    <w:p>
      <w:pPr>
        <w:spacing w:after="0" w:line="103" w:lineRule="exact"/>
        <w:rPr>
          <w:sz w:val="20"/>
          <w:szCs w:val="20"/>
          <w:color w:val="auto"/>
        </w:rPr>
      </w:pPr>
    </w:p>
    <w:p>
      <w:pPr>
        <w:ind w:left="1200" w:hanging="598"/>
        <w:spacing w:after="0" w:line="277"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realization of deferred tax assets and adequacy of tax reserves for uncertain tax positions;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measurement of our tax receivable agreement obligation;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vesting of share-based and other deferred compensation plan awards;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225"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of 90 days or less when purchased.</w:t>
      </w:r>
    </w:p>
    <w:p>
      <w:pPr>
        <w:spacing w:after="0" w:line="170"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b w:val="1"/>
          <w:bCs w:val="1"/>
          <w:i w:val="1"/>
          <w:iCs w:val="1"/>
          <w:color w:val="auto"/>
        </w:rPr>
        <w:t>Deposits with Banks and Short-Term Investments—</w:t>
      </w:r>
      <w:r>
        <w:rPr>
          <w:rFonts w:ascii="Arial" w:cs="Arial" w:eastAsia="Arial" w:hAnsi="Arial"/>
          <w:sz w:val="18"/>
          <w:szCs w:val="18"/>
          <w:color w:val="auto"/>
        </w:rPr>
        <w:t>Represents LFB’s short-term deposits, including with the Banque de France and amounts placed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w:t>
      </w:r>
    </w:p>
    <w:p>
      <w:pPr>
        <w:spacing w:after="0" w:line="18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to satisfy the requirements of clearing organizations.</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8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4 for additional information regarding receivables.</w:t>
      </w:r>
    </w:p>
    <w:p>
      <w:pPr>
        <w:spacing w:after="0" w:line="225" w:lineRule="exact"/>
        <w:rPr>
          <w:sz w:val="20"/>
          <w:szCs w:val="20"/>
          <w:color w:val="auto"/>
        </w:rPr>
      </w:pPr>
    </w:p>
    <w:p>
      <w:pPr>
        <w:ind w:right="480" w:firstLine="598"/>
        <w:spacing w:after="0" w:line="264"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Investments in debt and marketable equity securities held either directly, or indirectly through asset management funds,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broker-dealer subsidiaries are accounted for at fair value, with any increase or decrease in fair value recorded in earnings. Such amounts are reflected in “revenue-other” in the consolidated statements of operations.</w:t>
      </w:r>
    </w:p>
    <w:p>
      <w:pPr>
        <w:spacing w:after="0" w:line="181"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18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Notes 5 and 6 for additional information regarding the Company’s investments.</w:t>
      </w:r>
    </w:p>
    <w:p>
      <w:pPr>
        <w:spacing w:after="0" w:line="225"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b w:val="1"/>
          <w:bCs w:val="1"/>
          <w:i w:val="1"/>
          <w:iCs w:val="1"/>
          <w:color w:val="auto"/>
        </w:rPr>
        <w:t>Property-net—</w:t>
      </w:r>
      <w:r>
        <w:rPr>
          <w:rFonts w:ascii="Arial" w:cs="Arial" w:eastAsia="Arial" w:hAnsi="Arial"/>
          <w:sz w:val="17"/>
          <w:szCs w:val="17"/>
          <w:color w:val="auto"/>
        </w:rPr>
        <w:t>Property is stated at cost or, in the case of property under capital leases, the present value of the future minimum lease payments, 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accumulated depreciation and amortization. Buildings represent owned property and amounts recorded pursuant to capital leases (see Notes 8 and 12), with the related obligations recorded in “other liabilities”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$31,498, $33,264 and $32,785 for the years ended December 31, 2017, 2016 and 2015,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79" w:lineRule="exact"/>
        <w:rPr>
          <w:sz w:val="20"/>
          <w:szCs w:val="20"/>
          <w:color w:val="auto"/>
        </w:rPr>
      </w:pPr>
    </w:p>
    <w:p>
      <w:pPr>
        <w:jc w:val="both"/>
        <w:ind w:right="160" w:firstLine="598"/>
        <w:spacing w:after="0" w:line="286" w:lineRule="auto"/>
        <w:rPr>
          <w:sz w:val="20"/>
          <w:szCs w:val="20"/>
          <w:color w:val="auto"/>
        </w:rPr>
      </w:pPr>
      <w:r>
        <w:rPr>
          <w:rFonts w:ascii="Arial" w:cs="Arial" w:eastAsia="Arial" w:hAnsi="Arial"/>
          <w:sz w:val="17"/>
          <w:szCs w:val="17"/>
          <w:b w:val="1"/>
          <w:bCs w:val="1"/>
          <w:i w:val="1"/>
          <w:iCs w:val="1"/>
          <w:color w:val="auto"/>
        </w:rPr>
        <w:t>Goodwill and Other Intangible Assets—</w:t>
      </w:r>
      <w:r>
        <w:rPr>
          <w:rFonts w:ascii="Arial" w:cs="Arial" w:eastAsia="Arial" w:hAnsi="Arial"/>
          <w:sz w:val="17"/>
          <w:szCs w:val="17"/>
          <w:color w:val="auto"/>
        </w:rPr>
        <w:t>As goodwill has an indefinite life, it is required to be tested for impairment annually or more frequently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completed its annual goodwill review as of November 1, 2017, and determined that no impairment existed.</w:t>
      </w:r>
    </w:p>
    <w:p>
      <w:pPr>
        <w:spacing w:after="0" w:line="225"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9 with respect to goodwill and other intangible assets.</w:t>
      </w:r>
    </w:p>
    <w:p>
      <w:pPr>
        <w:spacing w:after="0" w:line="225"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15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are generally included in “interest income” and “interest expense”, respectively, or “revenue-other”, depending on the nature of the underlying item, in the consolidated statements of operations.</w:t>
      </w:r>
    </w:p>
    <w:p>
      <w:pPr>
        <w:spacing w:after="0" w:line="189"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5, 7 and 14.</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Deposits and Other Customer Payables—</w:t>
      </w:r>
      <w:r>
        <w:rPr>
          <w:rFonts w:ascii="Arial" w:cs="Arial" w:eastAsia="Arial" w:hAnsi="Arial"/>
          <w:sz w:val="17"/>
          <w:szCs w:val="17"/>
          <w:color w:val="auto"/>
        </w:rPr>
        <w:t>Principally relates to LFB customer-related demand deposits, both interest-bearing and non-interest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bearing.</w:t>
      </w:r>
    </w:p>
    <w:p>
      <w:pPr>
        <w:spacing w:after="0" w:line="21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87" w:lineRule="exact"/>
        <w:rPr>
          <w:sz w:val="20"/>
          <w:szCs w:val="20"/>
          <w:color w:val="auto"/>
        </w:rPr>
      </w:pPr>
    </w:p>
    <w:p>
      <w:pPr>
        <w:ind w:right="300" w:firstLine="598"/>
        <w:spacing w:after="0" w:line="286" w:lineRule="auto"/>
        <w:rPr>
          <w:sz w:val="20"/>
          <w:szCs w:val="20"/>
          <w:color w:val="auto"/>
        </w:rPr>
      </w:pPr>
      <w:r>
        <w:rPr>
          <w:rFonts w:ascii="Arial" w:cs="Arial" w:eastAsia="Arial" w:hAnsi="Arial"/>
          <w:sz w:val="17"/>
          <w:szCs w:val="17"/>
          <w:b w:val="1"/>
          <w:bCs w:val="1"/>
          <w:i w:val="1"/>
          <w:iCs w:val="1"/>
          <w:color w:val="auto"/>
        </w:rPr>
        <w:t>Contingent Consideration Liabilities —</w:t>
      </w:r>
      <w:r>
        <w:rPr>
          <w:rFonts w:ascii="Arial" w:cs="Arial" w:eastAsia="Arial" w:hAnsi="Arial"/>
          <w:sz w:val="17"/>
          <w:szCs w:val="17"/>
          <w:color w:val="auto"/>
        </w:rPr>
        <w:t>The contingent consideration liabilities of businesses acquired in a business combination are initially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recorded at fair value and any change in the fair value is recognized in “amortization and other acquisition-related costs” in the consolidated statements of operations. The contingent consideration liability is included in “other liabilities” on the consolidated statements of financial condition.</w:t>
      </w:r>
    </w:p>
    <w:p>
      <w:pPr>
        <w:spacing w:after="0" w:line="166" w:lineRule="exact"/>
        <w:rPr>
          <w:sz w:val="20"/>
          <w:szCs w:val="20"/>
          <w:color w:val="auto"/>
        </w:rPr>
      </w:pPr>
    </w:p>
    <w:p>
      <w:pPr>
        <w:ind w:right="240" w:firstLine="598"/>
        <w:spacing w:after="0" w:line="302"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approximate fair value. Such assets and liabilities include cash and cash 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M&amp;A and Strategic Advisory services and Restructuring advisory services are recorded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 there is persuasive evidence of an arrangement with a client, (ii) fees are fixed or determinable, (iii) the agreed-upon services have been completed and delivered to the client or the transaction or events contemplated in the engagement letter are determined to be substantially completed, which is generally the date the related transactions are consummated and (iv) collection is reasonably assured.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2017, 2016 and 2015 are $17,793, $16,998 and $19,358, respectively.</w:t>
      </w:r>
    </w:p>
    <w:p>
      <w:pPr>
        <w:spacing w:after="0" w:line="17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b w:val="1"/>
          <w:bCs w:val="1"/>
          <w:i w:val="1"/>
          <w:iCs w:val="1"/>
          <w:color w:val="auto"/>
        </w:rPr>
        <w:t>Asset Management Fees—</w:t>
      </w:r>
      <w:r>
        <w:rPr>
          <w:rFonts w:ascii="Arial" w:cs="Arial" w:eastAsia="Arial" w:hAnsi="Arial"/>
          <w:sz w:val="18"/>
          <w:szCs w:val="18"/>
          <w:color w:val="auto"/>
        </w:rPr>
        <w:t>Asset Management fees are derived from fees for investment management and advisory services provided to clients.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187"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66"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January 1, 2018, the Company adopted new revenue recognition guidance. See Note 3.</w:t>
      </w:r>
    </w:p>
    <w:p>
      <w:pPr>
        <w:spacing w:after="0" w:line="225" w:lineRule="exact"/>
        <w:rPr>
          <w:sz w:val="20"/>
          <w:szCs w:val="20"/>
          <w:color w:val="auto"/>
        </w:rPr>
      </w:pPr>
    </w:p>
    <w:p>
      <w:pPr>
        <w:ind w:right="40" w:firstLine="598"/>
        <w:spacing w:after="0" w:line="253" w:lineRule="auto"/>
        <w:rPr>
          <w:sz w:val="20"/>
          <w:szCs w:val="20"/>
          <w:color w:val="auto"/>
        </w:rPr>
      </w:pPr>
      <w:r>
        <w:rPr>
          <w:rFonts w:ascii="Arial" w:cs="Arial" w:eastAsia="Arial" w:hAnsi="Arial"/>
          <w:sz w:val="18"/>
          <w:szCs w:val="18"/>
          <w:b w:val="1"/>
          <w:bCs w:val="1"/>
          <w:i w:val="1"/>
          <w:iCs w:val="1"/>
          <w:color w:val="auto"/>
        </w:rPr>
        <w:t>Soft Dollar Arrangements—</w:t>
      </w:r>
      <w:r>
        <w:rPr>
          <w:rFonts w:ascii="Arial" w:cs="Arial" w:eastAsia="Arial" w:hAnsi="Arial"/>
          <w:sz w:val="18"/>
          <w:szCs w:val="18"/>
          <w:color w:val="auto"/>
        </w:rPr>
        <w:t>Certain entities within the Company’s Asset Management business obtain research and other services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commission-sharing arrangements with broker-dealers, which are also known as “soft dollar” arrangements. 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For the year ended December 31, 2017, the Company obtained research and other services through soft dollar arrangements valued at approximately $24,000. The use of soft dollars is limited by regulations in the European Union and the U.K. and, as such, the Company intends to directly pay a portion of the costs of such research and other services going forward.</w:t>
      </w:r>
    </w:p>
    <w:p>
      <w:pPr>
        <w:spacing w:after="0" w:line="19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b w:val="1"/>
          <w:bCs w:val="1"/>
          <w:i w:val="1"/>
          <w:iCs w:val="1"/>
          <w:color w:val="auto"/>
        </w:rPr>
        <w:t>Equity-Based Incentive Compensation Awards—</w:t>
      </w:r>
      <w:r>
        <w:rPr>
          <w:rFonts w:ascii="Arial" w:cs="Arial" w:eastAsia="Arial" w:hAnsi="Arial"/>
          <w:sz w:val="16"/>
          <w:szCs w:val="16"/>
          <w:color w:val="auto"/>
        </w:rPr>
        <w:t>Equity-based incentive compensation awards that do not require future service are expensed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58"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b w:val="1"/>
          <w:bCs w:val="1"/>
          <w:i w:val="1"/>
          <w:iCs w:val="1"/>
          <w:color w:val="auto"/>
        </w:rPr>
        <w:t>Cost Saving Initiatives and Staff Reductions—</w:t>
      </w:r>
      <w:r>
        <w:rPr>
          <w:rFonts w:ascii="Arial" w:cs="Arial" w:eastAsia="Arial" w:hAnsi="Arial"/>
          <w:sz w:val="16"/>
          <w:szCs w:val="16"/>
          <w:color w:val="auto"/>
        </w:rPr>
        <w:t>Charges associated with management-approved cost saving plans or staff reductions can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54" w:lineRule="exact"/>
        <w:rPr>
          <w:sz w:val="20"/>
          <w:szCs w:val="20"/>
          <w:color w:val="auto"/>
        </w:rPr>
      </w:pPr>
    </w:p>
    <w:p>
      <w:pPr>
        <w:ind w:right="400" w:firstLine="598"/>
        <w:spacing w:after="0" w:line="257"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Lazard Ltd, through its subsidiaries, is subject to U.S. federal income taxes on all of its U.S. operating income, as well as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7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79" w:lineRule="exact"/>
        <w:rPr>
          <w:sz w:val="20"/>
          <w:szCs w:val="20"/>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8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Company recognizes interest and/or penalties related to unrecognized tax benefits in “provision (benefit) for income taxes”. See Note 16 for additional information relating to income taxes.</w:t>
      </w:r>
    </w:p>
    <w:p>
      <w:pPr>
        <w:spacing w:after="0" w:line="279" w:lineRule="exact"/>
        <w:rPr>
          <w:sz w:val="20"/>
          <w:szCs w:val="20"/>
          <w:color w:val="auto"/>
        </w:rPr>
      </w:pPr>
    </w:p>
    <w:p>
      <w:pPr>
        <w:ind w:left="600" w:hanging="592"/>
        <w:spacing w:after="0"/>
        <w:tabs>
          <w:tab w:leader="none" w:pos="60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225"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i w:val="1"/>
          <w:iCs w:val="1"/>
          <w:color w:val="auto"/>
        </w:rPr>
        <w:t>Compensation—Stock Compensation: Improvements to Employee Share-Based Payment Accounting</w:t>
      </w:r>
      <w:r>
        <w:rPr>
          <w:rFonts w:ascii="Arial" w:cs="Arial" w:eastAsia="Arial" w:hAnsi="Arial"/>
          <w:sz w:val="17"/>
          <w:szCs w:val="17"/>
          <w:color w:val="auto"/>
        </w:rPr>
        <w:t>—In March 2016, the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Board (the “FASB”) issued new guidance regarding share-based incentive compensation. The new guidance includes several amendments which affect various aspects of the accounting for share-based incentive compensation transactions, including the income tax consequences, estimation of forfeitures, effect on earnings per share, classification of awards as either equity or liabilities, and classification on the statement of cash flows. The Company adopted this new guidance on January 1, 2017. Since adoption, the new guidance has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consolidated statements of operations and the classification of cash flows in the relevant periods. The inclusion of excess tax benefits as an operating activity within the statement of cash flows was adopted on a prospective basis, with prior periods unadjusted. Based on the new guidance, the excess tax benefits are no longer included as assumed proceeds in the calculation of earnings per share under the treasury stock method on a prospective basis. Upon adoption of the new guidance, the Company also recorded deferred tax assets of $81,544, net of a valuation allowance of $12,090, for previously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unrecognized excess tax benefits (including tax benefits from dividends or dividend equivalents) on share-based incentive compensation arrangements, with an offsetting adjustment to retained earnings. With respect to forfeiture rates, the Company will continue to estimate the number of awards expected to be forfeited, rather than electing the option to account for forfeitures as they occur. See Note 16.</w:t>
      </w:r>
    </w:p>
    <w:p>
      <w:pPr>
        <w:spacing w:after="0" w:line="18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adopted the revenue recognition guidance upon its effective date of January 1, 2018 using the modified cumulative effect approach. The Company’s adoption efforts included the identification of revenue within the scope of the guidance and the evaluation of revenue contracts.</w:t>
      </w:r>
    </w:p>
    <w:p>
      <w:pPr>
        <w:spacing w:after="0" w:line="179" w:lineRule="exact"/>
        <w:rPr>
          <w:sz w:val="20"/>
          <w:szCs w:val="20"/>
          <w:color w:val="auto"/>
        </w:rPr>
      </w:pPr>
    </w:p>
    <w:p>
      <w:pPr>
        <w:ind w:right="40" w:firstLine="877"/>
        <w:spacing w:after="0" w:line="287" w:lineRule="auto"/>
        <w:rPr>
          <w:sz w:val="20"/>
          <w:szCs w:val="20"/>
          <w:color w:val="auto"/>
        </w:rPr>
      </w:pPr>
      <w:r>
        <w:rPr>
          <w:rFonts w:ascii="Arial" w:cs="Arial" w:eastAsia="Arial" w:hAnsi="Arial"/>
          <w:sz w:val="16"/>
          <w:szCs w:val="16"/>
          <w:color w:val="auto"/>
        </w:rPr>
        <w:t>The Company evaluated the potential impact of the new guidance including (i) the timing of revenue recognition for Financial Advisory and Asset Management fees and (ii) the presentation of certain contract costs. With respect to revenue recognition, the Company assessed the potential impact of the new guidance on the Company’s recognition of certain M&amp;A and Restructuring Advisory fees (e.g., transaction completion, transaction announcement and retainer fees), including whether the Company’s fulfillment of its performance obligations under M&amp;A and Restructuring Advisory engagement contracts would be deemed to occur over time, or at specific points in time, under the new guidance. Interpretive guidance on this particular topic was issued for comment by the Financial Reporting Executive Committee of the American Institute of Certified Public Accountants and is expected to be finalized during the first quarter of 2018. The Company considered the proposed guidance, and has concluded that M&amp;A and Restructuring Advisory fees would typically be recognized over time as performance occurs, subject to constraints, using an appropriate measure of progress. In addition, Asset Management fees would typically be recognized over time as performance occurs, subject to constraints, using an appropriate measure of progress. Therefore, with regard to revenue recognition, it is expected that there will be no material impact to the Company’s financial statements</w:t>
      </w:r>
      <w:r>
        <w:rPr>
          <w:rFonts w:ascii="Arial" w:cs="Arial" w:eastAsia="Arial" w:hAnsi="Arial"/>
          <w:sz w:val="19"/>
          <w:szCs w:val="19"/>
          <w:color w:val="auto"/>
        </w:rPr>
        <w:t>.</w:t>
      </w:r>
    </w:p>
    <w:p>
      <w:pPr>
        <w:spacing w:after="0" w:line="19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With respect to the potential impact of the new guidance on the Company’s presentation of certain contract costs, the Company has concluded that the new guidance will result in the gross basis of presentation of certain contract costs that are currently presented net of certain items in revenues. The most significant changes with respect to presentation relate to (a) certain distribution costs within our Asset Management business and (b) certain reimbursable deal costs within our Financial Advisory business, both of which are currently presented net against revenues and will be presented as expenses on a gross basis under the new guidance. The impact to the Company’s financial statements is prospective and dependent on future activity levels. The Company currently expects that the prospective presentation will result in an increase to net revenue with a corresponding increase to operating expenses, and that there will be no material impact to net income.</w:t>
      </w:r>
    </w:p>
    <w:p>
      <w:pPr>
        <w:spacing w:after="0" w:line="18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and November 2016, the FASB issued updated guidance which clarifies how</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is to be applied on a retrospective basis. The Company adopted this new guidance on January 1, 2018 and its impact is not expected to be material to the Company’s financial statements.</w:t>
      </w:r>
    </w:p>
    <w:p>
      <w:pPr>
        <w:spacing w:after="0" w:line="188"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In January 2017, the FASB issued updated guidance to clarify the definition of a business within the context</w:t>
      </w:r>
      <w:r>
        <w:rPr>
          <w:rFonts w:ascii="Arial" w:cs="Arial" w:eastAsia="Arial" w:hAnsi="Arial"/>
          <w:sz w:val="18"/>
          <w:szCs w:val="18"/>
          <w:i w:val="1"/>
          <w:iCs w:val="1"/>
          <w:color w:val="auto"/>
        </w:rPr>
        <w:t xml:space="preserve"> </w:t>
      </w:r>
      <w:r>
        <w:rPr>
          <w:rFonts w:ascii="Arial" w:cs="Arial" w:eastAsia="Arial" w:hAnsi="Arial"/>
          <w:sz w:val="18"/>
          <w:szCs w:val="18"/>
          <w:color w:val="auto"/>
        </w:rPr>
        <w:t>of business combinations. The updated guidance requires that when substantially all of the fair value of the gross assets acquired (or disposed of) is concentrated in a single identifiable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adopted the new guidance on January 1, 2018 and it will be applied to business combinations on a prospective basis.</w:t>
      </w:r>
    </w:p>
    <w:p>
      <w:pPr>
        <w:spacing w:after="0" w:line="193" w:lineRule="exact"/>
        <w:rPr>
          <w:sz w:val="20"/>
          <w:szCs w:val="20"/>
          <w:color w:val="auto"/>
        </w:rPr>
      </w:pPr>
    </w:p>
    <w:p>
      <w:pPr>
        <w:ind w:right="120" w:firstLine="638"/>
        <w:spacing w:after="0" w:line="271" w:lineRule="auto"/>
        <w:rPr>
          <w:sz w:val="20"/>
          <w:szCs w:val="20"/>
          <w:color w:val="auto"/>
        </w:rPr>
      </w:pP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Retirement Benefits</w:t>
      </w:r>
      <w:r>
        <w:rPr>
          <w:rFonts w:ascii="Arial" w:cs="Arial" w:eastAsia="Arial" w:hAnsi="Arial"/>
          <w:sz w:val="17"/>
          <w:szCs w:val="17"/>
          <w:color w:val="auto"/>
        </w:rPr>
        <w:t>—</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applied on a prospective basis. This new guidance is effective for annual and interim periods beginning after December 15, 2017. The Company adopted the new guidance on January 1, 2018 and no material impact is expected.</w:t>
      </w:r>
    </w:p>
    <w:p>
      <w:pPr>
        <w:spacing w:after="0" w:line="179" w:lineRule="exact"/>
        <w:rPr>
          <w:sz w:val="20"/>
          <w:szCs w:val="20"/>
          <w:color w:val="auto"/>
        </w:rPr>
      </w:pPr>
    </w:p>
    <w:p>
      <w:pPr>
        <w:ind w:right="180" w:firstLine="638"/>
        <w:spacing w:after="0" w:line="273" w:lineRule="auto"/>
        <w:rPr>
          <w:sz w:val="20"/>
          <w:szCs w:val="20"/>
          <w:color w:val="auto"/>
        </w:rPr>
      </w:pPr>
      <w:r>
        <w:rPr>
          <w:rFonts w:ascii="Arial" w:cs="Arial" w:eastAsia="Arial" w:hAnsi="Arial"/>
          <w:sz w:val="17"/>
          <w:szCs w:val="17"/>
          <w:i w:val="1"/>
          <w:iCs w:val="1"/>
          <w:color w:val="auto"/>
        </w:rPr>
        <w:t>Compensation—Stock Compensation: Scope of Modification Accounting—</w:t>
      </w:r>
      <w:r>
        <w:rPr>
          <w:rFonts w:ascii="Arial" w:cs="Arial" w:eastAsia="Arial" w:hAnsi="Arial"/>
          <w:sz w:val="17"/>
          <w:szCs w:val="17"/>
          <w:color w:val="auto"/>
        </w:rPr>
        <w:t>In May 2017, the FASB issued updated guidance on modifications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and is to be applied on a prospective basis. The Company adopted the new guidance on January 1, 2018 and no material impact is expected because the Company’s accounting policy is already in compliance with the new guidance.</w:t>
      </w:r>
    </w:p>
    <w:p>
      <w:pPr>
        <w:spacing w:after="0" w:line="178" w:lineRule="exact"/>
        <w:rPr>
          <w:sz w:val="20"/>
          <w:szCs w:val="20"/>
          <w:color w:val="auto"/>
        </w:rPr>
      </w:pPr>
    </w:p>
    <w:p>
      <w:pPr>
        <w:ind w:firstLine="638"/>
        <w:spacing w:after="0" w:line="254" w:lineRule="auto"/>
        <w:rPr>
          <w:sz w:val="20"/>
          <w:szCs w:val="20"/>
          <w:color w:val="auto"/>
        </w:rPr>
      </w:pP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In February 2018, the FASB issued updated guidance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tax effects of items in AOCI. Specifically, the new guidance will permit, but not require, a reclassification from AOCI to retained earnings for stranded tax effects resulting from the newly enacted federal corporate income tax rate under the Tax Cuts and Jobs Act of 2017 (see Note 16).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Early adoption of the new guidance is permitted for public business entities for reporting periods for which financial statements have not yet been issued. The Company is currently evaluating the new guidance.</w:t>
      </w:r>
    </w:p>
    <w:p>
      <w:pPr>
        <w:spacing w:after="0" w:line="192"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beginning after December 15, 2019 with early adoption permitted for fiscal years beginning after December 15, 2018. The Company is currently evaluating the new guidance.</w:t>
      </w:r>
    </w:p>
    <w:p>
      <w:pPr>
        <w:spacing w:after="0" w:line="163" w:lineRule="exact"/>
        <w:rPr>
          <w:sz w:val="20"/>
          <w:szCs w:val="20"/>
          <w:color w:val="auto"/>
        </w:rPr>
      </w:pPr>
    </w:p>
    <w:p>
      <w:pPr>
        <w:ind w:right="20" w:firstLine="598"/>
        <w:spacing w:after="0" w:line="289" w:lineRule="auto"/>
        <w:rPr>
          <w:sz w:val="20"/>
          <w:szCs w:val="20"/>
          <w:color w:val="auto"/>
        </w:rPr>
      </w:pPr>
      <w:r>
        <w:rPr>
          <w:rFonts w:ascii="Arial" w:cs="Arial" w:eastAsia="Arial" w:hAnsi="Arial"/>
          <w:sz w:val="17"/>
          <w:szCs w:val="17"/>
          <w:i w:val="1"/>
          <w:iCs w:val="1"/>
          <w:color w:val="auto"/>
        </w:rPr>
        <w:t>Intangibles</w:t>
      </w:r>
      <w:r>
        <w:rPr>
          <w:rFonts w:ascii="Arial" w:cs="Arial" w:eastAsia="Arial" w:hAnsi="Arial"/>
          <w:sz w:val="20"/>
          <w:szCs w:val="20"/>
          <w:color w:val="3C3C3D"/>
        </w:rPr>
        <w:t>—</w:t>
      </w:r>
      <w:r>
        <w:rPr>
          <w:rFonts w:ascii="Arial" w:cs="Arial" w:eastAsia="Arial" w:hAnsi="Arial"/>
          <w:sz w:val="17"/>
          <w:szCs w:val="17"/>
          <w:i w:val="1"/>
          <w:iCs w:val="1"/>
          <w:color w:val="auto"/>
        </w:rPr>
        <w:t>Goodwill and Other: Simplifying the Test for Goodwill Impairment</w:t>
      </w:r>
      <w:r>
        <w:rPr>
          <w:rFonts w:ascii="Arial" w:cs="Arial" w:eastAsia="Arial" w:hAnsi="Arial"/>
          <w:sz w:val="20"/>
          <w:szCs w:val="20"/>
          <w:color w:val="3C3C3D"/>
        </w:rPr>
        <w: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49" w:lineRule="exact"/>
        <w:rPr>
          <w:sz w:val="20"/>
          <w:szCs w:val="20"/>
          <w:color w:val="auto"/>
        </w:rPr>
      </w:pPr>
    </w:p>
    <w:p>
      <w:pPr>
        <w:ind w:left="600" w:hanging="592"/>
        <w:spacing w:after="0"/>
        <w:tabs>
          <w:tab w:leader="none" w:pos="60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Activity in the allowance for doubtful accounts for the years ended December 31, 2017, 2016 and 2015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23,540</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(8,059)</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(6,551)</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(13,783)</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12,882</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Bad debt expense, net of recoveries is included in “investment banking and other advisory fees” on the consolidated statements of operations.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2017 and 2016, the Company had receivables past due or deemed uncollectible of $34,865 and $22,212, respectively.</w:t>
      </w:r>
    </w:p>
    <w:p>
      <w:pPr>
        <w:spacing w:after="0" w:line="23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Of the Company’s fee receivables at December 31, 2017 and 2016, $80,536 and $76,133,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$491,080 and $562,149 at December 31, 2017 and 2016, respectively, approximates fair value.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0" w:hanging="592"/>
        <w:spacing w:after="0"/>
        <w:tabs>
          <w:tab w:leader="none" w:pos="60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2017 and 2016: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method</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Less: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Equity method</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458,744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w:t>
            </w:r>
          </w:p>
        </w:tc>
        <w:tc>
          <w:tcPr>
            <w:tcW w:w="2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(included in “other liabilities”)</w:t>
            </w:r>
          </w:p>
        </w:tc>
        <w:tc>
          <w:tcPr>
            <w:tcW w:w="2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7,338</w:t>
            </w:r>
          </w:p>
        </w:tc>
        <w:tc>
          <w:tcPr>
            <w:tcW w:w="280" w:type="dxa"/>
            <w:vAlign w:val="bottom"/>
          </w:tcPr>
          <w:p>
            <w:pPr>
              <w:spacing w:after="0"/>
              <w:rPr>
                <w:sz w:val="20"/>
                <w:szCs w:val="20"/>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20" w:hanging="592"/>
        <w:spacing w:after="0" w:line="257"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$11,213, $48,391 and $131,893, respectively, at December 31, 2017 and $13,080, $37,869 and $128,219, respectively, at December 31, 2016,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7 and 14).</w:t>
      </w:r>
    </w:p>
    <w:p>
      <w:pPr>
        <w:spacing w:after="0" w:line="188"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 In addition, in 2015, the Company disposed of its private equity business in Australia in a transaction with the management of the disposed business. Revenue of $24,388 relating to the disposal of the business primarily represents the realization of carried interest at fair value and is included in “revenue-other” on the consolidated statements of operations for the year ended December 31, 2015.</w:t>
      </w:r>
    </w:p>
    <w:p>
      <w:pPr>
        <w:spacing w:after="0" w:line="179"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During the years ended December 31, 2017, 2016 and 2015, the Company reported in “revenue-other” on its consolidated statements of operations net unrealized investment gains and losses pertaining to “trading” securities still held as of the reporting date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19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27,192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600" w:right="420" w:hanging="593"/>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600" w:right="200" w:hanging="593"/>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600" w:right="200" w:hanging="593"/>
        <w:spacing w:after="0" w:line="25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consolidated statements of financial condition. See Note 12.</w:t>
      </w:r>
    </w:p>
    <w:p>
      <w:pPr>
        <w:spacing w:after="0" w:line="19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The following tables present, as of December 31, 2017 and 2016,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FF0FC"/>
          </w:tcPr>
          <w:p>
            <w:pPr>
              <w:spacing w:after="0"/>
              <w:rPr>
                <w:sz w:val="19"/>
                <w:szCs w:val="19"/>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460,737</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years ended December 31, 2017, 2016 and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6,582</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 2016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32,725</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(30,067)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 2015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jc w:val="center"/>
              <w:ind w:left="139"/>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82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88"/>
              </w:rPr>
              <w:t>Purchases/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Dispositions/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4"/>
              </w:rPr>
              <w:t>(53)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00" w:hanging="592"/>
        <w:spacing w:after="0" w:line="302" w:lineRule="auto"/>
        <w:tabs>
          <w:tab w:leader="none" w:pos="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Earnings recorded in “other revenue” for investments in equities for the years ended December 31, 2017, 2016 and 2015 include net unrealized gains of $12, $243 and $14, respectively. Earnings recorded in “amortization and other acquisition-related costs” for the contingent consideration liability for the years ended December 31, 2017 and 2016 include unrealized losses of $6,582 and $2,658, respectively, and, for the year ended December 31, 2016, realized losses of $30,067 due to the change in the fair value of contingent consideration associated with the Edgewater business acquisition.</w:t>
      </w:r>
    </w:p>
    <w:p>
      <w:pPr>
        <w:spacing w:after="0" w:line="154"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2017 and 2016.</w:t>
      </w:r>
    </w:p>
    <w:p>
      <w:pPr>
        <w:spacing w:after="0" w:line="170"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b w:val="1"/>
          <w:bCs w:val="1"/>
          <w:i w:val="1"/>
          <w:iCs w:val="1"/>
          <w:color w:val="auto"/>
        </w:rPr>
        <w:t>Financial Instruments Not Measured at Fair Value—</w:t>
      </w:r>
      <w:r>
        <w:rPr>
          <w:rFonts w:ascii="Arial" w:cs="Arial" w:eastAsia="Arial" w:hAnsi="Arial"/>
          <w:sz w:val="18"/>
          <w:szCs w:val="18"/>
          <w:color w:val="auto"/>
        </w:rPr>
        <w:t>The tables below present the carrying value, fair value and fair value hierarchy category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financial instruments as of December 31, 2017 and 2016 that are not measured at fair value in the Company’s consolidated statement of financial condition, and excludes certain financial instruments such as equity method investments.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left="734"/>
              <w:spacing w:after="0" w:line="155" w:lineRule="exact"/>
              <w:rPr>
                <w:sz w:val="20"/>
                <w:szCs w:val="20"/>
                <w:color w:val="auto"/>
              </w:rPr>
            </w:pPr>
            <w:r>
              <w:rPr>
                <w:rFonts w:ascii="Arial" w:cs="Arial" w:eastAsia="Arial" w:hAnsi="Arial"/>
                <w:sz w:val="14"/>
                <w:szCs w:val="14"/>
                <w:b w:val="1"/>
                <w:bCs w:val="1"/>
                <w:color w:val="auto"/>
                <w:w w:val="93"/>
              </w:rPr>
              <w:t>Fair Value Measurements Using:</w:t>
            </w:r>
          </w:p>
        </w:tc>
        <w:tc>
          <w:tcPr>
            <w:tcW w:w="1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5"/>
              </w:rPr>
              <w:t>Carrying Value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1,483,836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1,483,836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1,483,836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35,539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992,338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992,338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992,338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1,230,254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left="734"/>
              <w:spacing w:after="0" w:line="155" w:lineRule="exact"/>
              <w:rPr>
                <w:sz w:val="20"/>
                <w:szCs w:val="20"/>
                <w:color w:val="auto"/>
              </w:rPr>
            </w:pPr>
            <w:r>
              <w:rPr>
                <w:rFonts w:ascii="Arial" w:cs="Arial" w:eastAsia="Arial" w:hAnsi="Arial"/>
                <w:sz w:val="14"/>
                <w:szCs w:val="14"/>
                <w:b w:val="1"/>
                <w:bCs w:val="1"/>
                <w:color w:val="auto"/>
                <w:w w:val="93"/>
              </w:rPr>
              <w:t>Fair Value Measurements Using:</w:t>
            </w: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Identical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1,158,785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1,158,785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1,158,785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Cash deposited with clearing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Arial" w:cs="Arial" w:eastAsia="Arial" w:hAnsi="Arial"/>
                <w:sz w:val="18"/>
                <w:szCs w:val="18"/>
                <w:color w:val="auto"/>
              </w:rPr>
              <w:t>organizations and other segregated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cash</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Interest-bearing financing receivables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Interest-bearing deposits (included within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Deposits and other customer payables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472,283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472,283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472,283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Senior debt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1,204,171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1,204,171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and cash equivalents are carried at either cost or amortized cost that approximates fair value due to their short-term maturities.</w:t>
      </w:r>
    </w:p>
    <w:p>
      <w:pPr>
        <w:spacing w:after="0" w:line="225"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170"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124"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The Company’s senior debt is carried at historical amounts. The fair value of the Company’s senior debt is based on market quotations.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tables present, at December 31, 2017 and 2016, certain investments that are valued using NAV or its equivalent as a practical expedient in determining fair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2017</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gridSpan w:val="7"/>
          </w:tcPr>
          <w:p>
            <w:pPr>
              <w:ind w:left="700"/>
              <w:spacing w:after="0" w:line="143" w:lineRule="exact"/>
              <w:rPr>
                <w:sz w:val="20"/>
                <w:szCs w:val="20"/>
                <w:color w:val="auto"/>
              </w:rPr>
            </w:pPr>
            <w:r>
              <w:rPr>
                <w:rFonts w:ascii="Arial" w:cs="Arial" w:eastAsia="Arial" w:hAnsi="Arial"/>
                <w:sz w:val="14"/>
                <w:szCs w:val="14"/>
                <w:b w:val="1"/>
                <w:bCs w:val="1"/>
                <w:color w:val="auto"/>
              </w:rPr>
              <w:t>Estimated Liquidation Period of</w:t>
            </w:r>
          </w:p>
        </w:tc>
        <w:tc>
          <w:tcPr>
            <w:tcW w:w="2180" w:type="dxa"/>
            <w:vAlign w:val="bottom"/>
            <w:gridSpan w:val="3"/>
          </w:tcPr>
          <w:p>
            <w:pPr>
              <w:jc w:val="right"/>
              <w:ind w:right="686"/>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84"/>
              </w:rPr>
              <w:t>Investments Not Redeemable</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920" w:type="dxa"/>
            <w:vAlign w:val="bottom"/>
          </w:tcPr>
          <w:p>
            <w:pPr>
              <w:jc w:val="right"/>
              <w:ind w:right="32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Next</w:t>
            </w:r>
          </w:p>
        </w:tc>
        <w:tc>
          <w:tcPr>
            <w:tcW w:w="92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4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5"/>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Redeemable</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Years</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40" w:type="dxa"/>
            <w:vAlign w:val="bottom"/>
          </w:tcPr>
          <w:p>
            <w:pPr>
              <w:jc w:val="right"/>
              <w:ind w:right="66"/>
              <w:spacing w:after="0"/>
              <w:rPr>
                <w:sz w:val="20"/>
                <w:szCs w:val="20"/>
                <w:color w:val="auto"/>
              </w:rPr>
            </w:pPr>
            <w:r>
              <w:rPr>
                <w:rFonts w:ascii="Arial" w:cs="Arial" w:eastAsia="Arial" w:hAnsi="Arial"/>
                <w:sz w:val="14"/>
                <w:szCs w:val="14"/>
                <w:b w:val="1"/>
                <w:bCs w:val="1"/>
                <w:color w:val="auto"/>
                <w:w w:val="97"/>
              </w:rPr>
              <w:t>Notice Period</w:t>
            </w: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2,517</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4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4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shd w:val="clear" w:color="auto" w:fill="CFF0FC"/>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 days</w:t>
            </w:r>
          </w:p>
        </w:tc>
      </w:tr>
      <w:tr>
        <w:trPr>
          <w:trHeight w:val="176"/>
        </w:trPr>
        <w:tc>
          <w:tcPr>
            <w:tcW w:w="1980" w:type="dxa"/>
            <w:vAlign w:val="bottom"/>
          </w:tcPr>
          <w:p>
            <w:pPr>
              <w:spacing w:after="0"/>
              <w:rPr>
                <w:sz w:val="20"/>
                <w:szCs w:val="20"/>
                <w:color w:val="auto"/>
              </w:rPr>
            </w:pPr>
            <w:r>
              <w:rPr>
                <w:rFonts w:ascii="Arial" w:cs="Arial" w:eastAsia="Arial" w:hAnsi="Arial"/>
                <w:sz w:val="15"/>
                <w:szCs w:val="15"/>
                <w:color w:val="auto"/>
              </w:rPr>
              <w:t>Equity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Arial" w:cs="Arial" w:eastAsia="Arial" w:hAnsi="Arial"/>
                <w:sz w:val="15"/>
                <w:szCs w:val="15"/>
                <w:color w:val="auto"/>
              </w:rPr>
              <w:t>NA</w:t>
            </w:r>
          </w:p>
        </w:tc>
        <w:tc>
          <w:tcPr>
            <w:tcW w:w="1180" w:type="dxa"/>
            <w:vAlign w:val="bottom"/>
            <w:gridSpan w:val="2"/>
          </w:tcPr>
          <w:p>
            <w:pPr>
              <w:ind w:left="70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80"/>
              <w:spacing w:after="0"/>
              <w:rPr>
                <w:sz w:val="20"/>
                <w:szCs w:val="20"/>
                <w:color w:val="auto"/>
              </w:rPr>
            </w:pPr>
            <w:r>
              <w:rPr>
                <w:rFonts w:ascii="Arial" w:cs="Arial" w:eastAsia="Arial" w:hAnsi="Arial"/>
                <w:sz w:val="15"/>
                <w:szCs w:val="15"/>
                <w:color w:val="auto"/>
              </w:rPr>
              <w:t>NA</w:t>
            </w:r>
          </w:p>
        </w:tc>
        <w:tc>
          <w:tcPr>
            <w:tcW w:w="1060" w:type="dxa"/>
            <w:vAlign w:val="bottom"/>
            <w:gridSpan w:val="2"/>
          </w:tcPr>
          <w:p>
            <w:pPr>
              <w:ind w:left="56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4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198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76"/>
        </w:trPr>
        <w:tc>
          <w:tcPr>
            <w:tcW w:w="19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Equity growth</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76,679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10,300</w:t>
            </w:r>
          </w:p>
        </w:tc>
        <w:tc>
          <w:tcPr>
            <w:tcW w:w="400" w:type="dxa"/>
            <w:vAlign w:val="bottom"/>
            <w:tcBorders>
              <w:bottom w:val="single" w:sz="8" w:color="CFF0FC"/>
            </w:tcBorders>
          </w:tcPr>
          <w:p>
            <w:pPr>
              <w:ind w:left="100"/>
              <w:spacing w:after="0"/>
              <w:rPr>
                <w:sz w:val="20"/>
                <w:szCs w:val="20"/>
                <w:color w:val="auto"/>
              </w:rPr>
            </w:pPr>
            <w:r>
              <w:rPr>
                <w:rFonts w:ascii="Arial" w:cs="Arial" w:eastAsia="Arial" w:hAnsi="Arial"/>
                <w:sz w:val="15"/>
                <w:szCs w:val="15"/>
                <w:color w:val="auto"/>
              </w:rPr>
              <w:t>(f)</w:t>
            </w:r>
          </w:p>
        </w:tc>
        <w:tc>
          <w:tcPr>
            <w:tcW w:w="1160" w:type="dxa"/>
            <w:vAlign w:val="bottom"/>
            <w:tcBorders>
              <w:bottom w:val="single" w:sz="8" w:color="CFF0FC"/>
            </w:tcBorders>
            <w:gridSpan w:val="2"/>
          </w:tcPr>
          <w:p>
            <w:pPr>
              <w:ind w:left="660"/>
              <w:spacing w:after="0"/>
              <w:rPr>
                <w:sz w:val="20"/>
                <w:szCs w:val="20"/>
                <w:color w:val="auto"/>
              </w:rPr>
            </w:pPr>
            <w:r>
              <w:rPr>
                <w:rFonts w:ascii="Arial" w:cs="Arial" w:eastAsia="Arial" w:hAnsi="Arial"/>
                <w:sz w:val="15"/>
                <w:szCs w:val="15"/>
                <w:color w:val="auto"/>
              </w:rPr>
              <w:t>100%</w:t>
            </w:r>
          </w:p>
        </w:tc>
        <w:tc>
          <w:tcPr>
            <w:tcW w:w="1180" w:type="dxa"/>
            <w:vAlign w:val="bottom"/>
            <w:tcBorders>
              <w:bottom w:val="single" w:sz="8" w:color="CFF0FC"/>
            </w:tcBorders>
            <w:gridSpan w:val="2"/>
          </w:tcPr>
          <w:p>
            <w:pPr>
              <w:ind w:left="760"/>
              <w:spacing w:after="0"/>
              <w:rPr>
                <w:sz w:val="20"/>
                <w:szCs w:val="20"/>
                <w:color w:val="auto"/>
              </w:rPr>
            </w:pPr>
            <w:r>
              <w:rPr>
                <w:rFonts w:ascii="Arial" w:cs="Arial" w:eastAsia="Arial" w:hAnsi="Arial"/>
                <w:sz w:val="15"/>
                <w:szCs w:val="15"/>
                <w:color w:val="auto"/>
              </w:rPr>
              <w:t>16%</w:t>
            </w:r>
          </w:p>
        </w:tc>
        <w:tc>
          <w:tcPr>
            <w:tcW w:w="1180" w:type="dxa"/>
            <w:vAlign w:val="bottom"/>
            <w:tcBorders>
              <w:bottom w:val="single" w:sz="8" w:color="CFF0FC"/>
            </w:tcBorders>
            <w:gridSpan w:val="2"/>
          </w:tcPr>
          <w:p>
            <w:pPr>
              <w:ind w:left="760"/>
              <w:spacing w:after="0"/>
              <w:rPr>
                <w:sz w:val="20"/>
                <w:szCs w:val="20"/>
                <w:color w:val="auto"/>
              </w:rPr>
            </w:pPr>
            <w:r>
              <w:rPr>
                <w:rFonts w:ascii="Arial" w:cs="Arial" w:eastAsia="Arial" w:hAnsi="Arial"/>
                <w:sz w:val="15"/>
                <w:szCs w:val="15"/>
                <w:color w:val="auto"/>
              </w:rPr>
              <w:t>38%</w:t>
            </w:r>
          </w:p>
        </w:tc>
        <w:tc>
          <w:tcPr>
            <w:tcW w:w="12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gridSpan w:val="2"/>
          </w:tcPr>
          <w:p>
            <w:pPr>
              <w:ind w:left="620"/>
              <w:spacing w:after="0"/>
              <w:rPr>
                <w:sz w:val="20"/>
                <w:szCs w:val="20"/>
                <w:color w:val="auto"/>
              </w:rPr>
            </w:pPr>
            <w:r>
              <w:rPr>
                <w:rFonts w:ascii="Arial" w:cs="Arial" w:eastAsia="Arial" w:hAnsi="Arial"/>
                <w:sz w:val="15"/>
                <w:szCs w:val="15"/>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1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w:t>
            </w:r>
          </w:p>
        </w:tc>
        <w:tc>
          <w:tcPr>
            <w:tcW w:w="24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80,378</w:t>
            </w:r>
          </w:p>
        </w:tc>
        <w:tc>
          <w:tcPr>
            <w:tcW w:w="3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10,300</w:t>
            </w:r>
          </w:p>
        </w:tc>
        <w:tc>
          <w:tcPr>
            <w:tcW w:w="4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1" w:lineRule="exact"/>
        <w:rPr>
          <w:sz w:val="20"/>
          <w:szCs w:val="20"/>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weekly (3%), monthly (5%) and quarterly (92%)</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22" w:lineRule="exact"/>
        <w:rPr>
          <w:rFonts w:ascii="Arial" w:cs="Arial" w:eastAsia="Arial" w:hAnsi="Arial"/>
          <w:sz w:val="18"/>
          <w:szCs w:val="18"/>
          <w:color w:val="auto"/>
        </w:rPr>
      </w:pPr>
    </w:p>
    <w:p>
      <w:pPr>
        <w:ind w:left="600" w:right="60" w:hanging="592"/>
        <w:spacing w:after="0" w:line="276"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2016</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3"/>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7"/>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Estimated Liquidation Period of</w:t>
            </w:r>
          </w:p>
        </w:tc>
        <w:tc>
          <w:tcPr>
            <w:tcW w:w="2180" w:type="dxa"/>
            <w:vAlign w:val="bottom"/>
            <w:gridSpan w:val="3"/>
          </w:tcPr>
          <w:p>
            <w:pPr>
              <w:jc w:val="right"/>
              <w:ind w:right="685"/>
              <w:spacing w:after="0" w:line="143" w:lineRule="exact"/>
              <w:rPr>
                <w:sz w:val="20"/>
                <w:szCs w:val="20"/>
                <w:color w:val="auto"/>
              </w:rPr>
            </w:pPr>
            <w:r>
              <w:rPr>
                <w:rFonts w:ascii="Arial" w:cs="Arial" w:eastAsia="Arial" w:hAnsi="Arial"/>
                <w:sz w:val="14"/>
                <w:szCs w:val="14"/>
                <w:b w:val="1"/>
                <w:bCs w:val="1"/>
                <w:color w:val="auto"/>
              </w:rPr>
              <w:t>Investments</w:t>
            </w:r>
          </w:p>
        </w:tc>
      </w:t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tcBorders>
              <w:bottom w:val="single" w:sz="8" w:color="auto"/>
            </w:tcBorders>
            <w:gridSpan w:val="5"/>
          </w:tcPr>
          <w:p>
            <w:pPr>
              <w:jc w:val="center"/>
              <w:ind w:left="668"/>
              <w:spacing w:after="0"/>
              <w:rPr>
                <w:sz w:val="20"/>
                <w:szCs w:val="20"/>
                <w:color w:val="auto"/>
              </w:rPr>
            </w:pPr>
            <w:r>
              <w:rPr>
                <w:rFonts w:ascii="Arial" w:cs="Arial" w:eastAsia="Arial" w:hAnsi="Arial"/>
                <w:sz w:val="14"/>
                <w:szCs w:val="14"/>
                <w:b w:val="1"/>
                <w:bCs w:val="1"/>
                <w:color w:val="auto"/>
                <w:w w:val="86"/>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4"/>
                <w:szCs w:val="14"/>
                <w:b w:val="1"/>
                <w:bCs w:val="1"/>
                <w:color w:val="auto"/>
              </w:rPr>
              <w:t>Redeemable</w:t>
            </w:r>
          </w:p>
        </w:tc>
      </w:tr>
      <w:tr>
        <w:trPr>
          <w:trHeight w:val="143"/>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 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900" w:type="dxa"/>
            <w:vAlign w:val="bottom"/>
          </w:tcPr>
          <w:p>
            <w:pPr>
              <w:jc w:val="right"/>
              <w:ind w:right="326"/>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w w:val="91"/>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325"/>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Redemption</w:t>
            </w:r>
          </w:p>
        </w:tc>
        <w:tc>
          <w:tcPr>
            <w:tcW w:w="1040" w:type="dxa"/>
            <w:vAlign w:val="bottom"/>
          </w:tcPr>
          <w:p>
            <w:pPr>
              <w:jc w:val="right"/>
              <w:ind w:right="105"/>
              <w:spacing w:after="0" w:line="149" w:lineRule="exact"/>
              <w:rPr>
                <w:sz w:val="20"/>
                <w:szCs w:val="20"/>
                <w:color w:val="auto"/>
              </w:rPr>
            </w:pPr>
            <w:r>
              <w:rPr>
                <w:rFonts w:ascii="Arial" w:cs="Arial" w:eastAsia="Arial" w:hAnsi="Arial"/>
                <w:sz w:val="14"/>
                <w:szCs w:val="14"/>
                <w:b w:val="1"/>
                <w:bCs w:val="1"/>
                <w:color w:val="auto"/>
              </w:rPr>
              <w:t>Redemption</w:t>
            </w:r>
          </w:p>
        </w:tc>
      </w:tr>
      <w:tr>
        <w:trPr>
          <w:trHeight w:val="161"/>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Years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Frequency</w:t>
            </w:r>
          </w:p>
        </w:tc>
        <w:tc>
          <w:tcPr>
            <w:tcW w:w="1040" w:type="dxa"/>
            <w:vAlign w:val="bottom"/>
          </w:tcPr>
          <w:p>
            <w:pPr>
              <w:jc w:val="right"/>
              <w:ind w:right="65"/>
              <w:spacing w:after="0"/>
              <w:rPr>
                <w:sz w:val="20"/>
                <w:szCs w:val="20"/>
                <w:color w:val="auto"/>
              </w:rPr>
            </w:pPr>
            <w:r>
              <w:rPr>
                <w:rFonts w:ascii="Arial" w:cs="Arial" w:eastAsia="Arial" w:hAnsi="Arial"/>
                <w:sz w:val="14"/>
                <w:szCs w:val="14"/>
                <w:b w:val="1"/>
                <w:bCs w:val="1"/>
                <w:color w:val="auto"/>
                <w:w w:val="97"/>
              </w:rPr>
              <w:t>Notice Period</w:t>
            </w:r>
          </w:p>
        </w:tc>
      </w:tr>
      <w:tr>
        <w:trPr>
          <w:trHeight w:val="169"/>
        </w:trPr>
        <w:tc>
          <w:tcPr>
            <w:tcW w:w="21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Alternative investment funds:</w:t>
            </w:r>
          </w:p>
        </w:tc>
        <w:tc>
          <w:tcPr>
            <w:tcW w:w="10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r>
      <w:tr>
        <w:trPr>
          <w:trHeight w:val="176"/>
        </w:trPr>
        <w:tc>
          <w:tcPr>
            <w:tcW w:w="2160" w:type="dxa"/>
            <w:vAlign w:val="bottom"/>
          </w:tcPr>
          <w:p>
            <w:pPr>
              <w:ind w:left="260"/>
              <w:spacing w:after="0"/>
              <w:rPr>
                <w:sz w:val="20"/>
                <w:szCs w:val="20"/>
                <w:color w:val="auto"/>
              </w:rPr>
            </w:pPr>
            <w:r>
              <w:rPr>
                <w:rFonts w:ascii="Arial" w:cs="Arial" w:eastAsia="Arial" w:hAnsi="Arial"/>
                <w:sz w:val="15"/>
                <w:szCs w:val="15"/>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6,190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(a)</w:t>
            </w:r>
          </w:p>
        </w:tc>
        <w:tc>
          <w:tcPr>
            <w:tcW w:w="104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2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Funds of funds</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2160" w:type="dxa"/>
            <w:vAlign w:val="bottom"/>
          </w:tcPr>
          <w:p>
            <w:pPr>
              <w:ind w:left="26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40" w:type="dxa"/>
            <w:vAlign w:val="bottom"/>
          </w:tcPr>
          <w:p>
            <w:pPr>
              <w:jc w:val="right"/>
              <w:spacing w:after="0"/>
              <w:rPr>
                <w:sz w:val="20"/>
                <w:szCs w:val="20"/>
                <w:color w:val="auto"/>
              </w:rPr>
            </w:pPr>
            <w:r>
              <w:rPr>
                <w:rFonts w:ascii="Arial" w:cs="Arial" w:eastAsia="Arial" w:hAnsi="Arial"/>
                <w:sz w:val="15"/>
                <w:szCs w:val="15"/>
                <w:color w:val="auto"/>
              </w:rPr>
              <w:t>&lt;30-60 days</w:t>
            </w:r>
          </w:p>
        </w:tc>
      </w:tr>
      <w:tr>
        <w:trPr>
          <w:trHeight w:val="176"/>
        </w:trPr>
        <w:tc>
          <w:tcPr>
            <w:tcW w:w="2160" w:type="dxa"/>
            <w:vAlign w:val="bottom"/>
            <w:shd w:val="clear" w:color="auto" w:fill="CFF0FC"/>
          </w:tcPr>
          <w:p>
            <w:pPr>
              <w:spacing w:after="0"/>
              <w:rPr>
                <w:sz w:val="20"/>
                <w:szCs w:val="20"/>
                <w:color w:val="auto"/>
              </w:rPr>
            </w:pPr>
            <w:r>
              <w:rPr>
                <w:rFonts w:ascii="Arial" w:cs="Arial" w:eastAsia="Arial" w:hAnsi="Arial"/>
                <w:sz w:val="15"/>
                <w:szCs w:val="15"/>
                <w:color w:val="auto"/>
              </w:rPr>
              <w:t>Debt funds</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300" w:type="dxa"/>
            <w:vAlign w:val="bottom"/>
            <w:gridSpan w:val="3"/>
            <w:shd w:val="clear" w:color="auto" w:fill="CFF0FC"/>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 days</w:t>
            </w:r>
          </w:p>
        </w:tc>
      </w:tr>
      <w:tr>
        <w:trPr>
          <w:trHeight w:val="176"/>
        </w:trPr>
        <w:tc>
          <w:tcPr>
            <w:tcW w:w="2160" w:type="dxa"/>
            <w:vAlign w:val="bottom"/>
          </w:tcPr>
          <w:p>
            <w:pPr>
              <w:spacing w:after="0"/>
              <w:rPr>
                <w:sz w:val="20"/>
                <w:szCs w:val="20"/>
                <w:color w:val="auto"/>
              </w:rPr>
            </w:pPr>
            <w:r>
              <w:rPr>
                <w:rFonts w:ascii="Arial" w:cs="Arial" w:eastAsia="Arial" w:hAnsi="Arial"/>
                <w:sz w:val="15"/>
                <w:szCs w:val="15"/>
                <w:color w:val="auto"/>
              </w:rPr>
              <w:t>Equity funds</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300" w:type="dxa"/>
            <w:vAlign w:val="bottom"/>
            <w:gridSpan w:val="3"/>
          </w:tcPr>
          <w:p>
            <w:pPr>
              <w:ind w:left="660"/>
              <w:spacing w:after="0"/>
              <w:rPr>
                <w:sz w:val="20"/>
                <w:szCs w:val="20"/>
                <w:color w:val="auto"/>
              </w:rPr>
            </w:pPr>
            <w:r>
              <w:rPr>
                <w:rFonts w:ascii="Arial" w:cs="Arial" w:eastAsia="Arial" w:hAnsi="Arial"/>
                <w:sz w:val="15"/>
                <w:szCs w:val="15"/>
                <w:color w:val="auto"/>
              </w:rPr>
              <w:t>NA</w:t>
            </w:r>
          </w:p>
        </w:tc>
        <w:tc>
          <w:tcPr>
            <w:tcW w:w="104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(e)</w:t>
            </w:r>
          </w:p>
        </w:tc>
        <w:tc>
          <w:tcPr>
            <w:tcW w:w="1040" w:type="dxa"/>
            <w:vAlign w:val="bottom"/>
          </w:tcPr>
          <w:p>
            <w:pPr>
              <w:jc w:val="right"/>
              <w:spacing w:after="0"/>
              <w:rPr>
                <w:sz w:val="20"/>
                <w:szCs w:val="20"/>
                <w:color w:val="auto"/>
              </w:rPr>
            </w:pPr>
            <w:r>
              <w:rPr>
                <w:rFonts w:ascii="Arial" w:cs="Arial" w:eastAsia="Arial" w:hAnsi="Arial"/>
                <w:sz w:val="15"/>
                <w:szCs w:val="15"/>
                <w:color w:val="auto"/>
              </w:rPr>
              <w:t>&lt;30-90 days</w:t>
            </w:r>
          </w:p>
        </w:tc>
      </w:tr>
      <w:tr>
        <w:trPr>
          <w:trHeight w:val="176"/>
        </w:trPr>
        <w:tc>
          <w:tcPr>
            <w:tcW w:w="2160" w:type="dxa"/>
            <w:vAlign w:val="bottom"/>
            <w:shd w:val="clear" w:color="auto" w:fill="CFF0FC"/>
          </w:tcPr>
          <w:p>
            <w:pPr>
              <w:spacing w:after="0"/>
              <w:rPr>
                <w:sz w:val="20"/>
                <w:szCs w:val="20"/>
                <w:color w:val="auto"/>
              </w:rPr>
            </w:pPr>
            <w:r>
              <w:rPr>
                <w:rFonts w:ascii="Arial" w:cs="Arial" w:eastAsia="Arial" w:hAnsi="Arial"/>
                <w:sz w:val="15"/>
                <w:szCs w:val="15"/>
                <w:color w:val="auto"/>
              </w:rPr>
              <w:t>Private equity funds:</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76"/>
        </w:trPr>
        <w:tc>
          <w:tcPr>
            <w:tcW w:w="2160" w:type="dxa"/>
            <w:vAlign w:val="bottom"/>
          </w:tcPr>
          <w:p>
            <w:pPr>
              <w:ind w:left="260"/>
              <w:spacing w:after="0"/>
              <w:rPr>
                <w:sz w:val="20"/>
                <w:szCs w:val="20"/>
                <w:color w:val="auto"/>
              </w:rPr>
            </w:pPr>
            <w:r>
              <w:rPr>
                <w:rFonts w:ascii="Arial" w:cs="Arial" w:eastAsia="Arial" w:hAnsi="Arial"/>
                <w:sz w:val="15"/>
                <w:szCs w:val="15"/>
                <w:color w:val="auto"/>
              </w:rPr>
              <w:t>Equity growth</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90,824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9,183</w:t>
            </w:r>
          </w:p>
        </w:tc>
        <w:tc>
          <w:tcPr>
            <w:tcW w:w="400" w:type="dxa"/>
            <w:vAlign w:val="bottom"/>
          </w:tcPr>
          <w:p>
            <w:pPr>
              <w:ind w:left="100"/>
              <w:spacing w:after="0"/>
              <w:rPr>
                <w:sz w:val="20"/>
                <w:szCs w:val="20"/>
                <w:color w:val="auto"/>
              </w:rPr>
            </w:pPr>
            <w:r>
              <w:rPr>
                <w:rFonts w:ascii="Arial" w:cs="Arial" w:eastAsia="Arial" w:hAnsi="Arial"/>
                <w:sz w:val="15"/>
                <w:szCs w:val="15"/>
                <w:color w:val="auto"/>
              </w:rPr>
              <w:t>(f)</w:t>
            </w:r>
          </w:p>
        </w:tc>
        <w:tc>
          <w:tcPr>
            <w:tcW w:w="1160" w:type="dxa"/>
            <w:vAlign w:val="bottom"/>
            <w:gridSpan w:val="2"/>
          </w:tcPr>
          <w:p>
            <w:pPr>
              <w:ind w:left="660"/>
              <w:spacing w:after="0"/>
              <w:rPr>
                <w:sz w:val="20"/>
                <w:szCs w:val="20"/>
                <w:color w:val="auto"/>
              </w:rPr>
            </w:pPr>
            <w:r>
              <w:rPr>
                <w:rFonts w:ascii="Arial" w:cs="Arial" w:eastAsia="Arial" w:hAnsi="Arial"/>
                <w:sz w:val="15"/>
                <w:szCs w:val="15"/>
                <w:color w:val="auto"/>
              </w:rPr>
              <w:t>100%</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12%</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55%</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176"/>
        </w:trPr>
        <w:tc>
          <w:tcPr>
            <w:tcW w:w="2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Mezzanine debt</w:t>
            </w: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31,597</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5"/>
                <w:szCs w:val="15"/>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NA</w:t>
            </w:r>
          </w:p>
        </w:tc>
      </w:tr>
      <w:tr>
        <w:trPr>
          <w:trHeight w:val="169"/>
        </w:trPr>
        <w:tc>
          <w:tcPr>
            <w:tcW w:w="2160" w:type="dxa"/>
            <w:vAlign w:val="bottom"/>
          </w:tcPr>
          <w:p>
            <w:pPr>
              <w:spacing w:after="0" w:line="169" w:lineRule="exact"/>
              <w:rPr>
                <w:sz w:val="20"/>
                <w:szCs w:val="20"/>
                <w:color w:val="auto"/>
              </w:rPr>
            </w:pPr>
            <w:r>
              <w:rPr>
                <w:rFonts w:ascii="Arial" w:cs="Arial" w:eastAsia="Arial" w:hAnsi="Arial"/>
                <w:sz w:val="15"/>
                <w:szCs w:val="15"/>
                <w:color w:val="auto"/>
              </w:rPr>
              <w:t>Total</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129,591</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9,183</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1" w:lineRule="exact"/>
        <w:rPr>
          <w:sz w:val="20"/>
          <w:szCs w:val="20"/>
          <w:color w:val="auto"/>
        </w:rPr>
      </w:pPr>
    </w:p>
    <w:p>
      <w:pPr>
        <w:ind w:left="600" w:hanging="592"/>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weekly (73%), monthly (2%) and quarterly (25%)</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daily (7%) and monthly (93%)</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daily (100%)</w:t>
      </w:r>
    </w:p>
    <w:p>
      <w:pPr>
        <w:spacing w:after="0" w:line="22" w:lineRule="exact"/>
        <w:rPr>
          <w:rFonts w:ascii="Arial" w:cs="Arial" w:eastAsia="Arial" w:hAnsi="Arial"/>
          <w:sz w:val="18"/>
          <w:szCs w:val="18"/>
          <w:color w:val="auto"/>
        </w:rPr>
      </w:pPr>
    </w:p>
    <w:p>
      <w:pPr>
        <w:ind w:left="600" w:hanging="592"/>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daily (19%), monthly (50%) and quarterly (31%)</w:t>
      </w:r>
    </w:p>
    <w:p>
      <w:pPr>
        <w:spacing w:after="0" w:line="22" w:lineRule="exact"/>
        <w:rPr>
          <w:rFonts w:ascii="Arial" w:cs="Arial" w:eastAsia="Arial" w:hAnsi="Arial"/>
          <w:sz w:val="18"/>
          <w:szCs w:val="18"/>
          <w:color w:val="auto"/>
        </w:rPr>
      </w:pPr>
    </w:p>
    <w:p>
      <w:pPr>
        <w:ind w:left="600" w:right="60" w:hanging="592"/>
        <w:spacing w:after="0" w:line="276" w:lineRule="auto"/>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December 31, 2017,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296" w:lineRule="exact"/>
        <w:rPr>
          <w:sz w:val="20"/>
          <w:szCs w:val="20"/>
          <w:color w:val="auto"/>
        </w:rPr>
      </w:pPr>
    </w:p>
    <w:p>
      <w:pPr>
        <w:ind w:left="600" w:hanging="592"/>
        <w:spacing w:after="0"/>
        <w:tabs>
          <w:tab w:leader="none" w:pos="60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14) on the accompanying consolidated statements of financial condition as of December 31,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3,314</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618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4,846</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182,301</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198,417</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150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71" w:lineRule="exact"/>
        <w:rPr>
          <w:sz w:val="20"/>
          <w:szCs w:val="20"/>
          <w:color w:val="auto"/>
        </w:rPr>
      </w:pPr>
    </w:p>
    <w:p>
      <w:pPr>
        <w:ind w:left="600" w:right="180" w:hanging="592"/>
        <w:spacing w:after="0" w:line="259"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$469 and $11,321 as of December 31, 2017, respectively, and $357 and $9,400 as of December 31, 2016, respectively, for contracts with the same counterparty under legally enforceable master netting agreements. Such amounts are recorded “net” in “other assets”, with receivables for net cash collateral under such contracts of $17,616 and $16,996 as of December 31, 2017 and 2016, respectively.</w:t>
      </w:r>
    </w:p>
    <w:p>
      <w:pPr>
        <w:spacing w:after="0" w:line="187" w:lineRule="exact"/>
        <w:rPr>
          <w:sz w:val="20"/>
          <w:szCs w:val="20"/>
          <w:color w:val="auto"/>
        </w:rPr>
      </w:pPr>
    </w:p>
    <w:p>
      <w:pPr>
        <w:ind w:right="480" w:firstLine="598"/>
        <w:spacing w:after="0" w:line="312"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2017, 2016 and 2015,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(23,526)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(3,318)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(15,709)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(4,636)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(10,207)</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vMerge w:val="restart"/>
          </w:tcPr>
          <w:p>
            <w:pPr>
              <w:jc w:val="right"/>
              <w:ind w:right="85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9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32" w:lineRule="exact"/>
        <w:rPr>
          <w:sz w:val="20"/>
          <w:szCs w:val="20"/>
          <w:color w:val="auto"/>
        </w:rPr>
      </w:pPr>
    </w:p>
    <w:p>
      <w:pPr>
        <w:ind w:left="600" w:hanging="592"/>
        <w:spacing w:after="0"/>
        <w:tabs>
          <w:tab w:leader="none" w:pos="60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2017 and 2016, property consisted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151,912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173,102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175,810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172,353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523,128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495,022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317,827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286,001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205,301</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209,021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2017 and 2016 are presented below:</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60" w:type="dxa"/>
            <w:vAlign w:val="bottom"/>
            <w:shd w:val="clear" w:color="auto" w:fill="CFF0FC"/>
          </w:tcPr>
          <w:p>
            <w:pPr>
              <w:spacing w:after="0"/>
              <w:rPr>
                <w:sz w:val="19"/>
                <w:szCs w:val="19"/>
                <w:color w:val="auto"/>
              </w:rPr>
            </w:pPr>
          </w:p>
        </w:tc>
      </w:tr>
      <w:tr>
        <w:trPr>
          <w:trHeight w:val="215"/>
        </w:trPr>
        <w:tc>
          <w:tcPr>
            <w:tcW w:w="546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391,364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382,024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At December 31, 2017 and 2016, goodwill of $320,751 and $308,576, respectively, was attributable to the Company’s Financial Advisory segment and, at each such respective date, $64,541 of goodwill was attributable to the Company’s Asset Management segment.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carrying amount of goodwill for the years ended December 31, 2017, 2016 and 2015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335,402</w:t>
            </w:r>
          </w:p>
        </w:tc>
        <w:tc>
          <w:tcPr>
            <w:tcW w:w="8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Business acquisitions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(2,275)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(14,641)</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385,292</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373,117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All changes in the carrying amount of goodwill for the years ended December 31, 2017, 2016 and 2015 are attributable to the Company’s Financial Advisory segment.</w:t>
      </w:r>
    </w:p>
    <w:p>
      <w:pPr>
        <w:spacing w:after="0" w:line="170" w:lineRule="exact"/>
        <w:rPr>
          <w:sz w:val="20"/>
          <w:szCs w:val="20"/>
          <w:color w:val="auto"/>
        </w:rPr>
      </w:pPr>
    </w:p>
    <w:p>
      <w:pPr>
        <w:jc w:val="both"/>
        <w:ind w:firstLine="598"/>
        <w:spacing w:after="0" w:line="342" w:lineRule="auto"/>
        <w:rPr>
          <w:sz w:val="20"/>
          <w:szCs w:val="20"/>
          <w:color w:val="auto"/>
        </w:rPr>
      </w:pPr>
      <w:r>
        <w:rPr>
          <w:rFonts w:ascii="Arial" w:cs="Arial" w:eastAsia="Arial" w:hAnsi="Arial"/>
          <w:sz w:val="16"/>
          <w:szCs w:val="16"/>
          <w:color w:val="auto"/>
        </w:rPr>
        <w:t>The Company evaluates goodwill for impairment annually or more frequently if circumstances indicate that impairment may have occurred. Pursuant to the Company’s goodwill impairment review for the years ended December 31, 2017, 2016 and 2015, the Company determined that no impairment existed.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gross cost and accumulated amortization of other intangible assets as of December 31, 2017 and 2016, by major intangible asset category,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26,984</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33,749</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68,987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60,080</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Amortization expense of intangible assets, included in “amortization and other acquisition-related costs” in the consolidated statements of operations, for the years ended December 31, 2017, 2016 and 2015 was $2,932, $2,522 and $5,821, respectively. Estimated future amortization expense is as follows:</w:t>
      </w:r>
    </w:p>
    <w:p>
      <w:pPr>
        <w:spacing w:after="0" w:line="11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Expense (a)</w:t>
            </w:r>
          </w:p>
        </w:tc>
        <w:tc>
          <w:tcPr>
            <w:tcW w:w="0" w:type="dxa"/>
            <w:vAlign w:val="bottom"/>
          </w:tcPr>
          <w:p>
            <w:pPr>
              <w:spacing w:after="0"/>
              <w:rPr>
                <w:sz w:val="1"/>
                <w:szCs w:val="1"/>
                <w:color w:val="auto"/>
              </w:rPr>
            </w:pP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35% of intangible asset amortization is attributable to a noncontrolling interest.</w:t>
      </w:r>
    </w:p>
    <w:p>
      <w:pPr>
        <w:spacing w:after="0" w:line="200" w:lineRule="exact"/>
        <w:rPr>
          <w:sz w:val="20"/>
          <w:szCs w:val="20"/>
          <w:color w:val="auto"/>
        </w:rPr>
      </w:pPr>
    </w:p>
    <w:p>
      <w:pPr>
        <w:spacing w:after="0" w:line="228" w:lineRule="exact"/>
        <w:rPr>
          <w:sz w:val="20"/>
          <w:szCs w:val="20"/>
          <w:color w:val="auto"/>
        </w:rPr>
      </w:pPr>
    </w:p>
    <w:p>
      <w:pPr>
        <w:ind w:left="600" w:hanging="592"/>
        <w:spacing w:after="0"/>
        <w:tabs>
          <w:tab w:leader="none" w:pos="60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Current tax receivables and other taxes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31,767</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Prepaid compensation (see Note 14)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49,650</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advances and prepayments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56,595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35,706</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72,390</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67,376</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228,144</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Company’s other liabilities, by type, as of December 31,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155,551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124,721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Current income taxes and other taxes</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123,548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99,278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benefit-related liabilities</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85,028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Unclaimed funds at LFB</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revenue</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45,390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43,629</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56,653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32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573,588</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40" w:type="dxa"/>
            <w:vAlign w:val="bottom"/>
            <w:vMerge w:val="restart"/>
          </w:tcPr>
          <w:p>
            <w:pPr>
              <w:jc w:val="right"/>
              <w:ind w:right="1730"/>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35" w:lineRule="exact"/>
        <w:rPr>
          <w:sz w:val="20"/>
          <w:szCs w:val="20"/>
          <w:color w:val="auto"/>
        </w:rPr>
      </w:pPr>
    </w:p>
    <w:p>
      <w:pPr>
        <w:ind w:left="600" w:hanging="592"/>
        <w:spacing w:after="0"/>
        <w:tabs>
          <w:tab w:leader="none" w:pos="60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December 31,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760" w:type="dxa"/>
            <w:vAlign w:val="bottom"/>
            <w:tcBorders>
              <w:top w:val="single" w:sz="8" w:color="CFF0FC"/>
            </w:tcBorders>
            <w:shd w:val="clear" w:color="auto" w:fill="CFF0FC"/>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2020 Senior</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right"/>
              <w:ind w:right="650"/>
              <w:spacing w:after="0"/>
              <w:rPr>
                <w:sz w:val="20"/>
                <w:szCs w:val="20"/>
                <w:color w:val="auto"/>
              </w:rPr>
            </w:pPr>
            <w:r>
              <w:rPr>
                <w:rFonts w:ascii="Arial" w:cs="Arial" w:eastAsia="Arial" w:hAnsi="Arial"/>
                <w:sz w:val="18"/>
                <w:szCs w:val="18"/>
                <w:color w:val="auto"/>
              </w:rPr>
              <w:t>2025 Senior</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90"/>
              </w:rPr>
              <w:t>Lazard Group</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2027 Senior</w:t>
            </w: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(a)</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296,391</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jc w:val="right"/>
              <w:ind w:right="105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1,190,383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1,188,600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20" w:hanging="592"/>
        <w:spacing w:after="0" w:line="297" w:lineRule="auto"/>
        <w:tabs>
          <w:tab w:leader="none" w:pos="6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November 2016, Lazard Group completed an offering of $300,000 aggregate principal amount of 3.625% senior notes due 2027 (the “2027 Notes”). Interest on the 2027 Notes is payable semi-annually on March 1 and September 1 of each year, beginning March 1, 2017. Lazard Group used a portion of the net proceeds of the 2027 Notes to redeem or otherwise retire all $98,350 of the 6.85% senior notes due June 2017 (the “2017 Notes”), which, including the recognition of unamortized issuance costs, resulted in a loss on debt extinguishment of $3,148. Such loss on debt extinguishment was recorded in “operating expenses—other” on the consolidated statement of operations for the year ended December 31, 2016.</w:t>
      </w:r>
    </w:p>
    <w:p>
      <w:pPr>
        <w:spacing w:after="0" w:line="158" w:lineRule="exact"/>
        <w:rPr>
          <w:rFonts w:ascii="Arial" w:cs="Arial" w:eastAsia="Arial" w:hAnsi="Arial"/>
          <w:sz w:val="16"/>
          <w:szCs w:val="16"/>
          <w:color w:val="auto"/>
        </w:rPr>
      </w:pPr>
    </w:p>
    <w:p>
      <w:pPr>
        <w:ind w:left="620" w:right="120"/>
        <w:spacing w:after="0" w:line="276" w:lineRule="auto"/>
        <w:rPr>
          <w:rFonts w:ascii="Arial" w:cs="Arial" w:eastAsia="Arial" w:hAnsi="Arial"/>
          <w:sz w:val="16"/>
          <w:szCs w:val="16"/>
          <w:color w:val="auto"/>
        </w:rPr>
      </w:pPr>
      <w:r>
        <w:rPr>
          <w:rFonts w:ascii="Arial" w:cs="Arial" w:eastAsia="Arial" w:hAnsi="Arial"/>
          <w:sz w:val="17"/>
          <w:szCs w:val="17"/>
          <w:color w:val="auto"/>
        </w:rPr>
        <w:t>During February 2015, Lazard Group completed an offering of $400,000 aggregate principal amount of 3.75% senior notes due 2025 (the “2025 Notes”). Interest on the 2025 Notes is payable semi-annually on March 1 and September 1 of each year.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expenses—other” on the consolidated statement of operations for the year ended December 31, 2015.</w:t>
      </w:r>
    </w:p>
    <w:p>
      <w:pPr>
        <w:spacing w:after="0" w:line="280" w:lineRule="exact"/>
        <w:rPr>
          <w:rFonts w:ascii="Arial" w:cs="Arial" w:eastAsia="Arial" w:hAnsi="Arial"/>
          <w:sz w:val="16"/>
          <w:szCs w:val="16"/>
          <w:color w:val="auto"/>
        </w:rPr>
      </w:pPr>
    </w:p>
    <w:p>
      <w:pPr>
        <w:ind w:left="600" w:right="40" w:hanging="59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the 2025 Notes and the 2027 Notes are 4.43%, 3.87% and 3.76%, respectively.</w:t>
      </w:r>
    </w:p>
    <w:p>
      <w:pPr>
        <w:spacing w:after="0" w:line="170"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December 31, 2017 and 2016, no amounts were outstanding under the Amended and Restated Credit Agreement.</w:t>
      </w:r>
    </w:p>
    <w:p>
      <w:pPr>
        <w:spacing w:after="0" w:line="158"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2017, the Company was in compliance with such provisions. All of the Company’s senior debt obligations are unsecured.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Debt maturities relating to senior borrowings outstanding at December 31, 2017 for each of the five years in the period ending December 31, 2022 and thereafter are set forth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2018 - 2019</w:t>
            </w:r>
          </w:p>
        </w:tc>
        <w:tc>
          <w:tcPr>
            <w:tcW w:w="630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2021 - 2022</w:t>
            </w:r>
          </w:p>
        </w:tc>
        <w:tc>
          <w:tcPr>
            <w:tcW w:w="5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8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8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Company’s senior debt at December 31, 2017 and 2016 is carried at historical amounts. See Note 6 for information regarding the fair value and fair value hierarchy category of the Company’s senior debt.</w:t>
      </w:r>
    </w:p>
    <w:p>
      <w:pPr>
        <w:spacing w:after="0" w:line="170"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As of December 31, 2017, the Company had approximately $169,000 in unused lines of credit available to it, including the credit facility provided under the Amended and Restated Credit Agreement, and unused lines of credit available to LFB of approximately $18,000 (at December 31, 2017 exchange rates).</w:t>
      </w:r>
    </w:p>
    <w:p>
      <w:pPr>
        <w:spacing w:after="0" w:line="370"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60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24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2017, 2016 and 2015, aggregate rental expense relating to operating leases amounted to $84,632, $76,704 and $79,549, respectively, and is included in “occupancy and equipment” or “technology and information services” on the consolidated statements of operations, depending on the nature of the underlying asset. The Company also subleases office space under agreements which expire on various dates through 2022. Sublease income from such agreements was $7,659, $7,858 and $9,587 for the years ended December 31, 2017, 2016 and 2015, respectively, which includes sublease income of $1,281 from an affiliate of LMDC Holdings LLC (“LMDC Holdings”) for the year ended December 2015.</w:t>
      </w:r>
    </w:p>
    <w:p>
      <w:pPr>
        <w:spacing w:after="0" w:line="165"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Capital lease obligations recorded under sale/leaseback transactions were paid in 2017. Such obligations were collateralized primarily by certain buildings with a net book value of approximately $13,538 at December 31, 2016. The net book value of all assets recorded under capital leases aggregated $13,628 at December 31, 2016.</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 December 31, 2017, minimum rental commitments under non-cancelable operating leases, net of sublease income, are approximately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4"/>
          </w:tcPr>
          <w:p>
            <w:pPr>
              <w:ind w:left="1140"/>
              <w:spacing w:after="0"/>
              <w:rPr>
                <w:sz w:val="20"/>
                <w:szCs w:val="20"/>
                <w:color w:val="auto"/>
              </w:rPr>
            </w:pPr>
            <w:r>
              <w:rPr>
                <w:rFonts w:ascii="Arial" w:cs="Arial" w:eastAsia="Arial" w:hAnsi="Arial"/>
                <w:sz w:val="14"/>
                <w:szCs w:val="14"/>
                <w:b w:val="1"/>
                <w:bCs w:val="1"/>
                <w:color w:val="auto"/>
              </w:rPr>
              <w:t>Year Ending December 31,</w:t>
            </w:r>
          </w:p>
        </w:tc>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700" w:type="dxa"/>
            <w:vAlign w:val="bottom"/>
            <w:shd w:val="clear" w:color="auto" w:fill="CFF0FC"/>
          </w:tcPr>
          <w:p>
            <w:pPr>
              <w:spacing w:after="0"/>
              <w:rPr>
                <w:sz w:val="19"/>
                <w:szCs w:val="19"/>
                <w:color w:val="auto"/>
              </w:rPr>
            </w:pPr>
          </w:p>
        </w:tc>
        <w:tc>
          <w:tcPr>
            <w:tcW w:w="444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83,851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17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73,889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70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17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67,118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700" w:type="dxa"/>
            <w:vAlign w:val="bottom"/>
            <w:shd w:val="clear" w:color="auto" w:fill="CFF0FC"/>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7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442,438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3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793,409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sublease proceeds</w:t>
            </w:r>
          </w:p>
        </w:tc>
        <w:tc>
          <w:tcPr>
            <w:tcW w:w="37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lease payments</w:t>
            </w:r>
          </w:p>
        </w:tc>
        <w:tc>
          <w:tcPr>
            <w:tcW w:w="37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757,268</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700" w:type="dxa"/>
            <w:vAlign w:val="bottom"/>
            <w:vMerge w:val="restart"/>
          </w:tcPr>
          <w:p>
            <w:pPr>
              <w:jc w:val="right"/>
              <w:ind w:right="2270"/>
              <w:spacing w:after="0"/>
              <w:rPr>
                <w:sz w:val="20"/>
                <w:szCs w:val="20"/>
                <w:color w:val="auto"/>
              </w:rPr>
            </w:pPr>
            <w:r>
              <w:rPr>
                <w:rFonts w:ascii="Arial" w:cs="Arial" w:eastAsia="Arial" w:hAnsi="Arial"/>
                <w:sz w:val="18"/>
                <w:szCs w:val="18"/>
                <w:color w:val="auto"/>
              </w:rPr>
              <w:t>104</w:t>
            </w: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2017, LFB had $2,995 of such indemnifications and held $2,995 of collateral/counter-guarantees to secure these commitments. The Company believes the likelihood of loss with respect to these indemnities is remote. Accordingly, no liability is recorded in the consolidated statement of financial condition.</w:t>
      </w:r>
    </w:p>
    <w:p>
      <w:pPr>
        <w:spacing w:after="0" w:line="18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businesses acquired in 2016, the remaining consideration consists of (i) previously paid one-time cash payments, 60,817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Class A common stock subject to non-compete provisions and non-contingent interests exchangeable into 204,651 shares of Class A common stock, and (ii) up to 810,742 additional shares of Class A common stock that are subject to certain performance thresholds. As of December 31, 2017, none of the contingent shares had been earned.</w:t>
      </w:r>
    </w:p>
    <w:p>
      <w:pPr>
        <w:spacing w:after="0" w:line="18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December 31, 2017, LFB and LFNY had no such underwriting commitments.</w:t>
      </w:r>
    </w:p>
    <w:p>
      <w:pPr>
        <w:spacing w:after="0" w:line="18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See Notes 6 and 15 for information regarding commitments relating to investment capital funding commitments and obligations to fund our pension plans, respectively.</w:t>
      </w:r>
    </w:p>
    <w:p>
      <w:pPr>
        <w:spacing w:after="0" w:line="170"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70"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year ended December 31, 2017 and since 2014, the Board of Directors of Lazard authorized the repurchase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Class A common stock as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080" w:type="dxa"/>
            <w:vAlign w:val="bottom"/>
            <w:vMerge w:val="restart"/>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Repurchase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5"/>
              </w:rPr>
              <w:t>Authorization</w:t>
            </w:r>
          </w:p>
        </w:tc>
        <w:tc>
          <w:tcPr>
            <w:tcW w:w="1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April 2014</w:t>
            </w:r>
          </w:p>
        </w:tc>
        <w:tc>
          <w:tcPr>
            <w:tcW w:w="43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31,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4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2016</w:t>
            </w:r>
          </w:p>
        </w:tc>
        <w:tc>
          <w:tcPr>
            <w:tcW w:w="45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31, 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4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113,182</w:t>
            </w:r>
          </w:p>
        </w:tc>
        <w:tc>
          <w:tcPr>
            <w:tcW w:w="4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2016</w:t>
            </w:r>
          </w:p>
        </w:tc>
        <w:tc>
          <w:tcPr>
            <w:tcW w:w="45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31,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October 2017</w:t>
            </w:r>
          </w:p>
        </w:tc>
        <w:tc>
          <w:tcPr>
            <w:tcW w:w="4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200,000</w:t>
            </w:r>
          </w:p>
        </w:tc>
        <w:tc>
          <w:tcPr>
            <w:tcW w:w="4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360" w:type="dxa"/>
            <w:vAlign w:val="bottom"/>
          </w:tcPr>
          <w:p>
            <w:pPr>
              <w:jc w:val="right"/>
              <w:ind w:right="181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89"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period to period due to a variety of factors. Purchases with respect to such program are set forth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6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3,438,789</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2016</w:t>
            </w:r>
          </w:p>
        </w:tc>
        <w:tc>
          <w:tcPr>
            <w:tcW w:w="6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8,551,271</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6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6,956,097</w:t>
            </w:r>
          </w:p>
        </w:tc>
        <w:tc>
          <w:tcPr>
            <w:tcW w:w="5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There were 10,747,142 and 7,628,786 shares of Class A common stock held by our subsidiaries at December 31, 2017 and 2016, respectively. Such shares of Class A common stock are reported, at cost, as “Class A common stock held by subsidiaries” on the accompanying consolidated statements of financial condition.</w:t>
      </w:r>
    </w:p>
    <w:p>
      <w:pPr>
        <w:spacing w:after="0" w:line="181"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During 2017, 2016 and 2015,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years ended December 31, 2017 and 2016, the Company purchased shares of Class A common stock from an executive officer. The aggregate value of all such purchases in 2017, 2016 and 2015 was approximately $14,700, $4,900 and $17,700, respectively.</w:t>
      </w:r>
    </w:p>
    <w:p>
      <w:pPr>
        <w:spacing w:after="0" w:line="15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As of December 31, 2017, a total of $248,384 of share repurchase authorization remained available under the Company’s share repurchase program, $48,384 of which will expire on December 31, 2018 and $200,000 of which will expire on December 31, 2019.</w:t>
      </w:r>
    </w:p>
    <w:p>
      <w:pPr>
        <w:spacing w:after="0" w:line="170"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During the year ended December 31, 2017,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December 31, 2017 and 2016, no shares of Series A or Series B preferred stock were outstanding, respectively. As of December 31, 2015, 7,921 shares of Series A preferred stock were outstanding, and no shares of Series B preferred stock were outstanding. At December 31, 2015, no shares of Series A preferred stock were convertible into shares of Class A common stock on a contingent or a non-contingent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Accumulated Other Comprehensive Income (Loss), Net of Tax</w:t>
      </w:r>
      <w:r>
        <w:rPr>
          <w:rFonts w:ascii="Arial" w:cs="Arial" w:eastAsia="Arial" w:hAnsi="Arial"/>
          <w:sz w:val="17"/>
          <w:szCs w:val="17"/>
          <w:color w:val="auto"/>
        </w:rPr>
        <w:t>—The tables below reflect the balances of each component of AOCI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and activity during the years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(155,204</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(159,020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(314,224</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2017:</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(148,984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(232,519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(234,357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2016:</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(57,920)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(24,473)</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(82,393)</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(82,392)</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December 31, 2016</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(155,204</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(159,020</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(314,224</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(154,665</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(200,767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(200,766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December 31, 2015:</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(51,182)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(39,899)</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(39,899)</w:t>
            </w:r>
          </w:p>
        </w:tc>
        <w:tc>
          <w:tcPr>
            <w:tcW w:w="0" w:type="dxa"/>
            <w:vAlign w:val="bottom"/>
          </w:tcPr>
          <w:p>
            <w:pPr>
              <w:spacing w:after="0"/>
              <w:rPr>
                <w:sz w:val="1"/>
                <w:szCs w:val="1"/>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(97,284)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(234,357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(234,356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table below reflects adjustments for items reclassified out of AOCI, by component, for the years ended December 31, 2017, 2016 and 2015:</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5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10,171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7,816</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related income taxes</w:t>
            </w:r>
          </w:p>
        </w:tc>
        <w:tc>
          <w:tcPr>
            <w:tcW w:w="15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5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right="340" w:hanging="592"/>
        <w:spacing w:after="0" w:line="277"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15). Such amounts are included in “compensation and benefits” expense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150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The tables below summarize net income attributable to noncontrolling interests for the years ended December 31, 2017, 2016 and 2015 and noncontrolling interests as of December 31, 2017 and 2016, in the Company’s consolidated financial statements:</w:t>
      </w:r>
    </w:p>
    <w:p>
      <w:pPr>
        <w:spacing w:after="0" w:line="17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Net Income</w:t>
      </w:r>
    </w:p>
    <w:p>
      <w:pPr>
        <w:jc w:val="center"/>
        <w:ind w:left="6660"/>
        <w:spacing w:after="0" w:line="226" w:lineRule="auto"/>
        <w:rPr>
          <w:sz w:val="20"/>
          <w:szCs w:val="20"/>
          <w:color w:val="auto"/>
        </w:rPr>
      </w:pPr>
      <w:r>
        <w:rPr>
          <w:rFonts w:ascii="Arial" w:cs="Arial" w:eastAsia="Arial" w:hAnsi="Arial"/>
          <w:sz w:val="14"/>
          <w:szCs w:val="14"/>
          <w:b w:val="1"/>
          <w:bCs w:val="1"/>
          <w:color w:val="auto"/>
        </w:rPr>
        <w:t>Attributable to Noncontrolling Interests</w:t>
      </w:r>
    </w:p>
    <w:p>
      <w:pPr>
        <w:jc w:val="center"/>
        <w:ind w:left="6660"/>
        <w:spacing w:after="0" w:line="232" w:lineRule="auto"/>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56"/>
        </w:trPr>
        <w:tc>
          <w:tcPr>
            <w:tcW w:w="378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30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5,992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5,994</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3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Noncontrolling Interests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37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8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3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580" w:firstLine="598"/>
        <w:spacing w:after="0" w:line="264" w:lineRule="auto"/>
        <w:rPr>
          <w:sz w:val="20"/>
          <w:szCs w:val="20"/>
          <w:color w:val="auto"/>
        </w:rPr>
      </w:pPr>
      <w:r>
        <w:rPr>
          <w:rFonts w:ascii="Arial" w:cs="Arial" w:eastAsia="Arial" w:hAnsi="Arial"/>
          <w:sz w:val="18"/>
          <w:szCs w:val="18"/>
          <w:b w:val="1"/>
          <w:bCs w:val="1"/>
          <w:i w:val="1"/>
          <w:iCs w:val="1"/>
          <w:color w:val="auto"/>
        </w:rPr>
        <w:t>Dividends Declared, January 31, 2018</w:t>
      </w:r>
      <w:r>
        <w:rPr>
          <w:rFonts w:ascii="Arial" w:cs="Arial" w:eastAsia="Arial" w:hAnsi="Arial"/>
          <w:sz w:val="18"/>
          <w:szCs w:val="18"/>
          <w:color w:val="auto"/>
        </w:rPr>
        <w:t>—On January 31, 2018, the Board of Directors of Lazard declared dividends totaling $1.71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of a quarterly dividend of $0.41 per share, and an extra cash dividend of $1.30 per share, on our Class A common stock. The dividends are payable on February 23, 2018, to stockholders of record on February 12, 2018.</w:t>
      </w:r>
    </w:p>
    <w:p>
      <w:pPr>
        <w:spacing w:after="0" w:line="370" w:lineRule="exact"/>
        <w:rPr>
          <w:sz w:val="20"/>
          <w:szCs w:val="20"/>
          <w:color w:val="auto"/>
        </w:rPr>
      </w:pPr>
    </w:p>
    <w:p>
      <w:pPr>
        <w:ind w:left="600" w:hanging="592"/>
        <w:spacing w:after="0"/>
        <w:tabs>
          <w:tab w:leader="none" w:pos="60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 description of Lazard Ltd’s 2008 Plan and 2005 Equity Incentive Plan (the “2005 Plan”) and activity with respect thereto during the years ended December 31, 2017, 2016 and 2015 is presented below.</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2008 Plan authorizes the issuance of shares of Class A common stock pursuant to the grant or exercise of stock options, stock appreciation rights, restricted stock units (“RSUs”), performance-based restricted stock units (“PRSUs”) and other share-based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 The 2008 Plan will expire in May 2018, although unvested awards granted under the 2008 Plan before it expires will remain outstanding and continue to be subject to its terms.</w:t>
      </w:r>
    </w:p>
    <w:p>
      <w:pPr>
        <w:spacing w:after="0" w:line="15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services” expense (with respect to deferred stock units (“DSUs”)) within the Company’s accompanying consolidated statements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RSUs</w:t>
            </w:r>
          </w:p>
        </w:tc>
        <w:tc>
          <w:tcPr>
            <w:tcW w:w="2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190,821</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171,188</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166,395</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36,529</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39,369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22,342</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ind w:left="26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272,965</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261,462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226,723</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2017, 2016 and 2015, issuances of RSUs pertaining to such dividend participation rights and respective charges to “retained earnings”, net of estimated forfeitures (with corresponding credits to “additional paid-in-capital”),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Number of RSUs issued</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985,584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1,085,354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693,714</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41,746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37,284</w:t>
            </w:r>
          </w:p>
        </w:tc>
        <w:tc>
          <w:tcPr>
            <w:tcW w:w="18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34,255</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Non-executive members of the Board of Directors (“Non-Executive Directors”) receive approximately 55% of their annual compensation for service on the Board of Directors and its committees in the form of DSUs, which resulted in 31,280, 38,771 and 23,961 DSUs granted during the years ended December 31, 2017, 2016 and 2015,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share, are included in the diluted weighted average shares of Class A common stock outstanding using the “treasury stock”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DSUs include a cash dividend participation right equivalent to dividends paid on Class A common stock.</w:t>
      </w:r>
    </w:p>
    <w:p>
      <w:pPr>
        <w:spacing w:after="0" w:line="211" w:lineRule="exact"/>
        <w:rPr>
          <w:sz w:val="20"/>
          <w:szCs w:val="20"/>
          <w:color w:val="auto"/>
        </w:rPr>
      </w:pPr>
    </w:p>
    <w:p>
      <w:pPr>
        <w:jc w:val="both"/>
        <w:ind w:right="120" w:firstLine="59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2017, 2016 and 2015, 13,882, 10,043 and 2,482 DSUs, respectively, had been granted pursuant to such Plan.</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13,529,116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693,714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4,296,386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26,443</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(469,776)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(7,756,068)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1,085,354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6,878,306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34.86</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48,814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(239,432)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(4,540,394)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985,584 RSUs relating to</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5,437,591</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45,162</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(217,720)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(3,998,163)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12,919,846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connection with RSUs that vested during the years ended December 31, 2017, 2016 and 2015, the Company satisfied its minimum statutory tax withholding requirements in lieu of delivering 1,290,601, 1,421,396 and 2,249,935 shares of Class A common stock during such respective years. Accordingly, 2,707,562, 3,118,998 and 5,506,133 shares of Class A common stock held by the Company were delivered during the years ended December 31, 2017, 2016 and 2015, respectively.</w:t>
      </w:r>
    </w:p>
    <w:p>
      <w:pPr>
        <w:spacing w:after="0" w:line="187"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As of December 31, 2017, estimated unrecognized RSU compensation expense was approximately $139,793, with such expense expected to be recognized over a weighted average period of approximately 0.8 years subsequent to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three-year period ended December 31,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729,827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576,886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(45,851)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(547,124)</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(34,051)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(819,872)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(66,592)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(491,676)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1,938,160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years ended December 31, 2017, 2016 and 2015, the Company satisfied its minimum statutory tax withholding requirements in lieu of delivering 150,470, 141,026 and 108,833 shares of Class A common stock during such respective years. Accordingly, 341,206, 678,846 and 438,291 shares of Class A common stock held by the Company were delivered during the years ended December 31, 2017, 2016 and 2015, respectively.</w:t>
      </w:r>
    </w:p>
    <w:p>
      <w:pPr>
        <w:spacing w:after="0" w:line="187" w:lineRule="exact"/>
        <w:rPr>
          <w:sz w:val="20"/>
          <w:szCs w:val="20"/>
          <w:color w:val="auto"/>
        </w:rPr>
      </w:pPr>
    </w:p>
    <w:p>
      <w:pPr>
        <w:ind w:right="260" w:firstLine="59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December 31, 2017, estimated unrecognized restricted stock expense was approximately $27,181, with such expense to be recognized over a weighted average period of approximately 0.8 years subsequent to December 31, 2017.</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3" w:name="page114"/>
    <w:bookmarkEnd w:id="113"/>
    <w:p>
      <w:pPr>
        <w:jc w:val="center"/>
        <w:ind w:right="-1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activity relating to PRSUs during the three-year period ended December 31,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1,347,148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368,389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(696,499)</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December 31, 2015</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(a)</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tcPr>
          <w:p>
            <w:pPr>
              <w:jc w:val="right"/>
              <w:spacing w:after="0"/>
              <w:rPr>
                <w:sz w:val="20"/>
                <w:szCs w:val="20"/>
                <w:color w:val="auto"/>
              </w:rPr>
            </w:pPr>
            <w:r>
              <w:rPr>
                <w:rFonts w:ascii="Arial" w:cs="Arial" w:eastAsia="Arial" w:hAnsi="Arial"/>
                <w:sz w:val="18"/>
                <w:szCs w:val="18"/>
                <w:color w:val="auto"/>
              </w:rPr>
              <w:t>360,783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(417,021)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December 31, 2016</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(a)</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Performance units earned (b)</w:t>
            </w:r>
          </w:p>
        </w:tc>
        <w:tc>
          <w:tcPr>
            <w:tcW w:w="1260" w:type="dxa"/>
            <w:vAlign w:val="bottom"/>
          </w:tcPr>
          <w:p>
            <w:pPr>
              <w:jc w:val="right"/>
              <w:spacing w:after="0"/>
              <w:rPr>
                <w:sz w:val="20"/>
                <w:szCs w:val="20"/>
                <w:color w:val="auto"/>
              </w:rPr>
            </w:pPr>
            <w:r>
              <w:rPr>
                <w:rFonts w:ascii="Arial" w:cs="Arial" w:eastAsia="Arial" w:hAnsi="Arial"/>
                <w:sz w:val="18"/>
                <w:szCs w:val="18"/>
                <w:color w:val="auto"/>
              </w:rPr>
              <w:t>368,389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December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1,591,693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 w:lineRule="exact"/>
        <w:rPr>
          <w:rFonts w:ascii="Arial" w:cs="Arial" w:eastAsia="Arial" w:hAnsi="Arial"/>
          <w:sz w:val="18"/>
          <w:szCs w:val="18"/>
          <w:color w:val="auto"/>
        </w:rPr>
      </w:pPr>
    </w:p>
    <w:p>
      <w:pPr>
        <w:ind w:left="600" w:right="340" w:hanging="592"/>
        <w:spacing w:after="0" w:line="261"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shares of Class A common stock earned during the fiscal year under the performance criteria of previously-granted PRSU awards in excess of the target payout level of such awards.</w:t>
      </w:r>
    </w:p>
    <w:p>
      <w:pPr>
        <w:spacing w:after="0" w:line="184"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years ended December 31, 2017, 2016 and 2015, the Company satisfied its minimum statutory tax withholding requirements in lieu of delivering 127,530, 64,169 and 32,086 shares of Class A common stock during such respective years. Accordingly, 698,035, 352,852 and 664,413 shares of Class A common stock held by the Company were delivered during the years ended December 31, 2017, 2016 and 2015, respectively.</w:t>
      </w:r>
    </w:p>
    <w:p>
      <w:pPr>
        <w:spacing w:after="0" w:line="18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2017, the total estimated unrecognized compensation expense was approximately $9,174, and the Company expects to amortize such expense over a weighted-average period of approximately 0.7 years subsequent to December 31, 2017.</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years ended December 31, 2017 and 2016:</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(96,025)</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(67,575)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52,121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(77,457)</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(73,340)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(1,892)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December 31, 2017.</w:t>
      </w:r>
    </w:p>
    <w:p>
      <w:pPr>
        <w:spacing w:after="0" w:line="170"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consolidated statements of operations for the years ended December 31, 2017, 2016 and 2015:</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Year Ended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85,563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60" w:type="dxa"/>
            <w:vAlign w:val="bottom"/>
            <w:vMerge w:val="restart"/>
          </w:tcPr>
          <w:p>
            <w:pPr>
              <w:jc w:val="right"/>
              <w:ind w:right="730"/>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Incentive Awards Granted In February 2018</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In February 2018, the Company granted approximately $351,000 of deferred incentive compensation awards (including PRSUs valued at the target payout level) to eligible employees. These grants included: RSUs or shares of restricted Class A common stock; deferred incentive compensation awards that allow eligible employees the choice of receiving a portion of their award in a combination of (i) LFI and (ii) additional RSUs or shares of restricted Class A common stock; deferred cash awards; and a portion of fund managers’ year-end incentive compensation that is reinvested in certain asset management funds.</w:t>
      </w:r>
    </w:p>
    <w:p>
      <w:pPr>
        <w:spacing w:after="0" w:line="154"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The RSUs, restricted Class A common stock and LFI granted each provide for one-third vesting on or around March 2, 2020 and the remaining two-thirds vesting on or around March 1, 2021. The PRSUs granted provide for vesting on or around March 1, 2021,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362" w:lineRule="exact"/>
        <w:rPr>
          <w:sz w:val="20"/>
          <w:szCs w:val="20"/>
          <w:color w:val="auto"/>
        </w:rPr>
      </w:pPr>
    </w:p>
    <w:p>
      <w:pPr>
        <w:ind w:left="600" w:hanging="592"/>
        <w:spacing w:after="0"/>
        <w:tabs>
          <w:tab w:leader="none" w:pos="600" w:val="left"/>
        </w:tabs>
        <w:numPr>
          <w:ilvl w:val="0"/>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73"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b w:val="1"/>
          <w:bCs w:val="1"/>
          <w:i w:val="1"/>
          <w:iCs w:val="1"/>
          <w:color w:val="auto"/>
        </w:rPr>
        <w:t>Medical Plan—</w:t>
      </w:r>
      <w:r>
        <w:rPr>
          <w:rFonts w:ascii="Arial" w:cs="Arial" w:eastAsia="Arial" w:hAnsi="Arial"/>
          <w:sz w:val="18"/>
          <w:szCs w:val="18"/>
          <w:color w:val="auto"/>
        </w:rPr>
        <w:t>The medical plan was previously amended such that effective January 1, 2005 the plan limited post-retirement medical coverage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then former and current employees of the Company that were hired prior to January 1, 2005 and attained the age of 55 on or prior to December 31, 2005, and their dependents. Effective December 31, 2016, the Company ceased offering the medical plan.</w:t>
      </w:r>
    </w:p>
    <w:p>
      <w:pPr>
        <w:spacing w:after="0" w:line="181"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In October 2016, the Company paid participants in the medical plan $2,936 in the aggregate to settle in full the Company’s obligations under the medical plan. The settlement of such obligations resulted in the recognition of a gain of $1,788 that is recorded as a reduction to compensation and benefits expense in the consolidated statements of operations for the year ended December 31, 2016.</w:t>
      </w:r>
    </w:p>
    <w:p>
      <w:pPr>
        <w:spacing w:after="0" w:line="181" w:lineRule="exact"/>
        <w:rPr>
          <w:sz w:val="20"/>
          <w:szCs w:val="20"/>
          <w:color w:val="auto"/>
        </w:rPr>
      </w:pPr>
    </w:p>
    <w:p>
      <w:pPr>
        <w:ind w:right="360" w:firstLine="59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Company does not expect to make a contribution to the U.S. pension plan during the year ending December 31, 2018. The Company expects to contribute approximately $21,000 to the other non-U.S. pension plans during the year ending December 31, 2018.</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718,821</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694,187</w:t>
            </w:r>
          </w:p>
        </w:tc>
        <w:tc>
          <w:tcPr>
            <w:tcW w:w="240" w:type="dxa"/>
            <w:vAlign w:val="bottom"/>
          </w:tcPr>
          <w:p>
            <w:pPr>
              <w:spacing w:after="0"/>
              <w:rPr>
                <w:sz w:val="19"/>
                <w:szCs w:val="19"/>
                <w:color w:val="auto"/>
              </w:rPr>
            </w:pP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16,240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19,871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135,164</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(1,639)</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(44,589)</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(31,904)</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(3,289)</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and other 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69,244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(99,732)</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Benefit obligation at end of year</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763,831</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718,821</w:t>
            </w:r>
          </w:p>
        </w:tc>
        <w:tc>
          <w:tcPr>
            <w:tcW w:w="24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646,119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656,084</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119,287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16,844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11,343</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(42,022)</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(29,384)</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(3,289)</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63,716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(111,211)</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plan assets at end of year</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728,281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646,119</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Funded (deficit) at end of year</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(35,550)</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(72,702)</w:t>
            </w:r>
          </w:p>
        </w:tc>
        <w:tc>
          <w:tcPr>
            <w:tcW w:w="240" w:type="dxa"/>
            <w:vAlign w:val="bottom"/>
            <w:tcBorders>
              <w:bottom w:val="single" w:sz="8" w:color="CFF0FC"/>
            </w:tcBorders>
          </w:tcPr>
          <w:p>
            <w:pPr>
              <w:spacing w:after="0"/>
              <w:rPr>
                <w:sz w:val="22"/>
                <w:szCs w:val="22"/>
                <w:color w:val="auto"/>
              </w:rPr>
            </w:pPr>
          </w:p>
        </w:tc>
        <w:tc>
          <w:tcPr>
            <w:tcW w:w="8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Amounts recognized in the consolidated statements</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financial condition at December 31, 2017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2016 consist of:</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Prepaid pension asset (included in “other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16,189</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9"/>
                <w:szCs w:val="19"/>
                <w:color w:val="auto"/>
              </w:rPr>
            </w:pP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benefit liability (included in “other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(51,739)</w:t>
            </w: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(73,524)</w:t>
            </w: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amount recognized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(35,550)</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(72,702)</w:t>
            </w:r>
          </w:p>
        </w:tc>
        <w:tc>
          <w:tcPr>
            <w:tcW w:w="24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Amounts recognized in AOCI (excluding tax</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benefits of $35,154 and $33,864 at December 31,</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2017 and 2016, respectively) consist of:</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Actuarial net loss (gain)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184,135</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192,855</w:t>
            </w:r>
          </w:p>
        </w:tc>
        <w:tc>
          <w:tcPr>
            <w:tcW w:w="240" w:type="dxa"/>
            <w:vAlign w:val="bottom"/>
          </w:tcPr>
          <w:p>
            <w:pPr>
              <w:spacing w:after="0"/>
              <w:rPr>
                <w:sz w:val="19"/>
                <w:szCs w:val="19"/>
                <w:color w:val="auto"/>
              </w:rPr>
            </w:pP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Prior service cost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amount recognized</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184,135</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192,885</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Arial" w:cs="Arial" w:eastAsia="Arial" w:hAnsi="Arial"/>
                <w:sz w:val="14"/>
                <w:szCs w:val="14"/>
                <w:b w:val="1"/>
                <w:bCs w:val="1"/>
                <w:color w:val="auto"/>
              </w:rPr>
              <w:t>U.S. Pension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4"/>
                <w:szCs w:val="14"/>
                <w:b w:val="1"/>
                <w:bCs w:val="1"/>
                <w:color w:val="auto"/>
              </w:rPr>
              <w:t>Non-U.S. Pension Plans</w:t>
            </w:r>
          </w:p>
        </w:tc>
        <w:tc>
          <w:tcPr>
            <w:tcW w:w="200" w:type="dxa"/>
            <w:vAlign w:val="bottom"/>
          </w:tcPr>
          <w:p>
            <w:pPr>
              <w:spacing w:after="0"/>
              <w:rPr>
                <w:sz w:val="14"/>
                <w:szCs w:val="14"/>
                <w:color w:val="auto"/>
              </w:rPr>
            </w:pPr>
          </w:p>
        </w:tc>
        <w:tc>
          <w:tcPr>
            <w:tcW w:w="1120" w:type="dxa"/>
            <w:vAlign w:val="bottom"/>
            <w:gridSpan w:val="3"/>
          </w:tcPr>
          <w:p>
            <w:pPr>
              <w:ind w:left="660"/>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r>
      <w:tr>
        <w:trPr>
          <w:trHeight w:val="156"/>
        </w:trPr>
        <w:tc>
          <w:tcPr>
            <w:tcW w:w="3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24,644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703,637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623,958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728,281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646,119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ind w:left="200"/>
              <w:spacing w:after="0"/>
              <w:rPr>
                <w:sz w:val="20"/>
                <w:szCs w:val="20"/>
                <w:color w:val="auto"/>
              </w:rPr>
            </w:pPr>
            <w:r>
              <w:rPr>
                <w:rFonts w:ascii="Arial" w:cs="Arial" w:eastAsia="Arial" w:hAnsi="Arial"/>
                <w:sz w:val="18"/>
                <w:szCs w:val="18"/>
                <w:color w:val="auto"/>
              </w:rPr>
              <w:t>35,376</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33,868</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120"/>
              <w:spacing w:after="0"/>
              <w:rPr>
                <w:sz w:val="20"/>
                <w:szCs w:val="20"/>
                <w:color w:val="auto"/>
              </w:rPr>
            </w:pPr>
            <w:r>
              <w:rPr>
                <w:rFonts w:ascii="Arial" w:cs="Arial" w:eastAsia="Arial" w:hAnsi="Arial"/>
                <w:sz w:val="18"/>
                <w:szCs w:val="18"/>
                <w:color w:val="auto"/>
              </w:rPr>
              <w:t>728,455</w:t>
            </w:r>
          </w:p>
        </w:tc>
        <w:tc>
          <w:tcPr>
            <w:tcW w:w="1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684,953</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00"/>
              <w:spacing w:after="0"/>
              <w:rPr>
                <w:sz w:val="20"/>
                <w:szCs w:val="20"/>
                <w:color w:val="auto"/>
              </w:rPr>
            </w:pPr>
            <w:r>
              <w:rPr>
                <w:rFonts w:ascii="Arial" w:cs="Arial" w:eastAsia="Arial" w:hAnsi="Arial"/>
                <w:sz w:val="18"/>
                <w:szCs w:val="18"/>
                <w:color w:val="auto"/>
                <w:w w:val="89"/>
              </w:rPr>
              <w:t>763,831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718,821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35,376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728,455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684,953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763,831</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718,821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w w:val="99"/>
              </w:rPr>
              <w:t>115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right="620" w:firstLine="598"/>
        <w:spacing w:after="0" w:line="308" w:lineRule="auto"/>
        <w:rPr>
          <w:sz w:val="20"/>
          <w:szCs w:val="20"/>
          <w:color w:val="auto"/>
        </w:rPr>
      </w:pPr>
      <w:r>
        <w:rPr>
          <w:rFonts w:ascii="Arial" w:cs="Arial" w:eastAsia="Arial" w:hAnsi="Arial"/>
          <w:sz w:val="17"/>
          <w:szCs w:val="17"/>
          <w:color w:val="auto"/>
        </w:rPr>
        <w:t>The following table summarizes the components of net periodic benefit cost (credit), the return on the Company’s post-retirement plan assets, benefits paid, contributions and other amounts recognized in AOCI for the years ended December 31, 2017, 2016 and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Pension Plans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Medical Plan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For The Year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4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Components of Net Periodic Benefit Cost</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(Credit):</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cost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24,600</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(25,300)</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(27,337)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(28,301)</w:t>
            </w: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Prior service cost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actuarial loss (gain)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5,440</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Settlement loss (gain)</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43,624</w:t>
            </w: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119,287</w:t>
            </w:r>
          </w:p>
        </w:tc>
        <w:tc>
          <w:tcPr>
            <w:tcW w:w="20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9,873</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9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39,301</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Benefits paid</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42,022</w:t>
            </w:r>
          </w:p>
        </w:tc>
        <w:tc>
          <w:tcPr>
            <w:tcW w:w="2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29,384</w:t>
            </w:r>
          </w:p>
        </w:tc>
        <w:tc>
          <w:tcPr>
            <w:tcW w:w="20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32,321</w:t>
            </w:r>
          </w:p>
        </w:tc>
        <w:tc>
          <w:tcPr>
            <w:tcW w:w="22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3,289</w:t>
            </w:r>
          </w:p>
        </w:tc>
        <w:tc>
          <w:tcPr>
            <w:tcW w:w="2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changes in plan assets and benefit</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obligations recognized in AOCI (excluding</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expense (benefit) of $(1,287), $(3,448)</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$7,151 during the years ended</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2017, 2016 and 2015,</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Net actuarial (gain) loss</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(17,357)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51,626</w:t>
            </w:r>
          </w:p>
        </w:tc>
        <w:tc>
          <w:tcPr>
            <w:tcW w:w="200" w:type="dxa"/>
            <w:vAlign w:val="bottom"/>
          </w:tcPr>
          <w:p>
            <w:pPr>
              <w:spacing w:after="0"/>
              <w:rPr>
                <w:sz w:val="19"/>
                <w:szCs w:val="19"/>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(4,650)</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(1,638)</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of prior service (cost)</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credit to earnings</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(2,369)</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(2,376)</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Arial" w:cs="Arial" w:eastAsia="Arial" w:hAnsi="Arial"/>
                <w:sz w:val="18"/>
                <w:szCs w:val="18"/>
                <w:color w:val="auto"/>
              </w:rPr>
              <w:t>Reclassification of actuarial gain (loss)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auto"/>
              </w:rPr>
              <w:t>to earnings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(10,141)</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(3,888)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(5,440)</w:t>
            </w: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Currency translation and other</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adjustments</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(20,309)</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(11,582)</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40" w:type="dxa"/>
            <w:vAlign w:val="bottom"/>
            <w:gridSpan w:val="2"/>
          </w:tcPr>
          <w:p>
            <w:pPr>
              <w:spacing w:after="0"/>
              <w:rPr>
                <w:sz w:val="20"/>
                <w:szCs w:val="20"/>
                <w:color w:val="auto"/>
              </w:rPr>
            </w:pPr>
            <w:r>
              <w:rPr>
                <w:rFonts w:ascii="Arial" w:cs="Arial" w:eastAsia="Arial" w:hAnsi="Arial"/>
                <w:sz w:val="18"/>
                <w:szCs w:val="18"/>
                <w:color w:val="auto"/>
              </w:rPr>
              <w:t>Total recognized in AOCI</w:t>
            </w:r>
          </w:p>
        </w:tc>
        <w:tc>
          <w:tcPr>
            <w:tcW w:w="7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(24,048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amount recognized in total periodic</w:t>
            </w:r>
          </w:p>
        </w:tc>
        <w:tc>
          <w:tcPr>
            <w:tcW w:w="7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 cost and AOCI</w:t>
            </w:r>
          </w:p>
        </w:tc>
        <w:tc>
          <w:tcPr>
            <w:tcW w:w="9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(5,419)</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25,086</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(18,403)</w:t>
            </w:r>
          </w:p>
        </w:tc>
        <w:tc>
          <w:tcPr>
            <w:tcW w:w="700" w:type="dxa"/>
            <w:vAlign w:val="bottom"/>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(1,460)</w:t>
            </w:r>
          </w:p>
        </w:tc>
        <w:tc>
          <w:tcPr>
            <w:tcW w:w="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00" w:firstLine="598"/>
        <w:spacing w:after="0" w:line="277" w:lineRule="auto"/>
        <w:rPr>
          <w:sz w:val="20"/>
          <w:szCs w:val="20"/>
          <w:color w:val="auto"/>
        </w:rPr>
      </w:pPr>
      <w:r>
        <w:rPr>
          <w:rFonts w:ascii="Arial" w:cs="Arial" w:eastAsia="Arial" w:hAnsi="Arial"/>
          <w:sz w:val="18"/>
          <w:szCs w:val="18"/>
          <w:color w:val="auto"/>
        </w:rPr>
        <w:t>The amounts in AOCI on the consolidated statement of financial condition as of December 31, 2017 that are expected to be recognized as components of net periodic benefit cost (credit) for the year ending December 31, 2018 are as follows:</w:t>
      </w:r>
    </w:p>
    <w:p>
      <w:pPr>
        <w:spacing w:after="0" w:line="176"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Pension</w:t>
      </w:r>
    </w:p>
    <w:p>
      <w:pPr>
        <w:spacing w:after="0" w:line="4"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tabs>
          <w:tab w:leader="none" w:pos="9380" w:val="left"/>
          <w:tab w:leader="none" w:pos="10880" w:val="left"/>
        </w:tabs>
        <w:rPr>
          <w:sz w:val="20"/>
          <w:szCs w:val="20"/>
          <w:color w:val="auto"/>
        </w:rPr>
      </w:pPr>
      <w:r>
        <w:rPr>
          <w:rFonts w:ascii="Arial" w:cs="Arial" w:eastAsia="Arial" w:hAnsi="Arial"/>
          <w:sz w:val="18"/>
          <w:szCs w:val="18"/>
          <w:color w:val="auto"/>
        </w:rPr>
        <w:t>Net actuarial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5,072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are set forth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Pension Plans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Medical Plan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December 31,</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December 31,</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6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9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3"/>
                <w:szCs w:val="13"/>
                <w:color w:val="auto"/>
              </w:rPr>
            </w:pPr>
          </w:p>
        </w:tc>
        <w:tc>
          <w:tcPr>
            <w:tcW w:w="8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100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88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88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209"/>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assumptions used to</w:t>
            </w:r>
          </w:p>
        </w:tc>
        <w:tc>
          <w:tcPr>
            <w:tcW w:w="6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2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benefit obligations:</w:t>
            </w: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5"/>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assumptions used to</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2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determine net periodic benefit cost:</w:t>
            </w: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Discount rate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5"/>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Expected long-term rate of return on plan</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2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r>
      <w:tr>
        <w:trPr>
          <w:trHeight w:val="215"/>
        </w:trPr>
        <w:tc>
          <w:tcPr>
            <w:tcW w:w="5200" w:type="dxa"/>
            <w:vAlign w:val="bottom"/>
            <w:gridSpan w:val="2"/>
          </w:tcPr>
          <w:p>
            <w:pPr>
              <w:spacing w:after="0"/>
              <w:rPr>
                <w:sz w:val="20"/>
                <w:szCs w:val="20"/>
                <w:color w:val="auto"/>
              </w:rPr>
            </w:pPr>
            <w:r>
              <w:rPr>
                <w:rFonts w:ascii="Arial" w:cs="Arial" w:eastAsia="Arial" w:hAnsi="Arial"/>
                <w:sz w:val="18"/>
                <w:szCs w:val="18"/>
                <w:color w:val="auto"/>
              </w:rPr>
              <w:t>Healthcare cost trend rates used to determine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net periodic benefit cost: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Initial</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Ultimate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Year ultimate trend rate achieved</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40" w:firstLine="598"/>
        <w:spacing w:after="0" w:line="277" w:lineRule="auto"/>
        <w:rPr>
          <w:sz w:val="20"/>
          <w:szCs w:val="20"/>
          <w:color w:val="auto"/>
        </w:rPr>
      </w:pPr>
      <w:r>
        <w:rPr>
          <w:rFonts w:ascii="Arial" w:cs="Arial" w:eastAsia="Arial" w:hAnsi="Arial"/>
          <w:sz w:val="18"/>
          <w:szCs w:val="18"/>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222"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pension plans for each of the next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five fiscal years and in the aggregate for the five fiscal years thereafter: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34"/>
              <w:spacing w:after="0"/>
              <w:rPr>
                <w:sz w:val="20"/>
                <w:szCs w:val="20"/>
                <w:color w:val="auto"/>
              </w:rPr>
            </w:pPr>
            <w:r>
              <w:rPr>
                <w:rFonts w:ascii="Arial" w:cs="Arial" w:eastAsia="Arial" w:hAnsi="Arial"/>
                <w:sz w:val="14"/>
                <w:szCs w:val="14"/>
                <w:b w:val="1"/>
                <w:bCs w:val="1"/>
                <w:color w:val="auto"/>
              </w:rPr>
              <w:t>Pension</w:t>
            </w:r>
          </w:p>
        </w:tc>
        <w:tc>
          <w:tcPr>
            <w:tcW w:w="1160" w:type="dxa"/>
            <w:vAlign w:val="bottom"/>
          </w:tcPr>
          <w:p>
            <w:pPr>
              <w:spacing w:after="0"/>
              <w:rPr>
                <w:sz w:val="14"/>
                <w:szCs w:val="14"/>
                <w:color w:val="auto"/>
              </w:rPr>
            </w:pPr>
          </w:p>
        </w:tc>
      </w:tr>
      <w:tr>
        <w:trPr>
          <w:trHeight w:val="171"/>
        </w:trPr>
        <w:tc>
          <w:tcPr>
            <w:tcW w:w="1160" w:type="dxa"/>
            <w:vAlign w:val="bottom"/>
          </w:tcPr>
          <w:p>
            <w:pPr>
              <w:spacing w:after="0"/>
              <w:rPr>
                <w:sz w:val="14"/>
                <w:szCs w:val="14"/>
                <w:color w:val="auto"/>
              </w:rPr>
            </w:pPr>
          </w:p>
        </w:tc>
        <w:tc>
          <w:tcPr>
            <w:tcW w:w="2600" w:type="dxa"/>
            <w:vAlign w:val="bottom"/>
            <w:tcBorders>
              <w:bottom w:val="single" w:sz="8" w:color="CFF0FC"/>
            </w:tcBorders>
          </w:tcPr>
          <w:p>
            <w:pPr>
              <w:spacing w:after="0"/>
              <w:rPr>
                <w:sz w:val="14"/>
                <w:szCs w:val="14"/>
                <w:color w:val="auto"/>
              </w:rPr>
            </w:pPr>
          </w:p>
        </w:tc>
        <w:tc>
          <w:tcPr>
            <w:tcW w:w="49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Plans</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24,631</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25,347</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25,351</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26,981</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29,287</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2023-2027</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153,490</w:t>
            </w:r>
          </w:p>
        </w:tc>
        <w:tc>
          <w:tcPr>
            <w:tcW w:w="1160" w:type="dxa"/>
            <w:vAlign w:val="bottom"/>
          </w:tcPr>
          <w:p>
            <w:pPr>
              <w:spacing w:after="0"/>
              <w:rPr>
                <w:sz w:val="20"/>
                <w:szCs w:val="20"/>
                <w:color w:val="auto"/>
              </w:rPr>
            </w:pPr>
          </w:p>
        </w:tc>
      </w:tr>
      <w:tr>
        <w:trPr>
          <w:trHeight w:val="647"/>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3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73"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pension plans’ assets as of December 31, 2017 and 2016, measured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 fair value hierarchy and investments measured at NAV or its equivalent as a practical expedient in accordance with fair value measurement disclosure requirements: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6"/>
          </w:tcPr>
          <w:p>
            <w:pPr>
              <w:jc w:val="center"/>
              <w:ind w:left="534"/>
              <w:spacing w:after="0"/>
              <w:rPr>
                <w:sz w:val="20"/>
                <w:szCs w:val="20"/>
                <w:color w:val="auto"/>
              </w:rPr>
            </w:pPr>
            <w:r>
              <w:rPr>
                <w:rFonts w:ascii="Arial" w:cs="Arial" w:eastAsia="Arial" w:hAnsi="Arial"/>
                <w:sz w:val="14"/>
                <w:szCs w:val="14"/>
                <w:b w:val="1"/>
                <w:bCs w:val="1"/>
                <w:color w:val="auto"/>
                <w:w w:val="90"/>
              </w:rPr>
              <w:t>As of December 31, 2017</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11,544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36,854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374,917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192,875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204,636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326,003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728,281</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534"/>
              <w:spacing w:after="0"/>
              <w:rPr>
                <w:sz w:val="20"/>
                <w:szCs w:val="20"/>
                <w:color w:val="auto"/>
              </w:rPr>
            </w:pPr>
            <w:r>
              <w:rPr>
                <w:rFonts w:ascii="Arial" w:cs="Arial" w:eastAsia="Arial" w:hAnsi="Arial"/>
                <w:sz w:val="14"/>
                <w:szCs w:val="14"/>
                <w:b w:val="1"/>
                <w:bCs w:val="1"/>
                <w:color w:val="auto"/>
                <w:w w:val="90"/>
              </w:rPr>
              <w:t>As of December 31, 2016</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NAV (a)</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29,287</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24,278</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331,054</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167,981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174,110</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Derivative</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295,750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349,751</w:t>
            </w:r>
          </w:p>
        </w:tc>
        <w:tc>
          <w:tcPr>
            <w:tcW w:w="220" w:type="dxa"/>
            <w:vAlign w:val="bottom"/>
            <w:gridSpan w:val="2"/>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646,119</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600" w:right="420" w:hanging="592"/>
        <w:spacing w:after="0" w:line="277"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certain investments measured at NAV or its equivalent as a practical expedient in determining fair value. In accordance with current accounting guidance, these investments have not been classified in the fair value hierarchy.</w:t>
      </w:r>
    </w:p>
    <w:p>
      <w:pPr>
        <w:spacing w:after="0" w:line="170"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6"/>
          <w:szCs w:val="16"/>
          <w:color w:val="auto"/>
        </w:rPr>
        <w:t>Included in equity funds are $102,455 and $97,933 as of December 31, 2017 and 2016, respectively, that are invested in funds managed by LAM.</w:t>
      </w:r>
    </w:p>
    <w:p>
      <w:pPr>
        <w:spacing w:after="0" w:line="24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Consistent with the plans’ investment strategies, at December 31, 2017 and 2016, the Company’s U.S. pension plan had 55% and 53%, respectively, of the plans’ assets invested in equity funds in Level 1 and measured at NAV or its equivalent as a practical expedient and 45% and 47%, respectively, invested in Level 1 debt funds. The Company’s non-U.S. pension plans at December 31, 2017 and 2016 had 32% and 31%, respectively, of the plans’ assets invested in equities and equity funds that are primarily Level 1 assets; 62% and 62%, respectively, of the plans’ assets invested in debt and debt funds that are Level 1 assets and measured at NAV or its equivalent as a practical expedient, and 6% and 7%, respectively, of the plans’ assets invested in cash, which is a Level 1 asset, or in alternative investment funds that are primarily measured at NAV.</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b w:val="1"/>
          <w:bCs w:val="1"/>
          <w:i w:val="1"/>
          <w:iCs w:val="1"/>
          <w:color w:val="auto"/>
        </w:rPr>
        <w:t>Investment Policies and Strategies</w:t>
      </w:r>
      <w:r>
        <w:rPr>
          <w:rFonts w:ascii="Arial" w:cs="Arial" w:eastAsia="Arial" w:hAnsi="Arial"/>
          <w:sz w:val="17"/>
          <w:szCs w:val="17"/>
          <w:color w:val="auto"/>
        </w:rPr>
        <w:t>—The primary investment goal is to ensure that the pension plans remain well funded, taking account of the likely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risks to investment returns and contributions. As a result, a portfolio of assets is maintained with appropriate liquidity and diversification that can be expected to generate long-term future returns that minimize the long-term costs of the pension plans without exposing the plans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78" w:lineRule="exact"/>
        <w:rPr>
          <w:sz w:val="20"/>
          <w:szCs w:val="20"/>
          <w:color w:val="auto"/>
        </w:rPr>
      </w:pPr>
    </w:p>
    <w:p>
      <w:pPr>
        <w:ind w:right="420" w:firstLine="598"/>
        <w:spacing w:after="0" w:line="264"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Such contributions amounted to $15,065, $14,454 and $12,493 for the years ended December 31, 2017, 2016 and 2015, respectively, which are included in “compensation and benefits” expense on the consolidated statements of operations.</w:t>
      </w:r>
    </w:p>
    <w:p>
      <w:pPr>
        <w:spacing w:after="0" w:line="370" w:lineRule="exact"/>
        <w:rPr>
          <w:sz w:val="20"/>
          <w:szCs w:val="20"/>
          <w:color w:val="auto"/>
        </w:rPr>
      </w:pPr>
    </w:p>
    <w:p>
      <w:pPr>
        <w:ind w:left="600" w:hanging="592"/>
        <w:spacing w:after="0"/>
        <w:tabs>
          <w:tab w:leader="none" w:pos="6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UBT attributable to its operations apportioned to New York City.</w:t>
      </w:r>
    </w:p>
    <w:p>
      <w:pPr>
        <w:spacing w:after="0" w:line="171"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73"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lower corporate tax rate resulted in a reduction of our net deferred tax assets by approximately $420,000. See also Note 18 for the impact of the Tax Act to the tax receivable agreement obligation.</w:t>
      </w:r>
    </w:p>
    <w:p>
      <w:pPr>
        <w:spacing w:after="0" w:line="187"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The Tax Act also requires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does not apply to these pass-through entities or their earnings. The Company instead provides for U.S. income taxes on a current basis for those earnings. The Company also conducts operations outside the U.S. through foreign corporate subsidiaries, and the Company recorded approximately $1,000 of deferred tax expense related to the one-time repatriation tax on the foreign earnings of those corporate subsidiaries.</w:t>
      </w:r>
    </w:p>
    <w:p>
      <w:pPr>
        <w:spacing w:after="0" w:line="158" w:lineRule="exact"/>
        <w:rPr>
          <w:sz w:val="20"/>
          <w:szCs w:val="20"/>
          <w:color w:val="auto"/>
        </w:rPr>
      </w:pPr>
    </w:p>
    <w:p>
      <w:pPr>
        <w:ind w:right="240" w:firstLine="598"/>
        <w:spacing w:after="0" w:line="279" w:lineRule="auto"/>
        <w:rPr>
          <w:sz w:val="20"/>
          <w:szCs w:val="20"/>
          <w:color w:val="auto"/>
        </w:rPr>
      </w:pPr>
      <w:r>
        <w:rPr>
          <w:rFonts w:ascii="Arial" w:cs="Arial" w:eastAsia="Arial" w:hAnsi="Arial"/>
          <w:sz w:val="17"/>
          <w:szCs w:val="17"/>
          <w:color w:val="auto"/>
        </w:rPr>
        <w:t>In accordance with the guidance provided by Staff Accounting Bulletin No. 118, the Company has recognized the provisional tax impact related to the one-time deemed repatriation tax on certain foreign earnings and the remeasurement of our deferred tax assets. The impact of the Tax Act on the Company may differ from these provisional estimates, due to, among other items, the issuance of additional regulatory guidance, our interpretations of the provisions of the Tax Act, changes to certain estimates and amounts related to the earnings and profits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certain subsidiaries and the filing of our tax returns. We will recognize any changes to the provisional amounts as we refine our estimates and expect to complete our analysis of the provisional items during the second half of 2018.</w:t>
      </w:r>
    </w:p>
    <w:p>
      <w:pPr>
        <w:spacing w:after="0" w:line="17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As a result of the adoption of this new guidance, the Company recognized excess tax benefits of approximately $9,000 from the vesting of share-based incentive compensation in the provision for income taxes in the consolidated statements of operations for the year ended December 31, 2017.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 See Note 3 for further information on the adoption of this new guidance.</w:t>
      </w:r>
    </w:p>
    <w:p>
      <w:pPr>
        <w:spacing w:after="0" w:line="193"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 components of the Company’s provision (benefit) for income taxes for the years ended December 31, 2017, 2016 and 2015, and a reconciliation of the U.S. federal statutory income tax rate to the Company’s effective tax rates for such years, are shown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ind w:right="65"/>
              <w:spacing w:after="0"/>
              <w:rPr>
                <w:sz w:val="20"/>
                <w:szCs w:val="20"/>
                <w:color w:val="auto"/>
              </w:rPr>
            </w:pPr>
            <w:r>
              <w:rPr>
                <w:rFonts w:ascii="Arial" w:cs="Arial" w:eastAsia="Arial" w:hAnsi="Arial"/>
                <w:sz w:val="14"/>
                <w:szCs w:val="14"/>
                <w:b w:val="1"/>
                <w:bCs w:val="1"/>
                <w:color w:val="auto"/>
                <w:w w:val="99"/>
              </w:rPr>
              <w:t>Year Ended December 31,</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1,766</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64,119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54,253</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78,086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State and local (primarily UBT)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current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64,436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60,109</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91,233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gridSpan w:val="3"/>
          </w:tcPr>
          <w:p>
            <w:pPr>
              <w:ind w:left="1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480,085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50,602</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(988,900)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ind w:left="24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11,704</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(107,925)</w:t>
            </w:r>
          </w:p>
        </w:tc>
        <w:tc>
          <w:tcPr>
            <w:tcW w:w="0" w:type="dxa"/>
            <w:vAlign w:val="bottom"/>
          </w:tcPr>
          <w:p>
            <w:pPr>
              <w:spacing w:after="0"/>
              <w:rPr>
                <w:sz w:val="1"/>
                <w:szCs w:val="1"/>
                <w:color w:val="auto"/>
              </w:rPr>
            </w:pPr>
          </w:p>
        </w:tc>
      </w:tr>
      <w:tr>
        <w:trPr>
          <w:trHeight w:val="223"/>
        </w:trPr>
        <w:tc>
          <w:tcPr>
            <w:tcW w:w="6380" w:type="dxa"/>
            <w:vAlign w:val="bottom"/>
            <w:gridSpan w:val="3"/>
          </w:tcPr>
          <w:p>
            <w:pPr>
              <w:ind w:left="1140"/>
              <w:spacing w:after="0"/>
              <w:rPr>
                <w:sz w:val="20"/>
                <w:szCs w:val="20"/>
                <w:color w:val="auto"/>
              </w:rPr>
            </w:pPr>
            <w:r>
              <w:rPr>
                <w:rFonts w:ascii="Arial" w:cs="Arial" w:eastAsia="Arial" w:hAnsi="Arial"/>
                <w:sz w:val="18"/>
                <w:szCs w:val="18"/>
                <w:color w:val="auto"/>
              </w:rPr>
              <w:t>Total deferred</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501,163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63,660</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(1,100,785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565,599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123,769</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(1,009,552</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federal statutory income tax rate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U.S. tax reform</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source income not subject to U.S.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w:t>
            </w:r>
          </w:p>
        </w:tc>
        <w:tc>
          <w:tcPr>
            <w:tcW w:w="2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Change in U.S. federal valuation allowance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Share-based incentive compensation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Foreign taxes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and local taxes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Income of non-controlling interests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1140"/>
              <w:spacing w:after="0"/>
              <w:rPr>
                <w:sz w:val="20"/>
                <w:szCs w:val="20"/>
                <w:color w:val="auto"/>
              </w:rPr>
            </w:pPr>
            <w:r>
              <w:rPr>
                <w:rFonts w:ascii="Arial" w:cs="Arial" w:eastAsia="Arial" w:hAnsi="Arial"/>
                <w:sz w:val="18"/>
                <w:szCs w:val="18"/>
                <w:color w:val="auto"/>
              </w:rPr>
              <w:t>Effective income tax rate (a)</w:t>
            </w: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6074.3%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line="259"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year ended December 31, 2015, the effective tax rate on “operating income (loss)” includes (i) the significant effect of the release of substantially all of our valuation allowance on deferred tax assets and the recognition of deferred tax assets associated with the recording of the tax receivable agreement obligation, as described below, and (ii) the negative impact on “operating income (loss)” as a result of the provision pursuant to the tax receivable agreement.</w:t>
      </w:r>
    </w:p>
    <w:p>
      <w:pPr>
        <w:spacing w:after="0" w:line="18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See Note 20 regarding “operating income (loss)” by geographic region.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17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Basis adjustments (a)</w:t>
            </w:r>
          </w:p>
        </w:tc>
        <w:tc>
          <w:tcPr>
            <w:tcW w:w="30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339,133</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692,430</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175,456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197,750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Net operating loss and tax credit carryforwards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239,959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285,694</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53,895</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790,700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1,230,619</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Valuation allowance</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(61,456)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(69,593)</w:t>
            </w:r>
          </w:p>
        </w:tc>
      </w:tr>
      <w:tr>
        <w:trPr>
          <w:trHeight w:val="223"/>
        </w:trPr>
        <w:tc>
          <w:tcPr>
            <w:tcW w:w="57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Deferred tax assets (net of valuation allowance)</w:t>
            </w:r>
          </w:p>
        </w:tc>
        <w:tc>
          <w:tcPr>
            <w:tcW w:w="2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729,244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1,161,026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26,539</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Compensation and benefits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5,447</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27,932</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34,499</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2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94,417</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gridSpan w:val="2"/>
          </w:tcPr>
          <w:p>
            <w:pPr>
              <w:ind w:left="500"/>
              <w:spacing w:after="0"/>
              <w:rPr>
                <w:sz w:val="20"/>
                <w:szCs w:val="20"/>
                <w:color w:val="auto"/>
              </w:rPr>
            </w:pPr>
            <w:r>
              <w:rPr>
                <w:rFonts w:ascii="Arial" w:cs="Arial" w:eastAsia="Arial" w:hAnsi="Arial"/>
                <w:sz w:val="18"/>
                <w:szCs w:val="18"/>
                <w:color w:val="auto"/>
              </w:rPr>
              <w:t>Net deferred tax assets</w:t>
            </w:r>
          </w:p>
        </w:tc>
        <w:tc>
          <w:tcPr>
            <w:tcW w:w="20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640,853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1,066,609</w:t>
            </w:r>
          </w:p>
        </w:tc>
        <w:tc>
          <w:tcPr>
            <w:tcW w:w="12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600" w:right="40" w:hanging="592"/>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basis adjustments recorded as of December 31, 2017 and 2016 are primarily the result of additional basis from acquisitions of interests, including the impact of the tax receivable agreement obligation.</w:t>
      </w:r>
    </w:p>
    <w:p>
      <w:pPr>
        <w:spacing w:after="0" w:line="170"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Prior to 2015, the Company had a valuation allowance on substantially all of our deferred tax assets at that time. However,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65"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As a result, during the year ended December 31, 2015, we recorded a deferred tax benefit of approximately $878,000. In addition, included in basis adjustments, we also recorded (i) a separate deferred tax benefit of approximately $378,000 that reflected the tax deductibility of payments under the tax receivable agreement and (ii) a deferred tax expense of approximately $161,000 relating to the reduction of a deferred tax asset as a result of the partial extinguishment of our tax receivable agreement obligation. See Note 18 for more information regarding our accrual under the tax receivable agreement in the second quarter of 2015 and the partial extinguishment of our tax receivable agreement obligation in the third quarter of 2015.</w:t>
      </w:r>
    </w:p>
    <w:p>
      <w:pPr>
        <w:spacing w:after="0" w:line="173"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tax attributes that may expire unused.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$61,456 and $69,593 of deferred tax assets held by these entities as of December 31, 2017 and 2016,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deferred tax assets valuation allowance for the years ended December 31, 2017, 2016 and 2015 was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1,044,152</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Credited to provision (benefit) for income taxes</w:t>
            </w:r>
          </w:p>
        </w:tc>
        <w:tc>
          <w:tcPr>
            <w:tcW w:w="260" w:type="dxa"/>
            <w:vAlign w:val="bottom"/>
          </w:tcPr>
          <w:p>
            <w:pPr>
              <w:spacing w:after="0"/>
              <w:rPr>
                <w:sz w:val="19"/>
                <w:szCs w:val="19"/>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8"/>
                <w:szCs w:val="18"/>
                <w:color w:val="auto"/>
              </w:rPr>
              <w:t>(23,670)</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(15,981)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(954,487)</w:t>
            </w: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Charged (credited) to other comprehensive income and</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(3,677)</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61,456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89,251</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150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63" w:lineRule="exact"/>
        <w:rPr>
          <w:sz w:val="20"/>
          <w:szCs w:val="20"/>
          <w:color w:val="auto"/>
        </w:rPr>
      </w:pPr>
    </w:p>
    <w:p>
      <w:pPr>
        <w:ind w:left="600" w:right="80" w:hanging="592"/>
        <w:spacing w:after="0" w:line="264"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accordance with the new accounting guidance described above, 2017 includes recognition of previously unrecognized excess tax benefits offset by a valuation allowance of $12,090 recorded to retained earnings. 2016 includes acquisition-related deferred tax assets offset by a valuation allowance in the amount of $2,271.</w:t>
      </w:r>
    </w:p>
    <w:p>
      <w:pPr>
        <w:spacing w:after="0" w:line="18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of $239,959 were recorded at December 31, 2017 primarily relating to:</w:t>
      </w:r>
    </w:p>
    <w:p>
      <w:pPr>
        <w:spacing w:after="0" w:line="62" w:lineRule="exact"/>
        <w:rPr>
          <w:sz w:val="20"/>
          <w:szCs w:val="20"/>
          <w:color w:val="auto"/>
        </w:rPr>
      </w:pPr>
    </w:p>
    <w:p>
      <w:pPr>
        <w:ind w:left="1200" w:right="260" w:hanging="598"/>
        <w:spacing w:after="0" w:line="277" w:lineRule="auto"/>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$26,000 in Australia, Germany, Hong Kong, Saudi Arabia, Singapore and Spain;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carryforwards of approximately $188,000 in the U.S., which begin expiring in 2029.</w:t>
      </w:r>
    </w:p>
    <w:p>
      <w:pPr>
        <w:spacing w:after="0" w:line="225" w:lineRule="exact"/>
        <w:rPr>
          <w:sz w:val="20"/>
          <w:szCs w:val="20"/>
          <w:color w:val="auto"/>
        </w:rPr>
      </w:pPr>
    </w:p>
    <w:p>
      <w:pPr>
        <w:ind w:right="160" w:firstLine="640"/>
        <w:spacing w:after="0" w:line="302"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2012.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the beginning to the ending amount of gross unrecognized tax benefits (excluding interest and penalties)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8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(excluding interest and penalties</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$15,392, $13,083 and $13,004, respectively)</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78,396</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77,280</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68,224</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to tax positions taken during:</w:t>
            </w: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years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Current year</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Decreases in gross unrecognized tax benefits</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relating to:</w:t>
            </w:r>
          </w:p>
        </w:tc>
        <w:tc>
          <w:tcPr>
            <w:tcW w:w="1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Tax positions taken during prior years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with tax authorities</w:t>
            </w: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Lapse of the applicable statute of limitations</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(18,182)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(excluding interest and</w:t>
            </w:r>
          </w:p>
        </w:tc>
        <w:tc>
          <w:tcPr>
            <w:tcW w:w="17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penalties of $15,136, $15,392 and $13,083,</w:t>
            </w: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78,674</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78,396</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77,280</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Arial" w:cs="Arial" w:eastAsia="Arial" w:hAnsi="Arial"/>
                <w:sz w:val="18"/>
                <w:szCs w:val="18"/>
                <w:color w:val="auto"/>
              </w:rPr>
              <w:t>122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Additional information with respect to unrecognized tax benefits is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0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the end of the year that,</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if recognized, would favorably affect the effective</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rate (includes interest and penalties of $15,136,</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$15,392 and $13,083, respectively)</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78,841</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74,785</w:t>
            </w:r>
          </w:p>
        </w:tc>
        <w:tc>
          <w:tcPr>
            <w:tcW w:w="100" w:type="dxa"/>
            <w:vAlign w:val="bottom"/>
            <w:shd w:val="clear" w:color="auto" w:fill="CFF0FC"/>
          </w:tcPr>
          <w:p>
            <w:pPr>
              <w:spacing w:after="0"/>
              <w:rPr>
                <w:sz w:val="20"/>
                <w:szCs w:val="20"/>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Unrecognized tax benefits that, if recognized, would not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affect the effective tax rate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14,969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12,224</w:t>
            </w:r>
          </w:p>
        </w:tc>
        <w:tc>
          <w:tcPr>
            <w:tcW w:w="20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15,578</w:t>
            </w:r>
          </w:p>
        </w:tc>
        <w:tc>
          <w:tcPr>
            <w:tcW w:w="100" w:type="dxa"/>
            <w:vAlign w:val="bottom"/>
          </w:tcPr>
          <w:p>
            <w:pPr>
              <w:spacing w:after="0"/>
              <w:rPr>
                <w:sz w:val="20"/>
                <w:szCs w:val="20"/>
                <w:color w:val="auto"/>
              </w:rPr>
            </w:pP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and penalties recognized in current income</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 expense (after giving effect to the reversal of</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and penalties of $6,185, $3,143 and</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$3,865, respectively)</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right="400" w:firstLine="598"/>
        <w:spacing w:after="0" w:line="342" w:lineRule="auto"/>
        <w:rPr>
          <w:sz w:val="20"/>
          <w:szCs w:val="20"/>
          <w:color w:val="auto"/>
        </w:rPr>
      </w:pPr>
      <w:r>
        <w:rPr>
          <w:rFonts w:ascii="Arial" w:cs="Arial" w:eastAsia="Arial" w:hAnsi="Arial"/>
          <w:sz w:val="16"/>
          <w:szCs w:val="16"/>
          <w:color w:val="auto"/>
        </w:rPr>
        <w:t>The Company anticipates that it is reasonably possible that approximately $20,000 of unrecognized tax benefits, including interest and penalties recorded at December 31, 2017, may be recognized within 12 months as a result of the lapse of the statute of limitations in various tax jurisdictions.</w:t>
      </w:r>
    </w:p>
    <w:p>
      <w:pPr>
        <w:spacing w:after="0" w:line="326" w:lineRule="exact"/>
        <w:rPr>
          <w:sz w:val="20"/>
          <w:szCs w:val="20"/>
          <w:color w:val="auto"/>
        </w:rPr>
      </w:pPr>
    </w:p>
    <w:p>
      <w:pPr>
        <w:ind w:left="600" w:hanging="592"/>
        <w:spacing w:after="0"/>
        <w:tabs>
          <w:tab w:leader="none" w:pos="60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The Company’s basic and diluted net income per share calculations for the years ended December 31, 2017, 2016 and 2015 are computed as described below.</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years.</w:t>
      </w:r>
    </w:p>
    <w:p>
      <w:pPr>
        <w:spacing w:after="0" w:line="225"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such shares associated with shares of Class A common stock issuable on a non-contingent basis.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years as in the basic net income per share calculation described above.</w:t>
      </w:r>
    </w:p>
    <w:p>
      <w:pPr>
        <w:spacing w:after="0" w:line="248"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i w:val="1"/>
          <w:iCs w:val="1"/>
          <w:color w:val="auto"/>
        </w:rPr>
        <w:t xml:space="preserve">Denominator </w:t>
      </w:r>
      <w:r>
        <w:rPr>
          <w:rFonts w:ascii="Arial" w:cs="Arial" w:eastAsia="Arial" w:hAnsi="Arial"/>
          <w:sz w:val="18"/>
          <w:szCs w:val="18"/>
          <w:color w:val="auto"/>
        </w:rPr>
        <w:t>—utilizes the weighted average number of shares of Class A common stock outstanding for the respective years as in the basic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calculation described above, plus, to the extent dilutive, the incremental number of shares of Class A common stock required to settle share-based incentive compensation.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years ended December 31, 2017, 2016 and 2015 are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6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253,583</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387,698</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986,373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9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FF0FC"/>
            </w:tcBorders>
            <w:vMerge w:val="continue"/>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253,583</w:t>
            </w:r>
          </w:p>
        </w:tc>
        <w:tc>
          <w:tcPr>
            <w:tcW w:w="26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387,698</w:t>
            </w: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986,373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shares of Class A common stock</w:t>
            </w: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121,309,174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124,635,160</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125,294,261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00" w:type="dxa"/>
            <w:vAlign w:val="bottom"/>
          </w:tcPr>
          <w:p>
            <w:pPr>
              <w:spacing w:after="0"/>
              <w:rPr>
                <w:sz w:val="20"/>
                <w:szCs w:val="20"/>
                <w:color w:val="auto"/>
              </w:rPr>
            </w:pPr>
            <w:r>
              <w:rPr>
                <w:rFonts w:ascii="Arial" w:cs="Arial" w:eastAsia="Arial" w:hAnsi="Arial"/>
                <w:sz w:val="18"/>
                <w:szCs w:val="18"/>
                <w:color w:val="auto"/>
              </w:rPr>
              <w:t>Add - adjustment for shares of Class A common stock issuable on</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 non-contingent basis</w:t>
            </w:r>
          </w:p>
        </w:tc>
        <w:tc>
          <w:tcPr>
            <w:tcW w:w="6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264,268</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135,241</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 basic</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121,573,442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124,770,401</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125,366,272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incremental shares of Class A</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issuable from share-based incentive</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6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10,906,286</w:t>
            </w:r>
          </w:p>
        </w:tc>
        <w:tc>
          <w:tcPr>
            <w:tcW w:w="2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7,863,229</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7,878,274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 diluted</w:t>
            </w:r>
          </w:p>
        </w:tc>
        <w:tc>
          <w:tcPr>
            <w:tcW w:w="6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132,479,728</w:t>
            </w:r>
          </w:p>
        </w:tc>
        <w:tc>
          <w:tcPr>
            <w:tcW w:w="2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132,633,630</w:t>
            </w:r>
          </w:p>
        </w:tc>
        <w:tc>
          <w:tcPr>
            <w:tcW w:w="1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133,244,546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6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3"/>
                <w:szCs w:val="23"/>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300" w:right="9220" w:hanging="292"/>
        <w:spacing w:after="0" w:line="397" w:lineRule="auto"/>
        <w:tabs>
          <w:tab w:leader="none" w:pos="595" w:val="left"/>
        </w:tabs>
        <w:numPr>
          <w:ilvl w:val="0"/>
          <w:numId w:val="8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alternative investment funds, performance-based incentive fees for providing such services. Investment advisory fees relating to such services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$649,089, $516,667 and $534,752 for the years ended December 31, 2017, 2016 and 2015, respectively, and are included in “asset management fees”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Of such amounts, $69,107 and $49,944 remained as receivables at December 31, 2017 and 2016, respectively, and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“fees receivable” on the consolidated statements of financial condition.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80" w:firstLine="59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20" w:firstLine="8"/>
        <w:spacing w:after="0" w:line="270" w:lineRule="auto"/>
        <w:tabs>
          <w:tab w:leader="none" w:pos="2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approximately 45% (following the July 2015 purchase described below)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79"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As described in Note 16, during the period ended June 30, 2015, we released substantially all of our valuation allowance against deferred tax assets. As a result, we accrued a corresponding liability of $961,948 during the quarter ended June 30, 2015 for amounts relating to the Amended and Restated Tax Receivable Agreement at that time.</w:t>
      </w:r>
    </w:p>
    <w:p>
      <w:pPr>
        <w:spacing w:after="0" w:line="181"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the “provision (benefit) for income taxes”.</w:t>
      </w:r>
    </w:p>
    <w:p>
      <w:pPr>
        <w:spacing w:after="0" w:line="178"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In July 2015, we purchased approximately 47% of the then-outstanding beneficial interests in the Trust from certain owners of the Trust for $42,222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$420,792 recorded in “provision pursuant to tax receivable agreement” on the consolidated statement of operations for the year ended December 31, 2015. In addition, the extinguishment of these payment obligations resulted in a reduction of the tax benefits that would have been attributable to the actual payments and, accordingly, we recorded a deferred tax expense of approximately $161,000 on the consolidated statement of operations for the year ended December 31, 2015.</w:t>
      </w:r>
    </w:p>
    <w:p>
      <w:pPr>
        <w:spacing w:after="0" w:line="18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the years ended December 31, 2017 and 2015, the Company recorded a “provision (benefit) pursuant to tax receivable agreement” on the consolidated statements of operations of $(202,546) and $547,691, respectively. As described in Note 16, the Tax Act reduced the U.S. corporate tax rate from 35% to 21% which required the Company to remeasure the tax receivable agreement obligation. Pursuant to the change in the U.S. corporate tax rate, in 2017, the Company reduced the tax receivable agreement obligation by $202,546. The cumulative liability relating to our obligations under the Amended and Restated Tax Receivable Agreement as of December 31, 2017 and 2016 was $310,275 and $513,610, respectively, and is recorded in “tax receivable agreement obligation” on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consolidated statements of financial condition. The balance at December 31, 2017 reflects a payment made under the Amended and Restated Tax Receivable Agreement in the year ended December 31, 2017 of $789.</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13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600" w:hanging="592"/>
        <w:spacing w:after="0"/>
        <w:tabs>
          <w:tab w:leader="none" w:pos="60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140" w:firstLine="59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December 31, 2017, LFNY’s regulatory net capital was $156,289, which exceeded the minimum requirement by $151,311. LFNY’s aggregate indebtedness to net capital ratio was 0.48:1 as of December 31, 2017.</w:t>
      </w:r>
    </w:p>
    <w:p>
      <w:pPr>
        <w:spacing w:after="0" w:line="198"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December 31, 2017, the aggregate regulatory net capital of the U.K. Subsidiaries was $192,717, which exceeded the minimum requirement by $173,756.</w:t>
      </w:r>
    </w:p>
    <w:p>
      <w:pPr>
        <w:spacing w:after="0" w:line="18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December 31, 2017, the consolidated regulatory net capital of CFLF was $140,353, which exceeded the minimum requirement set for regulatory capital levels by $85,904.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2017, the regulatory net capital of the combined European regulated group was $170,933, which exceeded the minimum requirement set for regulatory capital levels by $68,025.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2017, for those subsidiaries with regulatory capital requirements, their aggregate net capital was $162,440, which exceeded the minimum required capital by $134,275.</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2017, each of these subsidiaries individually was in compliance with its regulatory capital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600" w:hanging="592"/>
        <w:spacing w:after="0"/>
        <w:tabs>
          <w:tab w:leader="none" w:pos="6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segment information for the years ended December 31, 2017, 2016 and 2015 is prepared using the following methodology:</w:t>
      </w:r>
    </w:p>
    <w:p>
      <w:pPr>
        <w:spacing w:after="0" w:line="129" w:lineRule="exact"/>
        <w:rPr>
          <w:sz w:val="20"/>
          <w:szCs w:val="20"/>
          <w:color w:val="auto"/>
        </w:rPr>
      </w:pPr>
    </w:p>
    <w:p>
      <w:pPr>
        <w:ind w:left="1200" w:hanging="598"/>
        <w:spacing w:after="0"/>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1200" w:right="540" w:hanging="598"/>
        <w:spacing w:after="0" w:line="308" w:lineRule="auto"/>
        <w:tabs>
          <w:tab w:leader="none" w:pos="12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4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the years ended December 31, 2017, 2016 and 2015, no individual client constituted more than 10% of the net revenue of any of the Company’s business segments.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8" w:lineRule="exact"/>
        <w:rPr>
          <w:sz w:val="20"/>
          <w:szCs w:val="20"/>
          <w:color w:val="auto"/>
        </w:rPr>
      </w:pPr>
    </w:p>
    <w:p>
      <w:pPr>
        <w:ind w:right="440" w:firstLine="59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Or For The 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1,387,682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1,301,044</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1,279,628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1,143,586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1,017,055</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1,005,837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244,096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283,989</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843,142</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907,035</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1,255,820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1,051,316</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1,111,105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769,737</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281,579</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756,398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645,653</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(18,989)</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(a)/(b)</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(135,591)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29,118</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3,329,137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3,003,820</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3,074,366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2,644,311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2,333,371</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2,353,608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1,818,865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1,815,910</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2,370,228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517,461</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4,928,677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4,556,508</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4,477,774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25,416</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32,785</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0" w:right="180" w:hanging="592"/>
        <w:spacing w:after="0" w:line="264"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Operating expenses include a benefit of $202,546 for the year ended December 31, 2017, and a provision of $547,691 for the year ended December 31, 2015, recorded for the provision (benefit) pursuant to the tax receivable agreement. See Note 18 for information regarding the tax receivable agreement obligation.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73"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Effective January 1, 2017, the Company’s reporting by geographic region was transitioned from the Company’s previously disclosed North America, Europe and rest of the world regions to the Americas; Europe, Middle East and Africa (“EMEA”); and Asia Pacific. Comparable prior year information has been recast to reflect our revised geographic presentation.</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Americas</w:t>
            </w:r>
          </w:p>
        </w:tc>
        <w:tc>
          <w:tcPr>
            <w:tcW w:w="2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1,558,070</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1,399,285</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1,322,898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EMEA</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903,525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795,932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Asia Pacific</w:t>
            </w:r>
          </w:p>
        </w:tc>
        <w:tc>
          <w:tcPr>
            <w:tcW w:w="2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182,716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138,154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2,644,311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2,333,371</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2,353,608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ind w:left="580"/>
              <w:spacing w:after="0"/>
              <w:rPr>
                <w:sz w:val="20"/>
                <w:szCs w:val="20"/>
                <w:color w:val="auto"/>
              </w:rPr>
            </w:pPr>
            <w:r>
              <w:rPr>
                <w:rFonts w:ascii="Arial" w:cs="Arial" w:eastAsia="Arial" w:hAnsi="Arial"/>
                <w:sz w:val="18"/>
                <w:szCs w:val="18"/>
                <w:color w:val="auto"/>
              </w:rPr>
              <w:t>Operating Income (Loss):</w:t>
            </w: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Americas (a)</w:t>
            </w:r>
          </w:p>
        </w:tc>
        <w:tc>
          <w:tcPr>
            <w:tcW w:w="2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596,044</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335,887</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(259,538)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EMEA</w:t>
            </w:r>
          </w:p>
        </w:tc>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193,781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168,745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Asia Pacific</w:t>
            </w:r>
          </w:p>
        </w:tc>
        <w:tc>
          <w:tcPr>
            <w:tcW w:w="2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35,621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12,829</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825,446</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517,461</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Identifiable Assets:</w:t>
            </w:r>
          </w:p>
        </w:tc>
        <w:tc>
          <w:tcPr>
            <w:tcW w:w="2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Americas</w:t>
            </w:r>
          </w:p>
        </w:tc>
        <w:tc>
          <w:tcPr>
            <w:tcW w:w="2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2,600,412</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3,015,267</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2,811,850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EMEA</w:t>
            </w:r>
          </w:p>
        </w:tc>
        <w:tc>
          <w:tcPr>
            <w:tcW w:w="2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2,039,385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1,286,149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Asia Pacific</w:t>
            </w:r>
          </w:p>
        </w:tc>
        <w:tc>
          <w:tcPr>
            <w:tcW w:w="2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288,880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255,092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4,928,677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4,556,508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4,477,774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80" w:right="160" w:hanging="440"/>
        <w:spacing w:after="0" w:line="264"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Operating income (loss) includes a benefit of $202,546 for the year ended December 31, 2017, and a provision of $547,691 for the year ended December 31, 2015, recorded for the provision (benefit) pursuant to the tax receivable agreement. See Note 18 for information regarding the tax receivable agreement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2017 and 2016.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2017 Fiscal Quarter</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gridSpan w:val="8"/>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(dollars in thousands, except per share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623,464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717,180</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624,859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678,808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2,644,311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544,679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480,647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320,272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1,818,865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150,197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358,536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825,446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110,430</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120,901</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111,470</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(82,954)</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Lazard Ltd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107,553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120,378</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109,210</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(83,558)</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Attributable to Lazard Ltd Class A common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income per share of common stock: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0.81</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0.91</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per share of common stock</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2016 Fiscal Quarter</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gridSpan w:val="8"/>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(dollars in thousands, except per share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498,218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534,680</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2,333,371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399,841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459,916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534,709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1,815,910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98,377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113,236</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148,992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156,856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70,723</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81,364</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112,618</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128,987</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Lazard Ltd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80,357</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112,536</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127,982</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Attributable to Lazard Ltd Class A common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income per share of common stock: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0.61</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per share of common stock</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00" w:lineRule="exact"/>
        <w:rPr>
          <w:sz w:val="20"/>
          <w:szCs w:val="20"/>
          <w:color w:val="auto"/>
        </w:rPr>
      </w:pPr>
    </w:p>
    <w:p>
      <w:pPr>
        <w:spacing w:after="0" w:line="2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520" w:firstLine="598"/>
        <w:spacing w:after="0" w:line="264" w:lineRule="auto"/>
        <w:rPr>
          <w:sz w:val="20"/>
          <w:szCs w:val="20"/>
          <w:color w:val="auto"/>
        </w:rPr>
      </w:pPr>
      <w:r>
        <w:rPr>
          <w:rFonts w:ascii="Arial" w:cs="Arial" w:eastAsia="Arial" w:hAnsi="Arial"/>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Annual Report on Form 10-K. Based on that evaluation, our Chief Executive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2" w:name="page133"/>
    <w:bookmarkEnd w:id="132"/>
    <w:p>
      <w:pPr>
        <w:spacing w:after="0" w:line="276" w:lineRule="auto"/>
        <w:rPr>
          <w:sz w:val="20"/>
          <w:szCs w:val="20"/>
          <w:color w:val="auto"/>
        </w:rPr>
      </w:pPr>
      <w:r>
        <w:rPr>
          <w:rFonts w:ascii="Arial" w:cs="Arial" w:eastAsia="Arial" w:hAnsi="Arial"/>
          <w:sz w:val="17"/>
          <w:szCs w:val="17"/>
          <w:color w:val="auto"/>
        </w:rPr>
        <w:t>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ind w:right="380" w:firstLine="598"/>
        <w:spacing w:after="0" w:line="308"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4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Management’s Report on Internal Control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6" w:lineRule="exact"/>
        <w:rPr>
          <w:sz w:val="20"/>
          <w:szCs w:val="20"/>
          <w:color w:val="auto"/>
        </w:rPr>
      </w:pPr>
    </w:p>
    <w:p>
      <w:pPr>
        <w:ind w:firstLine="877"/>
        <w:spacing w:after="0" w:line="288" w:lineRule="auto"/>
        <w:rPr>
          <w:sz w:val="20"/>
          <w:szCs w:val="20"/>
          <w:color w:val="auto"/>
        </w:rPr>
      </w:pPr>
      <w:r>
        <w:rPr>
          <w:rFonts w:ascii="Arial" w:cs="Arial" w:eastAsia="Arial" w:hAnsi="Arial"/>
          <w:sz w:val="16"/>
          <w:szCs w:val="16"/>
          <w:color w:val="auto"/>
        </w:rPr>
        <w:t>On February 22, 2018, the Company announced that the Board of Directors elected Iris Knobloch to join the Board, effective April 1, 2018. Ms. Knobloch will also serve on the Nominating &amp; Governance Committee of the Board. Ms. Knobloch will receive compensation pursuant to the Company’s directors’ compensation program for independent directors of the Company, the terms of which are described in Item 1 of the Company’s Definitive Proxy Statement on Schedule 14A filed on March 14, 2017, and are incorporated herein by reference. Ms. Knobloch has served as President of Warner Bros Entertainment in France since 2006, where she oversees all of its French businesses. She also supervises the company’s Home Entertainment business in the Benelux region and Warner Bros’ strategic development in Africa. Previously, she was in charge of Time Warner’s International Relations and Strategic Policy for Europe, and also worked in Los Angeles and London. Prior to Warner Bros, Ms. Knobloch was an attorney with Norr, Stiefenhofer &amp; Lutz and with O’Melveny &amp; Myers in Munich, New York and Los Angeles. Ms. Knobloch is the Vice Chairman and Lead Independent Director of the Board of Directors of AccorHotels, a Member of the Board of Directors of Central European Media Enterprises, and a Governor of the American Hospital in Paris. She received a J.D. degree from Ludwig-Maximilians-Universitaet and an L.L.M. degree from New York University.</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the Company announced that current independent director Richard D. Parsons was named Lead Director of the Board.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33" w:name="page134"/>
    <w:bookmarkEnd w:id="133"/>
    <w:p>
      <w:pPr>
        <w:ind w:left="536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jc w:val="both"/>
        <w:ind w:right="40" w:firstLine="598"/>
        <w:spacing w:after="0" w:line="288"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 as well as information regarding our Code of Business Conduct and Ethics that applies to our Chief Executive Officer and senior financial officers, will be presented in Lazard Ltd’s definitive proxy statement for its 2018 annual general meeting of shareholders, which will be held in April 2018, and is incorporated herein by reference.</w:t>
      </w:r>
    </w:p>
    <w:p>
      <w:pPr>
        <w:ind w:right="840"/>
        <w:spacing w:after="0" w:line="261" w:lineRule="auto"/>
        <w:rPr>
          <w:sz w:val="20"/>
          <w:szCs w:val="20"/>
          <w:color w:val="auto"/>
        </w:rPr>
      </w:pPr>
      <w:r>
        <w:rPr>
          <w:rFonts w:ascii="Arial" w:cs="Arial" w:eastAsia="Arial" w:hAnsi="Arial"/>
          <w:sz w:val="18"/>
          <w:szCs w:val="18"/>
          <w:color w:val="auto"/>
        </w:rPr>
        <w:t>Information regarding our executive officers is included in Part I of this Annual Report on Form 10-K under the caption “Executive Officers of the Registrant”.</w:t>
      </w:r>
    </w:p>
    <w:p>
      <w:pPr>
        <w:spacing w:after="0" w:line="184"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and Compliance” in Lazard Ltd’s definitive proxy statement for its 2018 annual general meeting of shareholders, and is incorporated herein by reference.</w:t>
      </w:r>
    </w:p>
    <w:p>
      <w:pPr>
        <w:spacing w:after="0" w:line="3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2018 annual general meeting of shareholders, which will be held in April 2018, and is incorporated herein by reference.</w:t>
      </w:r>
    </w:p>
    <w:p>
      <w:pPr>
        <w:spacing w:after="0" w:line="35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Information regarding security ownership of certain beneficial owners and management and related shareholder matters will be presented in Lazard Ltd’s definitive proxy statement for its 2018 annual general meeting of shareholders, which will be held in April 2018,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following table provides information as of December 31, 2017 regarding securities issued under our 2008 Incentive Compensation Plan and 2005 Equity Incentive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420" w:type="dxa"/>
            <w:vAlign w:val="bottom"/>
          </w:tcPr>
          <w:p>
            <w:pPr>
              <w:spacing w:after="0"/>
              <w:rPr>
                <w:sz w:val="12"/>
                <w:szCs w:val="12"/>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Weighted-Average</w:t>
            </w: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42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Plan</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42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6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42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Options,</w:t>
            </w: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Reflected in the</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Category</w:t>
            </w: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42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Warrants and Rights</w:t>
            </w: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Second Column)</w:t>
            </w:r>
          </w:p>
        </w:tc>
        <w:tc>
          <w:tcPr>
            <w:tcW w:w="0" w:type="dxa"/>
            <w:vAlign w:val="bottom"/>
          </w:tcPr>
          <w:p>
            <w:pPr>
              <w:spacing w:after="0"/>
              <w:rPr>
                <w:sz w:val="1"/>
                <w:szCs w:val="1"/>
                <w:color w:val="auto"/>
              </w:rPr>
            </w:pPr>
          </w:p>
        </w:tc>
      </w:tr>
      <w:tr>
        <w:trPr>
          <w:trHeight w:val="209"/>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w:t>
            </w:r>
          </w:p>
        </w:tc>
        <w:tc>
          <w:tcPr>
            <w:tcW w:w="12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2"/>
              </w:rPr>
              <w:t>2008 Incentive</w:t>
            </w:r>
          </w:p>
        </w:tc>
        <w:tc>
          <w:tcPr>
            <w:tcW w:w="1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plans approved by</w:t>
            </w:r>
          </w:p>
        </w:tc>
        <w:tc>
          <w:tcPr>
            <w:tcW w:w="12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3"/>
              </w:rPr>
              <w:t>Compensation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(1)</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16,702,518</w:t>
            </w:r>
          </w:p>
        </w:tc>
        <w:tc>
          <w:tcPr>
            <w:tcW w:w="4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22,227,309</w:t>
            </w:r>
          </w:p>
        </w:tc>
        <w:tc>
          <w:tcPr>
            <w:tcW w:w="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Equity compensation</w:t>
            </w:r>
          </w:p>
        </w:tc>
        <w:tc>
          <w:tcPr>
            <w:tcW w:w="1220" w:type="dxa"/>
            <w:vAlign w:val="bottom"/>
          </w:tcPr>
          <w:p>
            <w:pPr>
              <w:ind w:left="120"/>
              <w:spacing w:after="0"/>
              <w:rPr>
                <w:sz w:val="20"/>
                <w:szCs w:val="20"/>
                <w:color w:val="auto"/>
              </w:rPr>
            </w:pPr>
            <w:r>
              <w:rPr>
                <w:rFonts w:ascii="Arial" w:cs="Arial" w:eastAsia="Arial" w:hAnsi="Arial"/>
                <w:sz w:val="18"/>
                <w:szCs w:val="18"/>
                <w:color w:val="auto"/>
              </w:rPr>
              <w:t>2005 Equity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40"/>
              <w:spacing w:after="0"/>
              <w:rPr>
                <w:sz w:val="20"/>
                <w:szCs w:val="20"/>
                <w:color w:val="auto"/>
              </w:rPr>
            </w:pPr>
            <w:r>
              <w:rPr>
                <w:rFonts w:ascii="Arial" w:cs="Arial" w:eastAsia="Arial" w:hAnsi="Arial"/>
                <w:sz w:val="18"/>
                <w:szCs w:val="18"/>
                <w:color w:val="auto"/>
              </w:rPr>
              <w:t>plans not approved by</w:t>
            </w:r>
          </w:p>
        </w:tc>
        <w:tc>
          <w:tcPr>
            <w:tcW w:w="1220" w:type="dxa"/>
            <w:vAlign w:val="bottom"/>
          </w:tcPr>
          <w:p>
            <w:pPr>
              <w:ind w:left="120"/>
              <w:spacing w:after="0"/>
              <w:rPr>
                <w:sz w:val="20"/>
                <w:szCs w:val="20"/>
                <w:color w:val="auto"/>
              </w:rPr>
            </w:pPr>
            <w:r>
              <w:rPr>
                <w:rFonts w:ascii="Arial" w:cs="Arial" w:eastAsia="Arial" w:hAnsi="Arial"/>
                <w:sz w:val="18"/>
                <w:szCs w:val="18"/>
                <w:color w:val="auto"/>
              </w:rPr>
              <w:t>Incentive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security holders</w:t>
            </w:r>
          </w:p>
        </w:tc>
        <w:tc>
          <w:tcPr>
            <w:tcW w:w="1220" w:type="dxa"/>
            <w:vAlign w:val="bottom"/>
          </w:tcPr>
          <w:p>
            <w:pPr>
              <w:ind w:left="120"/>
              <w:spacing w:after="0"/>
              <w:rPr>
                <w:sz w:val="20"/>
                <w:szCs w:val="20"/>
                <w:color w:val="auto"/>
              </w:rPr>
            </w:pPr>
            <w:r>
              <w:rPr>
                <w:rFonts w:ascii="Arial" w:cs="Arial" w:eastAsia="Arial" w:hAnsi="Arial"/>
                <w:sz w:val="18"/>
                <w:szCs w:val="18"/>
                <w:color w:val="auto"/>
              </w:rPr>
              <w:t>Plan</w:t>
            </w:r>
            <w:r>
              <w:rPr>
                <w:rFonts w:ascii="Arial" w:cs="Arial" w:eastAsia="Arial" w:hAnsi="Arial"/>
                <w:sz w:val="15"/>
                <w:szCs w:val="15"/>
                <w:color w:val="auto"/>
              </w:rPr>
              <w:t>(2)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25,602</w:t>
            </w:r>
          </w:p>
        </w:tc>
        <w:tc>
          <w:tcPr>
            <w:tcW w:w="420" w:type="dxa"/>
            <w:vAlign w:val="bottom"/>
          </w:tcPr>
          <w:p>
            <w:pPr>
              <w:jc w:val="right"/>
              <w:ind w:right="63"/>
              <w:spacing w:after="0"/>
              <w:rPr>
                <w:sz w:val="20"/>
                <w:szCs w:val="20"/>
                <w:color w:val="auto"/>
              </w:rPr>
            </w:pPr>
            <w:r>
              <w:rPr>
                <w:rFonts w:ascii="Arial" w:cs="Arial" w:eastAsia="Arial" w:hAnsi="Arial"/>
                <w:sz w:val="15"/>
                <w:szCs w:val="15"/>
                <w:color w:val="auto"/>
              </w:rPr>
              <w:t>(3)</w:t>
            </w:r>
          </w:p>
        </w:tc>
        <w:tc>
          <w:tcPr>
            <w:tcW w:w="1640" w:type="dxa"/>
            <w:vAlign w:val="bottom"/>
            <w:gridSpan w:val="2"/>
          </w:tcPr>
          <w:p>
            <w:pPr>
              <w:jc w:val="right"/>
              <w:ind w:right="140"/>
              <w:spacing w:after="0"/>
              <w:rPr>
                <w:sz w:val="20"/>
                <w:szCs w:val="20"/>
                <w:color w:val="auto"/>
              </w:rPr>
            </w:pPr>
            <w:r>
              <w:rPr>
                <w:rFonts w:ascii="Arial" w:cs="Arial" w:eastAsia="Arial" w:hAnsi="Arial"/>
                <w:sz w:val="15"/>
                <w:szCs w:val="15"/>
                <w:color w:val="auto"/>
              </w:rPr>
              <w:t>(4)</w:t>
            </w:r>
          </w:p>
        </w:tc>
        <w:tc>
          <w:tcPr>
            <w:tcW w:w="162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16,728,120</w:t>
            </w:r>
          </w:p>
        </w:tc>
        <w:tc>
          <w:tcPr>
            <w:tcW w:w="420" w:type="dxa"/>
            <w:vAlign w:val="bottom"/>
            <w:tcBorders>
              <w:top w:val="single" w:sz="8" w:color="CFF0FC"/>
              <w:bottom w:val="single" w:sz="8" w:color="CFF0FC"/>
            </w:tcBorders>
            <w:shd w:val="clear" w:color="auto" w:fill="CFF0FC"/>
          </w:tcPr>
          <w:p>
            <w:pPr>
              <w:jc w:val="right"/>
              <w:ind w:right="63"/>
              <w:spacing w:after="0"/>
              <w:rPr>
                <w:sz w:val="20"/>
                <w:szCs w:val="20"/>
                <w:color w:val="auto"/>
              </w:rPr>
            </w:pPr>
            <w:r>
              <w:rPr>
                <w:rFonts w:ascii="Arial" w:cs="Arial" w:eastAsia="Arial" w:hAnsi="Arial"/>
                <w:sz w:val="15"/>
                <w:szCs w:val="15"/>
                <w:color w:val="auto"/>
              </w:rPr>
              <w:t>(3)</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22,227,309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20" w:hanging="592"/>
        <w:spacing w:after="0" w:line="259"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2008 Incentive Compensation Plan was approved by the stockholders of Lazard Ltd on May 6, 2008. The number of shares of Lazard Ltd Class A common stock available for issuance under the 2008 Incentive Compensation Plan is determined by a formula, which generally provides that the aggregate number of shares subject to outstanding awards under the 2008 Incentive Compensation Plan may not exceed 30% of the aggregate number of then-outstanding shares of Lazard Ltd Class A common stock.</w:t>
      </w:r>
    </w:p>
    <w:p>
      <w:pPr>
        <w:spacing w:after="0" w:line="78" w:lineRule="exact"/>
        <w:rPr>
          <w:rFonts w:ascii="Arial" w:cs="Arial" w:eastAsia="Arial" w:hAnsi="Arial"/>
          <w:sz w:val="18"/>
          <w:szCs w:val="18"/>
          <w:color w:val="auto"/>
        </w:rPr>
      </w:pPr>
    </w:p>
    <w:p>
      <w:pPr>
        <w:ind w:left="600" w:right="140" w:hanging="592"/>
        <w:spacing w:after="0" w:line="277"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2005 Equity Incentive Plan was established prior to our equity public offering in May 2005 and, as a result, did not require approval by security holders. The 2005 Equity Incentive Plan expired in the second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4" w:name="page135"/>
    <w:bookmarkEnd w:id="134"/>
    <w:p>
      <w:pPr>
        <w:ind w:left="600"/>
        <w:spacing w:after="0"/>
        <w:rPr>
          <w:sz w:val="20"/>
          <w:szCs w:val="20"/>
          <w:color w:val="auto"/>
        </w:rPr>
      </w:pPr>
      <w:r>
        <w:rPr>
          <w:rFonts w:ascii="Arial" w:cs="Arial" w:eastAsia="Arial" w:hAnsi="Arial"/>
          <w:sz w:val="17"/>
          <w:szCs w:val="17"/>
          <w:color w:val="auto"/>
        </w:rPr>
        <w:t>quarter of 2015, although awards granted under the 2005 Equity Incentive Plan remain outstanding and continue to be subject to its terms.</w:t>
      </w:r>
    </w:p>
    <w:p>
      <w:pPr>
        <w:spacing w:after="0" w:line="129" w:lineRule="exact"/>
        <w:rPr>
          <w:sz w:val="20"/>
          <w:szCs w:val="20"/>
          <w:color w:val="auto"/>
        </w:rPr>
      </w:pPr>
    </w:p>
    <w:p>
      <w:pPr>
        <w:jc w:val="both"/>
        <w:ind w:left="600" w:right="80" w:hanging="592"/>
        <w:spacing w:after="0" w:line="264"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outstanding stock unit awards, after giving effect to forfeitures, as of December 31, 2017. As of that date, the only grants made under the 2008 Incentive Compensation Plan and 2005 Equity Incentive Plan have been in the form of stock unit awards and restricted stock awards. See Note 14 of Notes to Consolidated Financial Statements for a description of the plans.</w:t>
      </w:r>
    </w:p>
    <w:p>
      <w:pPr>
        <w:spacing w:after="0" w:line="73" w:lineRule="exact"/>
        <w:rPr>
          <w:rFonts w:ascii="Arial" w:cs="Arial" w:eastAsia="Arial" w:hAnsi="Arial"/>
          <w:sz w:val="18"/>
          <w:szCs w:val="18"/>
          <w:color w:val="auto"/>
        </w:rPr>
      </w:pPr>
    </w:p>
    <w:p>
      <w:pPr>
        <w:ind w:left="600" w:hanging="592"/>
        <w:spacing w:after="0" w:line="257"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restricted stock unit awarded under our 2008 Incentive Compensation Plan and 2005 Equity Incentive Plan was granted at no cost to the persons receiving them and represents the contingent right to receive the equivalent number of shares of Lazard Ltd Class A common stock. Performance-based restricted stock units awarded represent the contingent right to receive Class A common stock based on the achievement of performance criteria, and the number of shares of Class A common stock that ultimately may be received generally can range from zero to two times the target number.</w:t>
      </w:r>
    </w:p>
    <w:p>
      <w:pPr>
        <w:spacing w:after="0" w:line="80" w:lineRule="exact"/>
        <w:rPr>
          <w:rFonts w:ascii="Arial" w:cs="Arial" w:eastAsia="Arial" w:hAnsi="Arial"/>
          <w:sz w:val="18"/>
          <w:szCs w:val="18"/>
          <w:color w:val="auto"/>
        </w:rPr>
      </w:pPr>
    </w:p>
    <w:p>
      <w:pPr>
        <w:ind w:left="600" w:right="100" w:hanging="592"/>
        <w:spacing w:after="0" w:line="277"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Gives effect to the number of securities remaining available for future issuance, after considering the impact of vested restricted stock units that will not be delivered as a result of withholding taxes.</w:t>
      </w:r>
    </w:p>
    <w:p>
      <w:pPr>
        <w:spacing w:after="0" w:line="35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80" w:firstLine="598"/>
        <w:spacing w:after="0" w:line="308" w:lineRule="auto"/>
        <w:rPr>
          <w:sz w:val="20"/>
          <w:szCs w:val="20"/>
          <w:color w:val="auto"/>
        </w:rPr>
      </w:pPr>
      <w:r>
        <w:rPr>
          <w:rFonts w:ascii="Arial" w:cs="Arial" w:eastAsia="Arial" w:hAnsi="Arial"/>
          <w:sz w:val="17"/>
          <w:szCs w:val="17"/>
          <w:color w:val="auto"/>
        </w:rPr>
        <w:t>Information regarding certain relationships and related transactions, and director independence, will be presented in Lazard Ltd’s definitive proxy statement for its 2018 annual general meeting of shareholders, which will be held in April 2018, and is incorporated herein by reference.</w:t>
      </w:r>
    </w:p>
    <w:p>
      <w:pPr>
        <w:spacing w:after="0" w:line="33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2018 annual general meeting of shareholders, which will be held in April 2018, and is incorporated herein by reference.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ind w:left="600" w:hanging="592"/>
        <w:spacing w:after="0"/>
        <w:tabs>
          <w:tab w:leader="none" w:pos="6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17"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58"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121" w:lineRule="exact"/>
        <w:rPr>
          <w:rFonts w:ascii="Arial" w:cs="Arial" w:eastAsia="Arial" w:hAnsi="Arial"/>
          <w:sz w:val="18"/>
          <w:szCs w:val="18"/>
          <w:b w:val="1"/>
          <w:bCs w:val="1"/>
          <w:color w:val="auto"/>
        </w:rPr>
      </w:pPr>
    </w:p>
    <w:p>
      <w:pPr>
        <w:ind w:left="12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F-6 hereof. Ratio of Earnings to Fixed Charges has been included as Exhibit 12.1. All other schedules have been omitted because they are not applicable, not required or the information required is included in the Company’s consolidated financial statements or notes thereto.</w:t>
      </w:r>
    </w:p>
    <w:p>
      <w:pPr>
        <w:spacing w:after="0" w:line="74" w:lineRule="exact"/>
        <w:rPr>
          <w:rFonts w:ascii="Arial" w:cs="Arial" w:eastAsia="Arial" w:hAnsi="Arial"/>
          <w:sz w:val="18"/>
          <w:szCs w:val="18"/>
          <w:b w:val="1"/>
          <w:bCs w:val="1"/>
          <w:color w:val="auto"/>
        </w:rPr>
      </w:pPr>
    </w:p>
    <w:p>
      <w:pPr>
        <w:ind w:left="1200" w:hanging="598"/>
        <w:spacing w:after="0"/>
        <w:tabs>
          <w:tab w:leader="none" w:pos="120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3.1</w:t>
            </w:r>
          </w:p>
        </w:tc>
        <w:tc>
          <w:tcPr>
            <w:tcW w:w="10180" w:type="dxa"/>
            <w:vAlign w:val="bottom"/>
            <w:gridSpan w:val="21"/>
          </w:tcPr>
          <w:p>
            <w:pPr>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Certificate of Incorporation and Memorandum of Association of the Registrant (incorporated by reference to Exhibit 3.1 to the Registrant’s</w:t>
              </w:r>
            </w:hyperlink>
          </w:p>
        </w:tc>
      </w:tr>
      <w:tr>
        <w:trPr>
          <w:trHeight w:val="196"/>
        </w:trPr>
        <w:tc>
          <w:tcPr>
            <w:tcW w:w="1260" w:type="dxa"/>
            <w:vAlign w:val="bottom"/>
          </w:tcPr>
          <w:p>
            <w:pPr>
              <w:spacing w:after="0"/>
              <w:rPr>
                <w:sz w:val="17"/>
                <w:szCs w:val="17"/>
                <w:color w:val="auto"/>
              </w:rPr>
            </w:pPr>
          </w:p>
        </w:tc>
        <w:tc>
          <w:tcPr>
            <w:tcW w:w="10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Registration Statement (File No. 333-121407) on Form S-1/A filed on March 21, 2005).</w:t>
              </w:r>
            </w:hyperlink>
          </w:p>
        </w:tc>
        <w:tc>
          <w:tcPr>
            <w:tcW w:w="16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3.2</w:t>
            </w:r>
          </w:p>
        </w:tc>
        <w:tc>
          <w:tcPr>
            <w:tcW w:w="10180" w:type="dxa"/>
            <w:vAlign w:val="bottom"/>
            <w:gridSpan w:val="21"/>
          </w:tcPr>
          <w:p>
            <w:pPr>
              <w:spacing w:after="0"/>
              <w:rPr>
                <w:rFonts w:ascii="Arial" w:cs="Arial" w:eastAsia="Arial" w:hAnsi="Arial"/>
                <w:sz w:val="18"/>
                <w:szCs w:val="18"/>
                <w:color w:val="0000EE"/>
                <w:w w:val="93"/>
              </w:rPr>
            </w:pPr>
            <w:hyperlink r:id="rId182">
              <w:r>
                <w:rPr>
                  <w:rFonts w:ascii="Arial" w:cs="Arial" w:eastAsia="Arial" w:hAnsi="Arial"/>
                  <w:sz w:val="18"/>
                  <w:szCs w:val="18"/>
                  <w:color w:val="0000EE"/>
                  <w:w w:val="93"/>
                </w:rPr>
                <w:t>Certificate of Incorporation in Change of Name of the Registrant (incorporated by reference to Exhibit 3.2 to the Registrant’s Registration</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Statement (File No. 333-121407) on Form S-1/A filed on March 21, 2005).</w:t>
              </w:r>
            </w:hyperlink>
          </w:p>
        </w:tc>
        <w:tc>
          <w:tcPr>
            <w:tcW w:w="24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3.3</w:t>
            </w:r>
          </w:p>
        </w:tc>
        <w:tc>
          <w:tcPr>
            <w:tcW w:w="9820" w:type="dxa"/>
            <w:vAlign w:val="bottom"/>
            <w:tcBorders>
              <w:bottom w:val="single" w:sz="8" w:color="0000EE"/>
            </w:tcBorders>
            <w:gridSpan w:val="11"/>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Amended and Restated Bye-Laws of Lazard Ltd (incorporated by reference to Exhibit 3.3 to the Registrant’s Quarterly Report (File No.</w:t>
              </w:r>
            </w:hyperlink>
          </w:p>
        </w:tc>
        <w:tc>
          <w:tcPr>
            <w:tcW w:w="36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001-32492) on Form 10-Q filed on June 16, 2005).</w:t>
              </w:r>
            </w:hyperlink>
          </w:p>
        </w:tc>
        <w:tc>
          <w:tcPr>
            <w:tcW w:w="6500" w:type="dxa"/>
            <w:vAlign w:val="bottom"/>
            <w:gridSpan w:val="19"/>
          </w:tcPr>
          <w:p>
            <w:pPr>
              <w:spacing w:after="0"/>
              <w:rPr>
                <w:sz w:val="17"/>
                <w:szCs w:val="17"/>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3.4</w:t>
            </w:r>
          </w:p>
        </w:tc>
        <w:tc>
          <w:tcPr>
            <w:tcW w:w="10180" w:type="dxa"/>
            <w:vAlign w:val="bottom"/>
            <w:gridSpan w:val="21"/>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First Amendment to Amended and Restated Bye-Laws of Lazard Ltd (incorporated by reference to Exhibit 3.4 to the Registrant’s Quarterly</w:t>
              </w:r>
            </w:hyperlink>
          </w:p>
        </w:tc>
      </w:tr>
      <w:tr>
        <w:trPr>
          <w:trHeight w:val="196"/>
        </w:trPr>
        <w:tc>
          <w:tcPr>
            <w:tcW w:w="126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Report (File No. 001-32492) on Form 10-Q filed on May 9, 2008).</w:t>
              </w:r>
            </w:hyperlink>
          </w:p>
        </w:tc>
        <w:tc>
          <w:tcPr>
            <w:tcW w:w="5240" w:type="dxa"/>
            <w:vAlign w:val="bottom"/>
            <w:tcBorders>
              <w:top w:val="single" w:sz="8" w:color="0000EE"/>
            </w:tcBorders>
            <w:gridSpan w:val="12"/>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3.5</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Second Amendment to the Amended and Restated Bye-Laws of Lazard Ltd (incorporated by reference to Exhibit 3.5 to the Registrant’s</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1"/>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Quarterly Report (File No. 001-32492) on Form 10-Q filed on April 30, 2010).</w:t>
              </w:r>
            </w:hyperlink>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4.1</w:t>
            </w:r>
          </w:p>
        </w:tc>
        <w:tc>
          <w:tcPr>
            <w:tcW w:w="10180" w:type="dxa"/>
            <w:vAlign w:val="bottom"/>
            <w:gridSpan w:val="21"/>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Form of Specimen Certificate for Class A common stock (incorporated by reference to Exhibit 4.1 to the Registrant’s Registration Statement</w:t>
              </w:r>
            </w:hyperlink>
          </w:p>
        </w:tc>
      </w:tr>
      <w:tr>
        <w:trPr>
          <w:trHeight w:val="196"/>
        </w:trPr>
        <w:tc>
          <w:tcPr>
            <w:tcW w:w="1260" w:type="dxa"/>
            <w:vAlign w:val="bottom"/>
          </w:tcPr>
          <w:p>
            <w:pPr>
              <w:spacing w:after="0"/>
              <w:rPr>
                <w:sz w:val="17"/>
                <w:szCs w:val="17"/>
                <w:color w:val="auto"/>
              </w:rPr>
            </w:pPr>
          </w:p>
        </w:tc>
        <w:tc>
          <w:tcPr>
            <w:tcW w:w="101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(File No. 333-121407) on Form S-1/A filed on April 11, 2005).</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4.2</w:t>
            </w:r>
          </w:p>
        </w:tc>
        <w:tc>
          <w:tcPr>
            <w:tcW w:w="10180" w:type="dxa"/>
            <w:vAlign w:val="bottom"/>
            <w:gridSpan w:val="21"/>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Indenture, dated as of May 10, 2005, by and between Lazard Group LLC and The Bank of New York, as Trustee (incorporated by reference</w:t>
              </w:r>
            </w:hyperlink>
          </w:p>
        </w:tc>
      </w:tr>
      <w:tr>
        <w:trPr>
          <w:trHeight w:val="196"/>
        </w:trPr>
        <w:tc>
          <w:tcPr>
            <w:tcW w:w="1260" w:type="dxa"/>
            <w:vAlign w:val="bottom"/>
          </w:tcPr>
          <w:p>
            <w:pPr>
              <w:spacing w:after="0"/>
              <w:rPr>
                <w:sz w:val="17"/>
                <w:szCs w:val="17"/>
                <w:color w:val="auto"/>
              </w:rPr>
            </w:pPr>
          </w:p>
        </w:tc>
        <w:tc>
          <w:tcPr>
            <w:tcW w:w="10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to Exhibit 4.1 to Lazard Group LLC’s Registration Statement (File No. 333-126751) on Form S-4 filed on July 21, 2005).</w:t>
              </w:r>
            </w:hyperlink>
          </w:p>
        </w:tc>
        <w:tc>
          <w:tcPr>
            <w:tcW w:w="120" w:type="dxa"/>
            <w:vAlign w:val="bottom"/>
            <w:gridSpan w:val="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300" w:type="dxa"/>
            <w:vAlign w:val="bottom"/>
            <w:tcBorders>
              <w:right w:val="single" w:sz="8" w:color="0000EE"/>
            </w:tcBorders>
            <w:gridSpan w:val="7"/>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4.3</w:t>
            </w:r>
          </w:p>
        </w:tc>
        <w:tc>
          <w:tcPr>
            <w:tcW w:w="10120" w:type="dxa"/>
            <w:vAlign w:val="bottom"/>
            <w:tcBorders>
              <w:bottom w:val="single" w:sz="8" w:color="0000EE"/>
            </w:tcBorders>
            <w:gridSpan w:val="19"/>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Fourth Supplemental Indenture, dated as of June 21, 2007, between Lazard Group LLC and The Bank of New York, as trustee (incorporated</w:t>
              </w:r>
            </w:hyperlink>
          </w:p>
        </w:tc>
        <w:tc>
          <w:tcPr>
            <w:tcW w:w="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8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by reference to Exhibit 4.1 to the Registrant’s Current Report on Form 8-K (File No. 001-32492) filed on June 22, 2007).</w:t>
              </w:r>
            </w:hyperlink>
          </w:p>
        </w:tc>
        <w:tc>
          <w:tcPr>
            <w:tcW w:w="1420" w:type="dxa"/>
            <w:vAlign w:val="bottom"/>
            <w:gridSpan w:val="13"/>
          </w:tcPr>
          <w:p>
            <w:pPr>
              <w:spacing w:after="0"/>
              <w:rPr>
                <w:sz w:val="17"/>
                <w:szCs w:val="17"/>
                <w:color w:val="auto"/>
              </w:rPr>
            </w:pPr>
          </w:p>
        </w:tc>
      </w:tr>
      <w:tr>
        <w:trPr>
          <w:trHeight w:val="35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4.4</w:t>
            </w:r>
          </w:p>
        </w:tc>
        <w:tc>
          <w:tcPr>
            <w:tcW w:w="9960" w:type="dxa"/>
            <w:vAlign w:val="bottom"/>
            <w:tcBorders>
              <w:bottom w:val="single" w:sz="8" w:color="0000EE"/>
            </w:tcBorders>
            <w:gridSpan w:val="14"/>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Fifth Supplemental Indenture, dated as of November 14, 2013, between Lazard Group LLC and The Bank of New York Mellon, as trustee</w:t>
              </w:r>
            </w:hyperlink>
          </w:p>
        </w:tc>
        <w:tc>
          <w:tcPr>
            <w:tcW w:w="22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1"/>
          </w:tcPr>
          <w:p>
            <w:pPr>
              <w:spacing w:after="0" w:line="196" w:lineRule="exact"/>
              <w:rPr>
                <w:rFonts w:ascii="Arial" w:cs="Arial" w:eastAsia="Arial" w:hAnsi="Arial"/>
                <w:sz w:val="18"/>
                <w:szCs w:val="18"/>
                <w:color w:val="0000EE"/>
                <w:w w:val="96"/>
              </w:rPr>
            </w:pPr>
            <w:hyperlink r:id="rId189">
              <w:r>
                <w:rPr>
                  <w:rFonts w:ascii="Arial" w:cs="Arial" w:eastAsia="Arial" w:hAnsi="Arial"/>
                  <w:sz w:val="18"/>
                  <w:szCs w:val="18"/>
                  <w:color w:val="0000EE"/>
                  <w:w w:val="96"/>
                </w:rPr>
                <w:t>(incorporated by reference to Exhibit 4.1 to the Registrant’s Current Report on Form 8-K (File No. 001-32492) filed on November 14,</w:t>
              </w:r>
            </w:hyperlink>
          </w:p>
        </w:tc>
      </w:tr>
      <w:tr>
        <w:trPr>
          <w:trHeight w:val="196"/>
        </w:trPr>
        <w:tc>
          <w:tcPr>
            <w:tcW w:w="12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89">
              <w:r>
                <w:rPr>
                  <w:rFonts w:ascii="Arial" w:cs="Arial" w:eastAsia="Arial" w:hAnsi="Arial"/>
                  <w:sz w:val="18"/>
                  <w:szCs w:val="18"/>
                  <w:color w:val="0000EE"/>
                  <w:w w:val="86"/>
                </w:rPr>
                <w:t>2013).</w:t>
              </w:r>
            </w:hyperlink>
          </w:p>
        </w:tc>
        <w:tc>
          <w:tcPr>
            <w:tcW w:w="32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4.5</w:t>
            </w:r>
          </w:p>
        </w:tc>
        <w:tc>
          <w:tcPr>
            <w:tcW w:w="9880" w:type="dxa"/>
            <w:vAlign w:val="bottom"/>
            <w:tcBorders>
              <w:bottom w:val="single" w:sz="8" w:color="0000EE"/>
            </w:tcBorders>
            <w:gridSpan w:val="12"/>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Sixth Supplemental Indenture, dated as of February 13, 2015, between Lazard Group LLC and The Bank of New York Mellon, as trustee</w:t>
              </w:r>
            </w:hyperlink>
          </w:p>
        </w:tc>
        <w:tc>
          <w:tcPr>
            <w:tcW w:w="3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(incorporated by reference to Exhibit 4.1 of the Registrant’s Current Report on Form 8-K (File No. 001-32492) filed on February 13, 2015).</w:t>
              </w:r>
            </w:hyperlink>
          </w:p>
        </w:tc>
        <w:tc>
          <w:tcPr>
            <w:tcW w:w="100" w:type="dxa"/>
            <w:vAlign w:val="bottom"/>
            <w:gridSpan w:val="4"/>
          </w:tcPr>
          <w:p>
            <w:pPr>
              <w:spacing w:after="0"/>
              <w:rPr>
                <w:sz w:val="17"/>
                <w:szCs w:val="17"/>
                <w:color w:val="auto"/>
              </w:rPr>
            </w:pPr>
          </w:p>
        </w:tc>
      </w:tr>
      <w:tr>
        <w:trPr>
          <w:trHeight w:val="318"/>
        </w:trPr>
        <w:tc>
          <w:tcPr>
            <w:tcW w:w="1260" w:type="dxa"/>
            <w:vAlign w:val="bottom"/>
          </w:tcPr>
          <w:p>
            <w:pPr>
              <w:jc w:val="right"/>
              <w:ind w:right="850"/>
              <w:spacing w:after="0"/>
              <w:rPr>
                <w:sz w:val="20"/>
                <w:szCs w:val="20"/>
                <w:color w:val="auto"/>
              </w:rPr>
            </w:pPr>
            <w:r>
              <w:rPr>
                <w:rFonts w:ascii="Arial" w:cs="Arial" w:eastAsia="Arial" w:hAnsi="Arial"/>
                <w:sz w:val="18"/>
                <w:szCs w:val="18"/>
                <w:color w:val="auto"/>
              </w:rPr>
              <w:t>4.6</w:t>
            </w:r>
          </w:p>
        </w:tc>
        <w:tc>
          <w:tcPr>
            <w:tcW w:w="10100" w:type="dxa"/>
            <w:vAlign w:val="bottom"/>
            <w:tcBorders>
              <w:bottom w:val="single" w:sz="8" w:color="0000EE"/>
            </w:tcBorders>
            <w:gridSpan w:val="18"/>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1"/>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(incorporated by reference to Exhibit 4.1 of the Registrant’s Current Report on Form 8-K (File No. 001-32492) filed on November 7, 2016).</w:t>
              </w:r>
            </w:hyperlink>
          </w:p>
        </w:tc>
      </w:tr>
      <w:tr>
        <w:trPr>
          <w:trHeight w:val="574"/>
        </w:trPr>
        <w:tc>
          <w:tcPr>
            <w:tcW w:w="1260" w:type="dxa"/>
            <w:vAlign w:val="bottom"/>
          </w:tcPr>
          <w:p>
            <w:pPr>
              <w:spacing w:after="0"/>
              <w:rPr>
                <w:sz w:val="24"/>
                <w:szCs w:val="24"/>
                <w:color w:val="auto"/>
              </w:rPr>
            </w:pPr>
          </w:p>
        </w:tc>
        <w:tc>
          <w:tcPr>
            <w:tcW w:w="4820" w:type="dxa"/>
            <w:vAlign w:val="bottom"/>
            <w:tcBorders>
              <w:top w:val="single" w:sz="8" w:color="0000EE"/>
            </w:tcBorders>
            <w:gridSpan w:val="4"/>
          </w:tcPr>
          <w:p>
            <w:pPr>
              <w:ind w:left="4320"/>
              <w:spacing w:after="0"/>
              <w:rPr>
                <w:sz w:val="20"/>
                <w:szCs w:val="20"/>
                <w:color w:val="auto"/>
              </w:rPr>
            </w:pPr>
            <w:r>
              <w:rPr>
                <w:rFonts w:ascii="Arial" w:cs="Arial" w:eastAsia="Arial" w:hAnsi="Arial"/>
                <w:sz w:val="18"/>
                <w:szCs w:val="18"/>
                <w:color w:val="auto"/>
              </w:rPr>
              <w:t>134</w:t>
            </w:r>
          </w:p>
        </w:tc>
        <w:tc>
          <w:tcPr>
            <w:tcW w:w="6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260" w:type="dxa"/>
            <w:vAlign w:val="bottom"/>
          </w:tcPr>
          <w:p>
            <w:pPr>
              <w:ind w:left="100"/>
              <w:spacing w:after="0"/>
              <w:rPr>
                <w:sz w:val="20"/>
                <w:szCs w:val="20"/>
                <w:color w:val="auto"/>
              </w:rPr>
            </w:pPr>
            <w:r>
              <w:rPr>
                <w:rFonts w:ascii="Arial" w:cs="Arial" w:eastAsia="Arial" w:hAnsi="Arial"/>
                <w:sz w:val="18"/>
                <w:szCs w:val="18"/>
                <w:color w:val="auto"/>
              </w:rPr>
              <w:t>4.7</w:t>
            </w:r>
          </w:p>
        </w:tc>
        <w:tc>
          <w:tcPr>
            <w:tcW w:w="101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88">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89">
              <w:r>
                <w:rPr>
                  <w:rFonts w:ascii="Arial" w:cs="Arial" w:eastAsia="Arial" w:hAnsi="Arial"/>
                  <w:sz w:val="18"/>
                  <w:szCs w:val="18"/>
                  <w:color w:val="0000EE"/>
                </w:rPr>
                <w:t>4.4</w:t>
              </w:r>
            </w:hyperlink>
            <w:r>
              <w:rPr>
                <w:rFonts w:ascii="Arial" w:cs="Arial" w:eastAsia="Arial" w:hAnsi="Arial"/>
                <w:sz w:val="18"/>
                <w:szCs w:val="18"/>
                <w:color w:val="auto"/>
              </w:rPr>
              <w:t xml:space="preserve">, </w:t>
            </w:r>
            <w:hyperlink r:id="rId190">
              <w:r>
                <w:rPr>
                  <w:rFonts w:ascii="Arial" w:cs="Arial" w:eastAsia="Arial" w:hAnsi="Arial"/>
                  <w:sz w:val="18"/>
                  <w:szCs w:val="18"/>
                  <w:color w:val="0000EE"/>
                </w:rPr>
                <w:t>4.5</w:t>
              </w:r>
            </w:hyperlink>
            <w:r>
              <w:rPr>
                <w:rFonts w:ascii="Arial" w:cs="Arial" w:eastAsia="Arial" w:hAnsi="Arial"/>
                <w:sz w:val="18"/>
                <w:szCs w:val="18"/>
                <w:color w:val="auto"/>
              </w:rPr>
              <w:t xml:space="preserve">, and </w:t>
            </w:r>
            <w:hyperlink r:id="rId191">
              <w:r>
                <w:rPr>
                  <w:rFonts w:ascii="Arial" w:cs="Arial" w:eastAsia="Arial" w:hAnsi="Arial"/>
                  <w:sz w:val="18"/>
                  <w:szCs w:val="18"/>
                  <w:color w:val="0000EE"/>
                </w:rPr>
                <w:t>4.6</w:t>
              </w:r>
            </w:hyperlink>
            <w:r>
              <w:rPr>
                <w:rFonts w:ascii="Arial" w:cs="Arial" w:eastAsia="Arial" w:hAnsi="Arial"/>
                <w:sz w:val="18"/>
                <w:szCs w:val="18"/>
                <w:color w:val="auto"/>
              </w:rPr>
              <w:t>).</w:t>
            </w:r>
          </w:p>
        </w:tc>
      </w:tr>
      <w:tr>
        <w:trPr>
          <w:trHeight w:val="20"/>
        </w:trPr>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tcBorders>
              <w:bottom w:val="single" w:sz="8" w:color="0000EE"/>
            </w:tcBorders>
            <w:gridSpan w:val="33"/>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Amended and Restated Operating Agreement of Lazard Group LLC, dated as of October 26, 2015 (incorporated by reference to Exhibit 10.1</w:t>
              </w:r>
            </w:hyperlink>
          </w:p>
        </w:tc>
      </w:tr>
      <w:tr>
        <w:trPr>
          <w:trHeight w:val="196"/>
        </w:trPr>
        <w:tc>
          <w:tcPr>
            <w:tcW w:w="1260" w:type="dxa"/>
            <w:vAlign w:val="bottom"/>
          </w:tcPr>
          <w:p>
            <w:pPr>
              <w:spacing w:after="0"/>
              <w:rPr>
                <w:sz w:val="17"/>
                <w:szCs w:val="17"/>
                <w:color w:val="auto"/>
              </w:rPr>
            </w:pPr>
          </w:p>
        </w:tc>
        <w:tc>
          <w:tcPr>
            <w:tcW w:w="69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to Registrant’s Quarterly Report (File No. 001-32492) on Form 10-Q filed on October 28, 2015).</w:t>
              </w:r>
            </w:hyperlink>
          </w:p>
        </w:tc>
        <w:tc>
          <w:tcPr>
            <w:tcW w:w="3200" w:type="dxa"/>
            <w:vAlign w:val="bottom"/>
            <w:gridSpan w:val="1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10180" w:type="dxa"/>
            <w:vAlign w:val="bottom"/>
            <w:gridSpan w:val="33"/>
          </w:tcPr>
          <w:p>
            <w:pPr>
              <w:spacing w:after="0"/>
              <w:rPr>
                <w:rFonts w:ascii="Arial" w:cs="Arial" w:eastAsia="Arial" w:hAnsi="Arial"/>
                <w:sz w:val="18"/>
                <w:szCs w:val="18"/>
                <w:color w:val="0000EE"/>
                <w:w w:val="93"/>
              </w:rPr>
            </w:pPr>
            <w:hyperlink r:id="rId195">
              <w:r>
                <w:rPr>
                  <w:rFonts w:ascii="Arial" w:cs="Arial" w:eastAsia="Arial" w:hAnsi="Arial"/>
                  <w:sz w:val="18"/>
                  <w:szCs w:val="18"/>
                  <w:color w:val="0000EE"/>
                  <w:w w:val="93"/>
                </w:rPr>
                <w:t>Amendment No.1 to Amended and Restated Operating Agreement of Lazard Group LLC, dated as of October 27, 2016 (incorporated by</w:t>
              </w:r>
            </w:hyperlink>
          </w:p>
        </w:tc>
      </w:tr>
      <w:tr>
        <w:trPr>
          <w:trHeight w:val="196"/>
        </w:trPr>
        <w:tc>
          <w:tcPr>
            <w:tcW w:w="1260" w:type="dxa"/>
            <w:vAlign w:val="bottom"/>
          </w:tcPr>
          <w:p>
            <w:pPr>
              <w:spacing w:after="0"/>
              <w:rPr>
                <w:sz w:val="17"/>
                <w:szCs w:val="17"/>
                <w:color w:val="auto"/>
              </w:rPr>
            </w:pPr>
          </w:p>
        </w:tc>
        <w:tc>
          <w:tcPr>
            <w:tcW w:w="98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reference to Exhibit 10.2 to Registrant’s Quarterly Report (File No. 0001-32492) on Form 10-Q filed on October 28, 2016).</w:t>
              </w:r>
            </w:hyperlink>
          </w:p>
        </w:tc>
        <w:tc>
          <w:tcPr>
            <w:tcW w:w="340" w:type="dxa"/>
            <w:vAlign w:val="bottom"/>
            <w:gridSpan w:val="10"/>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9960" w:type="dxa"/>
            <w:vAlign w:val="bottom"/>
            <w:tcBorders>
              <w:bottom w:val="single" w:sz="8" w:color="0000EE"/>
            </w:tcBorders>
            <w:gridSpan w:val="28"/>
          </w:tcPr>
          <w:p>
            <w:pPr>
              <w:spacing w:after="0"/>
              <w:rPr>
                <w:rFonts w:ascii="Arial" w:cs="Arial" w:eastAsia="Arial" w:hAnsi="Arial"/>
                <w:sz w:val="18"/>
                <w:szCs w:val="18"/>
                <w:color w:val="0000EE"/>
                <w:w w:val="90"/>
              </w:rPr>
            </w:pPr>
            <w:hyperlink r:id="rId196">
              <w:r>
                <w:rPr>
                  <w:rFonts w:ascii="Arial" w:cs="Arial" w:eastAsia="Arial" w:hAnsi="Arial"/>
                  <w:sz w:val="18"/>
                  <w:szCs w:val="18"/>
                  <w:color w:val="0000EE"/>
                  <w:w w:val="90"/>
                </w:rPr>
                <w:t>Second Amended and Restated Tax Receivable Agreement, dated as of October 26, 2015, by and among Ltd Sub A, Ltd Sub B and LTBP</w:t>
              </w:r>
            </w:hyperlink>
          </w:p>
        </w:tc>
        <w:tc>
          <w:tcPr>
            <w:tcW w:w="2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3"/>
          </w:tcPr>
          <w:p>
            <w:pPr>
              <w:spacing w:after="0" w:line="196" w:lineRule="exact"/>
              <w:rPr>
                <w:rFonts w:ascii="Arial" w:cs="Arial" w:eastAsia="Arial" w:hAnsi="Arial"/>
                <w:sz w:val="18"/>
                <w:szCs w:val="18"/>
                <w:color w:val="0000EE"/>
                <w:w w:val="93"/>
              </w:rPr>
            </w:pPr>
            <w:hyperlink r:id="rId196">
              <w:r>
                <w:rPr>
                  <w:rFonts w:ascii="Arial" w:cs="Arial" w:eastAsia="Arial" w:hAnsi="Arial"/>
                  <w:sz w:val="18"/>
                  <w:szCs w:val="18"/>
                  <w:color w:val="0000EE"/>
                  <w:w w:val="93"/>
                </w:rPr>
                <w:t>Trust (incorporated by reference to Exhibit 10.2 to the Registrant’s Quarterly Report (File No. 001-32492) on Form 10-Q filed on October</w:t>
              </w:r>
            </w:hyperlink>
          </w:p>
        </w:tc>
      </w:tr>
      <w:tr>
        <w:trPr>
          <w:trHeight w:val="196"/>
        </w:trPr>
        <w:tc>
          <w:tcPr>
            <w:tcW w:w="12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96">
              <w:r>
                <w:rPr>
                  <w:rFonts w:ascii="Arial" w:cs="Arial" w:eastAsia="Arial" w:hAnsi="Arial"/>
                  <w:sz w:val="18"/>
                  <w:szCs w:val="18"/>
                  <w:color w:val="0000EE"/>
                  <w:w w:val="88"/>
                </w:rPr>
                <w:t>28, 2015).</w:t>
              </w:r>
            </w:hyperlink>
          </w:p>
        </w:tc>
        <w:tc>
          <w:tcPr>
            <w:tcW w:w="2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tcBorders>
              <w:bottom w:val="single" w:sz="8" w:color="0000EE"/>
            </w:tcBorders>
            <w:gridSpan w:val="32"/>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Lease, dated as of January 27, 1994, by and between Rockefeller Center Properties and Lazard Frères &amp; Co. LLC (incorporated by reference</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3"/>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to Exhibit 10.19 to the Registrant’s Registration Statement (File No. 333-121407) on Form S-1/A filed on February 11, 2005).</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10180" w:type="dxa"/>
            <w:vAlign w:val="bottom"/>
            <w:gridSpan w:val="33"/>
          </w:tcPr>
          <w:p>
            <w:pPr>
              <w:spacing w:after="0"/>
              <w:rPr>
                <w:rFonts w:ascii="Arial" w:cs="Arial" w:eastAsia="Arial" w:hAnsi="Arial"/>
                <w:sz w:val="18"/>
                <w:szCs w:val="18"/>
                <w:color w:val="0000EE"/>
                <w:w w:val="96"/>
              </w:rPr>
            </w:pPr>
            <w:hyperlink r:id="rId198">
              <w:r>
                <w:rPr>
                  <w:rFonts w:ascii="Arial" w:cs="Arial" w:eastAsia="Arial" w:hAnsi="Arial"/>
                  <w:sz w:val="18"/>
                  <w:szCs w:val="18"/>
                  <w:color w:val="0000EE"/>
                  <w:w w:val="96"/>
                </w:rPr>
                <w:t>Fourth Amendment dated as of February 16, 2011, by and among RCPI Landmark Properties, L.L.C. (as the successor in interest to</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4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Rockefeller Center Properties), RCPI 30 Rock 22234849, L.L.C. and Lazard Group LLC (as the successor in interest to Lazard Frères &amp; Co.</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LLC), to the Lease dated as of January 27, 1994, by and among Rockefeller Center Properties and Lazard Frères &amp; Co. LLC (incorporated</w:t>
              </w:r>
            </w:hyperlink>
          </w:p>
        </w:tc>
        <w:tc>
          <w:tcPr>
            <w:tcW w:w="1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3"/>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by reference to Exhibit 10.16 to the Registrant’s Quarterly Report (File No. 001-32492) on Form 10-Q filed on April 29, 2011).</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9600" w:type="dxa"/>
            <w:vAlign w:val="bottom"/>
            <w:tcBorders>
              <w:bottom w:val="single" w:sz="8" w:color="0000EE"/>
            </w:tcBorders>
            <w:gridSpan w:val="19"/>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Occupational Lease, dated as of August 9, 2002, by and among Burford (Stratton) Nominee 1 Limited, Burford (Stratton) Nominee 2</w:t>
              </w:r>
            </w:hyperlink>
          </w:p>
        </w:tc>
        <w:tc>
          <w:tcPr>
            <w:tcW w:w="58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r:id="rId199">
              <w:r>
                <w:rPr>
                  <w:rFonts w:ascii="Arial" w:cs="Arial" w:eastAsia="Arial" w:hAnsi="Arial"/>
                  <w:sz w:val="18"/>
                  <w:szCs w:val="18"/>
                  <w:color w:val="0000EE"/>
                  <w:w w:val="93"/>
                </w:rPr>
                <w:t>Limited, Burford (Stratton) Limited, Lazard &amp; Co., Limited and Lazard LLC (incorporated by reference to Exhibit 10.21 to the Registrant’s</w:t>
              </w:r>
            </w:hyperlink>
          </w:p>
        </w:tc>
        <w:tc>
          <w:tcPr>
            <w:tcW w:w="10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3"/>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Registration Statement (File No. 333-121407) on Form S-1/A filed on February 11, 2005).</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10180" w:type="dxa"/>
            <w:vAlign w:val="bottom"/>
            <w:gridSpan w:val="33"/>
          </w:tcPr>
          <w:p>
            <w:pPr>
              <w:spacing w:after="0"/>
              <w:rPr>
                <w:rFonts w:ascii="Arial" w:cs="Arial" w:eastAsia="Arial" w:hAnsi="Arial"/>
                <w:sz w:val="18"/>
                <w:szCs w:val="18"/>
                <w:color w:val="0000EE"/>
                <w:w w:val="92"/>
              </w:rPr>
            </w:pPr>
            <w:hyperlink r:id="rId200">
              <w:r>
                <w:rPr>
                  <w:rFonts w:ascii="Arial" w:cs="Arial" w:eastAsia="Arial" w:hAnsi="Arial"/>
                  <w:sz w:val="18"/>
                  <w:szCs w:val="18"/>
                  <w:color w:val="0000EE"/>
                  <w:w w:val="92"/>
                </w:rPr>
                <w:t>Lazard Ltd 2005 Equity Incentive Plan (incorporated by reference to Exhibit 10.21 to the Registrant’s Registration Statement (File No. 333-</w:t>
              </w:r>
            </w:hyperlink>
          </w:p>
        </w:tc>
      </w:tr>
      <w:tr>
        <w:trPr>
          <w:trHeight w:val="196"/>
        </w:trPr>
        <w:tc>
          <w:tcPr>
            <w:tcW w:w="1260" w:type="dxa"/>
            <w:vAlign w:val="bottom"/>
          </w:tcPr>
          <w:p>
            <w:pPr>
              <w:spacing w:after="0"/>
              <w:rPr>
                <w:sz w:val="17"/>
                <w:szCs w:val="17"/>
                <w:color w:val="auto"/>
              </w:rPr>
            </w:pPr>
          </w:p>
        </w:tc>
        <w:tc>
          <w:tcPr>
            <w:tcW w:w="100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121407) on Form S-1/A filed on May 2, 2005).</w:t>
              </w:r>
            </w:hyperlink>
          </w:p>
        </w:tc>
        <w:tc>
          <w:tcPr>
            <w:tcW w:w="10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9800" w:type="dxa"/>
            <w:vAlign w:val="bottom"/>
            <w:tcBorders>
              <w:bottom w:val="single" w:sz="8" w:color="0000EE"/>
            </w:tcBorders>
            <w:gridSpan w:val="22"/>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Lazard Ltd 2008 Incentive Compensation Plan (incorporated by reference to Annex B to the Registrant’s Definitive Proxy Statement on</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5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Schedule 14A (File No. 001-32492) filed on March 24, 2008).</w:t>
              </w:r>
            </w:hyperlink>
          </w:p>
        </w:tc>
        <w:tc>
          <w:tcPr>
            <w:tcW w:w="5680" w:type="dxa"/>
            <w:vAlign w:val="bottom"/>
            <w:gridSpan w:val="23"/>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960" w:type="dxa"/>
            <w:vAlign w:val="bottom"/>
            <w:tcBorders>
              <w:bottom w:val="single" w:sz="8" w:color="0000EE"/>
            </w:tcBorders>
            <w:gridSpan w:val="27"/>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Lazard Ltd 2016 French Sub-plan (incorporated by reference to Annex B to the Registrant’s Definitive Proxy Statement on Schedule 14A</w:t>
              </w:r>
            </w:hyperlink>
          </w:p>
        </w:tc>
        <w:tc>
          <w:tcPr>
            <w:tcW w:w="22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4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(File No. 001-32492) filed on March 10, 2016).</w:t>
              </w:r>
            </w:hyperlink>
          </w:p>
        </w:tc>
        <w:tc>
          <w:tcPr>
            <w:tcW w:w="6740" w:type="dxa"/>
            <w:vAlign w:val="bottom"/>
            <w:gridSpan w:val="28"/>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680" w:type="dxa"/>
            <w:vAlign w:val="bottom"/>
            <w:tcBorders>
              <w:bottom w:val="single" w:sz="8" w:color="0000EE"/>
            </w:tcBorders>
            <w:gridSpan w:val="20"/>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50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among the Registrant, Lazard Group LLC and Kenneth M. Jacobs (incorporated by reference to Exhibit 10.9 to the Registrant’s Quarterly</w:t>
              </w:r>
            </w:hyperlink>
          </w:p>
        </w:tc>
        <w:tc>
          <w:tcPr>
            <w:tcW w:w="24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Report (File No. 001-32492) on Form 10-Q filed on April 27, 2016).</w:t>
              </w:r>
            </w:hyperlink>
          </w:p>
        </w:tc>
        <w:tc>
          <w:tcPr>
            <w:tcW w:w="5220" w:type="dxa"/>
            <w:vAlign w:val="bottom"/>
            <w:gridSpan w:val="21"/>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680" w:type="dxa"/>
            <w:vAlign w:val="bottom"/>
            <w:tcBorders>
              <w:bottom w:val="single" w:sz="8" w:color="0000EE"/>
            </w:tcBorders>
            <w:gridSpan w:val="20"/>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50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3"/>
          </w:tcPr>
          <w:p>
            <w:pPr>
              <w:spacing w:after="0" w:line="196" w:lineRule="exact"/>
              <w:rPr>
                <w:rFonts w:ascii="Arial" w:cs="Arial" w:eastAsia="Arial" w:hAnsi="Arial"/>
                <w:sz w:val="18"/>
                <w:szCs w:val="18"/>
                <w:color w:val="0000EE"/>
                <w:w w:val="95"/>
              </w:rPr>
            </w:pPr>
            <w:hyperlink r:id="rId204">
              <w:r>
                <w:rPr>
                  <w:rFonts w:ascii="Arial" w:cs="Arial" w:eastAsia="Arial" w:hAnsi="Arial"/>
                  <w:sz w:val="18"/>
                  <w:szCs w:val="18"/>
                  <w:color w:val="0000EE"/>
                  <w:w w:val="95"/>
                </w:rPr>
                <w:t>among the Registrant, Lazard Group LLC and Ashish Bhutani (incorporated by reference to Exhibit 10.10 to the Registrant’s Quarterly</w:t>
              </w:r>
            </w:hyperlink>
          </w:p>
        </w:tc>
      </w:tr>
      <w:tr>
        <w:trPr>
          <w:trHeight w:val="196"/>
        </w:trPr>
        <w:tc>
          <w:tcPr>
            <w:tcW w:w="126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204">
              <w:r>
                <w:rPr>
                  <w:rFonts w:ascii="Arial" w:cs="Arial" w:eastAsia="Arial" w:hAnsi="Arial"/>
                  <w:sz w:val="18"/>
                  <w:szCs w:val="18"/>
                  <w:color w:val="0000EE"/>
                  <w:w w:val="92"/>
                </w:rPr>
                <w:t>Report (File No. 001-32492) on Form 10-Q filed on April 27, 2016).</w:t>
              </w:r>
            </w:hyperlink>
          </w:p>
        </w:tc>
        <w:tc>
          <w:tcPr>
            <w:tcW w:w="4780" w:type="dxa"/>
            <w:vAlign w:val="bottom"/>
            <w:tcBorders>
              <w:top w:val="single" w:sz="8" w:color="0000EE"/>
            </w:tcBorders>
            <w:gridSpan w:val="9"/>
          </w:tcPr>
          <w:p>
            <w:pPr>
              <w:spacing w:after="0"/>
              <w:rPr>
                <w:sz w:val="17"/>
                <w:szCs w:val="17"/>
                <w:color w:val="auto"/>
              </w:rPr>
            </w:pPr>
          </w:p>
        </w:tc>
        <w:tc>
          <w:tcPr>
            <w:tcW w:w="440" w:type="dxa"/>
            <w:vAlign w:val="bottom"/>
            <w:gridSpan w:val="12"/>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680" w:type="dxa"/>
            <w:vAlign w:val="bottom"/>
            <w:tcBorders>
              <w:bottom w:val="single" w:sz="8" w:color="0000EE"/>
            </w:tcBorders>
            <w:gridSpan w:val="20"/>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50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among the Registrant, Lazard Group LLC and Matthieu Bucaille (incorporated by reference to Exhibit 10.11 to the Registrant’s Quarterly</w:t>
              </w:r>
            </w:hyperlink>
          </w:p>
        </w:tc>
        <w:tc>
          <w:tcPr>
            <w:tcW w:w="26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Report (File No. 001-32492) on Form 10-Q filed on April 27, 2016).</w:t>
              </w:r>
            </w:hyperlink>
          </w:p>
        </w:tc>
        <w:tc>
          <w:tcPr>
            <w:tcW w:w="5220" w:type="dxa"/>
            <w:vAlign w:val="bottom"/>
            <w:gridSpan w:val="21"/>
          </w:tcPr>
          <w:p>
            <w:pPr>
              <w:spacing w:after="0"/>
              <w:rPr>
                <w:sz w:val="17"/>
                <w:szCs w:val="17"/>
                <w:color w:val="auto"/>
              </w:rPr>
            </w:pPr>
          </w:p>
        </w:tc>
      </w:tr>
      <w:tr>
        <w:trPr>
          <w:trHeight w:val="345"/>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680" w:type="dxa"/>
            <w:vAlign w:val="bottom"/>
            <w:tcBorders>
              <w:bottom w:val="single" w:sz="8" w:color="0000EE"/>
            </w:tcBorders>
            <w:gridSpan w:val="20"/>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50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3"/>
          </w:tcPr>
          <w:p>
            <w:pPr>
              <w:spacing w:after="0" w:line="196" w:lineRule="exact"/>
              <w:rPr>
                <w:rFonts w:ascii="Arial" w:cs="Arial" w:eastAsia="Arial" w:hAnsi="Arial"/>
                <w:sz w:val="18"/>
                <w:szCs w:val="18"/>
                <w:color w:val="0000EE"/>
                <w:w w:val="93"/>
              </w:rPr>
            </w:pPr>
            <w:hyperlink r:id="rId206">
              <w:r>
                <w:rPr>
                  <w:rFonts w:ascii="Arial" w:cs="Arial" w:eastAsia="Arial" w:hAnsi="Arial"/>
                  <w:sz w:val="18"/>
                  <w:szCs w:val="18"/>
                  <w:color w:val="0000EE"/>
                  <w:w w:val="93"/>
                </w:rPr>
                <w:t>among the Registrant, Lazard Group LLC and Scott D. Hoffman (incorporated by reference to Exhibit 10.12 to the Registrant’s Quarterly</w:t>
              </w:r>
            </w:hyperlink>
          </w:p>
        </w:tc>
      </w:tr>
      <w:tr>
        <w:trPr>
          <w:trHeight w:val="196"/>
        </w:trPr>
        <w:tc>
          <w:tcPr>
            <w:tcW w:w="1260" w:type="dxa"/>
            <w:vAlign w:val="bottom"/>
          </w:tcPr>
          <w:p>
            <w:pPr>
              <w:spacing w:after="0"/>
              <w:rPr>
                <w:sz w:val="17"/>
                <w:szCs w:val="17"/>
                <w:color w:val="auto"/>
              </w:rPr>
            </w:pPr>
          </w:p>
        </w:tc>
        <w:tc>
          <w:tcPr>
            <w:tcW w:w="99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Report (File No. 001-32492) on Form 10-Q filed on April 27, 2016).</w:t>
              </w:r>
            </w:hyperlink>
          </w:p>
        </w:tc>
        <w:tc>
          <w:tcPr>
            <w:tcW w:w="280" w:type="dxa"/>
            <w:vAlign w:val="bottom"/>
            <w:gridSpan w:val="9"/>
          </w:tcPr>
          <w:p>
            <w:pPr>
              <w:spacing w:after="0"/>
              <w:rPr>
                <w:sz w:val="17"/>
                <w:szCs w:val="17"/>
                <w:color w:val="auto"/>
              </w:rPr>
            </w:pPr>
          </w:p>
        </w:tc>
      </w:tr>
      <w:tr>
        <w:trPr>
          <w:trHeight w:val="669"/>
        </w:trPr>
        <w:tc>
          <w:tcPr>
            <w:tcW w:w="1260" w:type="dxa"/>
            <w:vAlign w:val="bottom"/>
          </w:tcPr>
          <w:p>
            <w:pPr>
              <w:spacing w:after="0"/>
              <w:rPr>
                <w:sz w:val="24"/>
                <w:szCs w:val="24"/>
                <w:color w:val="auto"/>
              </w:rPr>
            </w:pPr>
          </w:p>
        </w:tc>
        <w:tc>
          <w:tcPr>
            <w:tcW w:w="4960" w:type="dxa"/>
            <w:vAlign w:val="bottom"/>
            <w:tcBorders>
              <w:top w:val="single" w:sz="8" w:color="0000EE"/>
            </w:tcBorders>
            <w:gridSpan w:val="12"/>
          </w:tcPr>
          <w:p>
            <w:pPr>
              <w:ind w:left="4320"/>
              <w:spacing w:after="0"/>
              <w:rPr>
                <w:sz w:val="20"/>
                <w:szCs w:val="20"/>
                <w:color w:val="auto"/>
              </w:rPr>
            </w:pPr>
            <w:r>
              <w:rPr>
                <w:rFonts w:ascii="Arial" w:cs="Arial" w:eastAsia="Arial" w:hAnsi="Arial"/>
                <w:sz w:val="18"/>
                <w:szCs w:val="18"/>
                <w:color w:val="auto"/>
              </w:rPr>
              <w:t>135</w:t>
            </w: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10.14*</w:t>
            </w:r>
          </w:p>
        </w:tc>
        <w:tc>
          <w:tcPr>
            <w:tcW w:w="9660" w:type="dxa"/>
            <w:vAlign w:val="bottom"/>
            <w:tcBorders>
              <w:bottom w:val="single" w:sz="8" w:color="0000EE"/>
            </w:tcBorders>
            <w:gridSpan w:val="17"/>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Amendment, dated as of October 30, 2017, to Amended and Restated Agreement relating to Retention and Noncompetition and Other</w:t>
              </w:r>
            </w:hyperlink>
          </w:p>
        </w:tc>
        <w:tc>
          <w:tcPr>
            <w:tcW w:w="520" w:type="dxa"/>
            <w:vAlign w:val="bottom"/>
            <w:gridSpan w:val="1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2"/>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Covenants, dated as of March 9, 2016, by and among the Registrant, Lazard Group LLC and Scott D. Hoffman (incorporated by reference to</w:t>
              </w:r>
            </w:hyperlink>
          </w:p>
        </w:tc>
      </w:tr>
      <w:tr>
        <w:trPr>
          <w:trHeight w:val="196"/>
        </w:trPr>
        <w:tc>
          <w:tcPr>
            <w:tcW w:w="1260" w:type="dxa"/>
            <w:vAlign w:val="bottom"/>
          </w:tcPr>
          <w:p>
            <w:pPr>
              <w:spacing w:after="0"/>
              <w:rPr>
                <w:sz w:val="17"/>
                <w:szCs w:val="17"/>
                <w:color w:val="auto"/>
              </w:rPr>
            </w:pPr>
          </w:p>
        </w:tc>
        <w:tc>
          <w:tcPr>
            <w:tcW w:w="101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Exhibit 10.14 to the Registrant’s Quarterly Report (File No. 001-32492) on Form 10-Q filed on October 31, 2017).</w:t>
              </w:r>
            </w:hyperlink>
          </w:p>
        </w:tc>
        <w:tc>
          <w:tcPr>
            <w:tcW w:w="4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10.15*</w:t>
            </w:r>
          </w:p>
        </w:tc>
        <w:tc>
          <w:tcPr>
            <w:tcW w:w="10180" w:type="dxa"/>
            <w:vAlign w:val="bottom"/>
            <w:gridSpan w:val="32"/>
          </w:tcPr>
          <w:p>
            <w:pPr>
              <w:spacing w:after="0"/>
              <w:rPr>
                <w:rFonts w:ascii="Arial" w:cs="Arial" w:eastAsia="Arial" w:hAnsi="Arial"/>
                <w:sz w:val="18"/>
                <w:szCs w:val="18"/>
                <w:color w:val="0000EE"/>
                <w:w w:val="93"/>
              </w:rPr>
            </w:pPr>
            <w:hyperlink r:id="rId210">
              <w:r>
                <w:rPr>
                  <w:rFonts w:ascii="Arial" w:cs="Arial" w:eastAsia="Arial" w:hAnsi="Arial"/>
                  <w:sz w:val="18"/>
                  <w:szCs w:val="18"/>
                  <w:color w:val="0000EE"/>
                  <w:w w:val="93"/>
                </w:rPr>
                <w:t>Agreement relating to Retention and Noncompetition and Other Covenants, dated as of October 30, 2017, by and among the Registrant,</w:t>
              </w:r>
            </w:hyperlink>
          </w:p>
        </w:tc>
      </w:tr>
      <w:tr>
        <w:trPr>
          <w:trHeight w:val="196"/>
        </w:trPr>
        <w:tc>
          <w:tcPr>
            <w:tcW w:w="126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Lazard Group LLC and Evan L. Russo (incorporated by reference to Exhibit 10.15 to the Registrant’s Quarterly Report (File No. 001-</w:t>
              </w:r>
            </w:hyperlink>
          </w:p>
        </w:tc>
        <w:tc>
          <w:tcPr>
            <w:tcW w:w="120" w:type="dxa"/>
            <w:vAlign w:val="bottom"/>
            <w:tcBorders>
              <w:top w:val="single" w:sz="8" w:color="0000EE"/>
            </w:tcBorders>
            <w:gridSpan w:val="2"/>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32492) on Form 10-Q filed on October 31, 2017).</w:t>
              </w:r>
            </w:hyperlink>
          </w:p>
        </w:tc>
        <w:tc>
          <w:tcPr>
            <w:tcW w:w="6580" w:type="dxa"/>
            <w:vAlign w:val="bottom"/>
            <w:gridSpan w:val="29"/>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10.16*</w:t>
            </w:r>
          </w:p>
        </w:tc>
        <w:tc>
          <w:tcPr>
            <w:tcW w:w="9680" w:type="dxa"/>
            <w:vAlign w:val="bottom"/>
            <w:tcBorders>
              <w:bottom w:val="single" w:sz="8" w:color="0000EE"/>
            </w:tcBorders>
            <w:gridSpan w:val="18"/>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Amended and Restated Agreement relating to Retention and Noncompetition and Other Covenants, dated as of March 9, 2016, by and</w:t>
              </w:r>
            </w:hyperlink>
          </w:p>
        </w:tc>
        <w:tc>
          <w:tcPr>
            <w:tcW w:w="50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among the Registrant, Lazard Group LLC and Alexander F. Stern (incorporated by reference to Exhibit 10.13 to the Registrant’s Quarterly</w:t>
              </w:r>
            </w:hyperlink>
          </w:p>
        </w:tc>
        <w:tc>
          <w:tcPr>
            <w:tcW w:w="20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11">
              <w:r>
                <w:rPr>
                  <w:rFonts w:ascii="Arial" w:cs="Arial" w:eastAsia="Arial" w:hAnsi="Arial"/>
                  <w:sz w:val="18"/>
                  <w:szCs w:val="18"/>
                  <w:color w:val="0000EE"/>
                  <w:w w:val="92"/>
                </w:rPr>
                <w:t>Report (File No. 001-32492) on Form 10-Q filed on April 27, 2016).</w:t>
              </w:r>
            </w:hyperlink>
          </w:p>
        </w:tc>
        <w:tc>
          <w:tcPr>
            <w:tcW w:w="5220" w:type="dxa"/>
            <w:vAlign w:val="bottom"/>
            <w:gridSpan w:val="23"/>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10.17*</w:t>
            </w:r>
          </w:p>
        </w:tc>
        <w:tc>
          <w:tcPr>
            <w:tcW w:w="10180" w:type="dxa"/>
            <w:vAlign w:val="bottom"/>
            <w:gridSpan w:val="32"/>
          </w:tcPr>
          <w:p>
            <w:pPr>
              <w:spacing w:after="0"/>
              <w:rPr>
                <w:rFonts w:ascii="Arial" w:cs="Arial" w:eastAsia="Arial" w:hAnsi="Arial"/>
                <w:sz w:val="18"/>
                <w:szCs w:val="18"/>
                <w:color w:val="0000EE"/>
                <w:w w:val="94"/>
              </w:rPr>
            </w:pPr>
            <w:hyperlink r:id="rId212">
              <w:r>
                <w:rPr>
                  <w:rFonts w:ascii="Arial" w:cs="Arial" w:eastAsia="Arial" w:hAnsi="Arial"/>
                  <w:sz w:val="18"/>
                  <w:szCs w:val="18"/>
                  <w:color w:val="0000EE"/>
                  <w:w w:val="94"/>
                </w:rPr>
                <w:t>Form of Award Letter for Annual Grant of Deferred Stock Units to Non-Executive Directors (incorporated by reference to Exhibit 99.1 to</w:t>
              </w:r>
            </w:hyperlink>
          </w:p>
        </w:tc>
      </w:tr>
      <w:tr>
        <w:trPr>
          <w:trHeight w:val="196"/>
        </w:trPr>
        <w:tc>
          <w:tcPr>
            <w:tcW w:w="1260" w:type="dxa"/>
            <w:vAlign w:val="bottom"/>
          </w:tcPr>
          <w:p>
            <w:pPr>
              <w:spacing w:after="0"/>
              <w:rPr>
                <w:sz w:val="17"/>
                <w:szCs w:val="17"/>
                <w:color w:val="auto"/>
              </w:rPr>
            </w:pPr>
          </w:p>
        </w:tc>
        <w:tc>
          <w:tcPr>
            <w:tcW w:w="99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the Registrant’s Current Report on Form 8-K (File No. 001-32492) filed on September 8, 2005).</w:t>
              </w:r>
            </w:hyperlink>
          </w:p>
        </w:tc>
        <w:tc>
          <w:tcPr>
            <w:tcW w:w="260" w:type="dxa"/>
            <w:vAlign w:val="bottom"/>
            <w:gridSpan w:val="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10.18*</w:t>
            </w:r>
          </w:p>
        </w:tc>
        <w:tc>
          <w:tcPr>
            <w:tcW w:w="9540" w:type="dxa"/>
            <w:vAlign w:val="bottom"/>
            <w:tcBorders>
              <w:bottom w:val="single" w:sz="8" w:color="0000EE"/>
            </w:tcBorders>
            <w:gridSpan w:val="16"/>
          </w:tcPr>
          <w:p>
            <w:pPr>
              <w:spacing w:after="0"/>
              <w:rPr>
                <w:rFonts w:ascii="Arial" w:cs="Arial" w:eastAsia="Arial" w:hAnsi="Arial"/>
                <w:sz w:val="18"/>
                <w:szCs w:val="18"/>
                <w:color w:val="0000EE"/>
                <w:w w:val="91"/>
              </w:rPr>
            </w:pPr>
            <w:hyperlink r:id="rId213">
              <w:r>
                <w:rPr>
                  <w:rFonts w:ascii="Arial" w:cs="Arial" w:eastAsia="Arial" w:hAnsi="Arial"/>
                  <w:sz w:val="18"/>
                  <w:szCs w:val="18"/>
                  <w:color w:val="0000EE"/>
                  <w:w w:val="91"/>
                </w:rPr>
                <w:t>Form of Agreement evidencing a grant of Restricted Stock Units to Executive Officers under the 2008 Incentive Compensation Plan</w:t>
              </w:r>
            </w:hyperlink>
          </w:p>
        </w:tc>
        <w:tc>
          <w:tcPr>
            <w:tcW w:w="640" w:type="dxa"/>
            <w:vAlign w:val="bottom"/>
            <w:gridSpan w:val="1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(incorporated by reference to Exhibit 10.41 to the Registrant’s Annual Report (File No. 001-32492) on Form 10-K filed on March 2, 2009).</w:t>
              </w:r>
            </w:hyperlink>
          </w:p>
        </w:tc>
        <w:tc>
          <w:tcPr>
            <w:tcW w:w="120" w:type="dxa"/>
            <w:vAlign w:val="bottom"/>
            <w:gridSpan w:val="3"/>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10.19*</w:t>
            </w:r>
          </w:p>
        </w:tc>
        <w:tc>
          <w:tcPr>
            <w:tcW w:w="10180" w:type="dxa"/>
            <w:vAlign w:val="bottom"/>
            <w:gridSpan w:val="32"/>
          </w:tcPr>
          <w:p>
            <w:pPr>
              <w:spacing w:after="0"/>
              <w:rPr>
                <w:rFonts w:ascii="Arial" w:cs="Arial" w:eastAsia="Arial" w:hAnsi="Arial"/>
                <w:sz w:val="18"/>
                <w:szCs w:val="18"/>
                <w:color w:val="0000EE"/>
                <w:w w:val="94"/>
              </w:rPr>
            </w:pPr>
            <w:hyperlink r:id="rId214">
              <w:r>
                <w:rPr>
                  <w:rFonts w:ascii="Arial" w:cs="Arial" w:eastAsia="Arial" w:hAnsi="Arial"/>
                  <w:sz w:val="18"/>
                  <w:szCs w:val="18"/>
                  <w:color w:val="0000EE"/>
                  <w:w w:val="94"/>
                </w:rPr>
                <w:t>Form of Agreement evidencing a grant of Deferred Cash Award to Executive Officers (incorporated by reference to Exhibit 10.42 to the</w:t>
              </w:r>
            </w:hyperlink>
          </w:p>
        </w:tc>
      </w:tr>
      <w:tr>
        <w:trPr>
          <w:trHeight w:val="196"/>
        </w:trPr>
        <w:tc>
          <w:tcPr>
            <w:tcW w:w="126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Registrant’s Annual Report (File No. 001-32492) on Form 10-K filed on March 2, 2009).</w:t>
              </w:r>
            </w:hyperlink>
          </w:p>
        </w:tc>
        <w:tc>
          <w:tcPr>
            <w:tcW w:w="3360" w:type="dxa"/>
            <w:vAlign w:val="bottom"/>
            <w:tcBorders>
              <w:top w:val="single" w:sz="8" w:color="0000EE"/>
            </w:tcBorders>
            <w:gridSpan w:val="10"/>
          </w:tcPr>
          <w:p>
            <w:pPr>
              <w:spacing w:after="0"/>
              <w:rPr>
                <w:sz w:val="17"/>
                <w:szCs w:val="17"/>
                <w:color w:val="auto"/>
              </w:rPr>
            </w:pPr>
          </w:p>
        </w:tc>
        <w:tc>
          <w:tcPr>
            <w:tcW w:w="380" w:type="dxa"/>
            <w:vAlign w:val="bottom"/>
            <w:gridSpan w:val="12"/>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10.20*</w:t>
            </w:r>
          </w:p>
        </w:tc>
        <w:tc>
          <w:tcPr>
            <w:tcW w:w="10180" w:type="dxa"/>
            <w:vAlign w:val="bottom"/>
            <w:gridSpan w:val="32"/>
          </w:tcPr>
          <w:p>
            <w:pPr>
              <w:spacing w:after="0"/>
              <w:rPr>
                <w:rFonts w:ascii="Arial" w:cs="Arial" w:eastAsia="Arial" w:hAnsi="Arial"/>
                <w:sz w:val="18"/>
                <w:szCs w:val="18"/>
                <w:color w:val="0000EE"/>
                <w:w w:val="93"/>
              </w:rPr>
            </w:pPr>
            <w:hyperlink r:id="rId215">
              <w:r>
                <w:rPr>
                  <w:rFonts w:ascii="Arial" w:cs="Arial" w:eastAsia="Arial" w:hAnsi="Arial"/>
                  <w:sz w:val="18"/>
                  <w:szCs w:val="18"/>
                  <w:color w:val="0000EE"/>
                  <w:w w:val="93"/>
                </w:rPr>
                <w:t>Directors’ Fee Deferral Unit Plan (incorporated by reference to Exhibit 10.39 to the Registrant’s Quarterly Report (File No. 001-32492) on</w:t>
              </w:r>
            </w:hyperlink>
          </w:p>
        </w:tc>
      </w:tr>
      <w:tr>
        <w:trPr>
          <w:trHeight w:val="196"/>
        </w:trPr>
        <w:tc>
          <w:tcPr>
            <w:tcW w:w="12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Form 10-Q filed on May 11, 2006).</w:t>
              </w:r>
            </w:hyperlink>
          </w:p>
        </w:tc>
        <w:tc>
          <w:tcPr>
            <w:tcW w:w="7440" w:type="dxa"/>
            <w:vAlign w:val="bottom"/>
            <w:tcBorders>
              <w:top w:val="single" w:sz="8" w:color="0000EE"/>
            </w:tcBorders>
            <w:gridSpan w:val="24"/>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w w:val="88"/>
              </w:rPr>
              <w:t>10.21</w:t>
            </w:r>
          </w:p>
        </w:tc>
        <w:tc>
          <w:tcPr>
            <w:tcW w:w="10040" w:type="dxa"/>
            <w:vAlign w:val="bottom"/>
            <w:tcBorders>
              <w:bottom w:val="single" w:sz="8" w:color="0000EE"/>
            </w:tcBorders>
            <w:gridSpan w:val="28"/>
          </w:tcPr>
          <w:p>
            <w:pPr>
              <w:spacing w:after="0"/>
              <w:rPr>
                <w:rFonts w:ascii="Arial" w:cs="Arial" w:eastAsia="Arial" w:hAnsi="Arial"/>
                <w:sz w:val="18"/>
                <w:szCs w:val="18"/>
                <w:color w:val="0000EE"/>
                <w:w w:val="90"/>
              </w:rPr>
            </w:pPr>
            <w:hyperlink r:id="rId216">
              <w:r>
                <w:rPr>
                  <w:rFonts w:ascii="Arial" w:cs="Arial" w:eastAsia="Arial" w:hAnsi="Arial"/>
                  <w:sz w:val="18"/>
                  <w:szCs w:val="18"/>
                  <w:color w:val="0000EE"/>
                  <w:w w:val="90"/>
                </w:rPr>
                <w:t>Amended and Restated Credit Agreement, dated as of September 25, 2015, among Lazard Group LLC, the Banks from time to time parties</w:t>
              </w:r>
            </w:hyperlink>
          </w:p>
        </w:tc>
        <w:tc>
          <w:tcPr>
            <w:tcW w:w="14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2"/>
          </w:tcPr>
          <w:p>
            <w:pPr>
              <w:spacing w:after="0" w:line="196" w:lineRule="exact"/>
              <w:rPr>
                <w:rFonts w:ascii="Arial" w:cs="Arial" w:eastAsia="Arial" w:hAnsi="Arial"/>
                <w:sz w:val="18"/>
                <w:szCs w:val="18"/>
                <w:color w:val="0000EE"/>
                <w:w w:val="93"/>
              </w:rPr>
            </w:pPr>
            <w:hyperlink r:id="rId216">
              <w:r>
                <w:rPr>
                  <w:rFonts w:ascii="Arial" w:cs="Arial" w:eastAsia="Arial" w:hAnsi="Arial"/>
                  <w:sz w:val="18"/>
                  <w:szCs w:val="18"/>
                  <w:color w:val="0000EE"/>
                  <w:w w:val="93"/>
                </w:rPr>
                <w:t>thereto, and Citibank, N.A., as Administrative Agent (incorporated by reference to Exhibit 10.27 to the Registrant’s Quarterly Report (File</w:t>
              </w:r>
            </w:hyperlink>
          </w:p>
        </w:tc>
      </w:tr>
      <w:tr>
        <w:trPr>
          <w:trHeight w:val="196"/>
        </w:trPr>
        <w:tc>
          <w:tcPr>
            <w:tcW w:w="12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No. 001-32492) on Form 10-Q filed on October 28, 2015).</w:t>
              </w:r>
            </w:hyperlink>
          </w:p>
        </w:tc>
        <w:tc>
          <w:tcPr>
            <w:tcW w:w="5740" w:type="dxa"/>
            <w:vAlign w:val="bottom"/>
            <w:tcBorders>
              <w:top w:val="single" w:sz="8" w:color="0000EE"/>
            </w:tcBorders>
            <w:gridSpan w:val="20"/>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10.22*</w:t>
            </w:r>
          </w:p>
        </w:tc>
        <w:tc>
          <w:tcPr>
            <w:tcW w:w="10120" w:type="dxa"/>
            <w:vAlign w:val="bottom"/>
            <w:tcBorders>
              <w:bottom w:val="single" w:sz="8" w:color="0000EE"/>
            </w:tcBorders>
            <w:gridSpan w:val="30"/>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Form of Agreement evidencing a grant of Lazard Fund Interests to Named Executive Officers (incorporated by reference to Exhibit 10.55 to</w:t>
              </w:r>
            </w:hyperlink>
          </w:p>
        </w:tc>
        <w:tc>
          <w:tcPr>
            <w:tcW w:w="6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7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17">
              <w:r>
                <w:rPr>
                  <w:rFonts w:ascii="Arial" w:cs="Arial" w:eastAsia="Arial" w:hAnsi="Arial"/>
                  <w:sz w:val="18"/>
                  <w:szCs w:val="18"/>
                  <w:color w:val="0000EE"/>
                  <w:w w:val="91"/>
                </w:rPr>
                <w:t>the Registrant’s Quarterly Report (File No. 001-32492) on Form 10-Q filed on May 1, 2013).</w:t>
              </w:r>
            </w:hyperlink>
          </w:p>
        </w:tc>
        <w:tc>
          <w:tcPr>
            <w:tcW w:w="3460" w:type="dxa"/>
            <w:vAlign w:val="bottom"/>
            <w:gridSpan w:val="21"/>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10.23*</w:t>
            </w:r>
          </w:p>
        </w:tc>
        <w:tc>
          <w:tcPr>
            <w:tcW w:w="10020" w:type="dxa"/>
            <w:vAlign w:val="bottom"/>
            <w:tcBorders>
              <w:bottom w:val="single" w:sz="8" w:color="0000EE"/>
            </w:tcBorders>
            <w:gridSpan w:val="27"/>
          </w:tcPr>
          <w:p>
            <w:pPr>
              <w:spacing w:after="0"/>
              <w:rPr>
                <w:rFonts w:ascii="Arial" w:cs="Arial" w:eastAsia="Arial" w:hAnsi="Arial"/>
                <w:sz w:val="18"/>
                <w:szCs w:val="18"/>
                <w:color w:val="0000EE"/>
                <w:w w:val="90"/>
              </w:rPr>
            </w:pPr>
            <w:hyperlink r:id="rId218">
              <w:r>
                <w:rPr>
                  <w:rFonts w:ascii="Arial" w:cs="Arial" w:eastAsia="Arial" w:hAnsi="Arial"/>
                  <w:sz w:val="18"/>
                  <w:szCs w:val="18"/>
                  <w:color w:val="0000EE"/>
                  <w:w w:val="90"/>
                </w:rPr>
                <w:t>Form of Agreement evidencing a February 20, 2014 grant of Performance-Based Stock Units under the 2008 Incentive Compensation Plan</w:t>
              </w:r>
            </w:hyperlink>
          </w:p>
        </w:tc>
        <w:tc>
          <w:tcPr>
            <w:tcW w:w="16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2"/>
          </w:tcPr>
          <w:p>
            <w:pPr>
              <w:spacing w:after="0" w:line="196" w:lineRule="exact"/>
              <w:rPr>
                <w:rFonts w:ascii="Arial" w:cs="Arial" w:eastAsia="Arial" w:hAnsi="Arial"/>
                <w:sz w:val="18"/>
                <w:szCs w:val="18"/>
                <w:color w:val="0000EE"/>
                <w:w w:val="95"/>
              </w:rPr>
            </w:pPr>
            <w:hyperlink r:id="rId218">
              <w:r>
                <w:rPr>
                  <w:rFonts w:ascii="Arial" w:cs="Arial" w:eastAsia="Arial" w:hAnsi="Arial"/>
                  <w:sz w:val="18"/>
                  <w:szCs w:val="18"/>
                  <w:color w:val="0000EE"/>
                  <w:w w:val="95"/>
                </w:rPr>
                <w:t>(incorporated by reference to Exhibit 10.55 to the Registrant’s Quarterly Report (File No. 001-32492) on Form 10-Q filed May 6, 2014).</w:t>
              </w:r>
            </w:hyperlink>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10.24*</w:t>
            </w:r>
          </w:p>
        </w:tc>
        <w:tc>
          <w:tcPr>
            <w:tcW w:w="10180" w:type="dxa"/>
            <w:vAlign w:val="bottom"/>
            <w:gridSpan w:val="32"/>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Agreement between the Company and Kenneth M. Jacobs, dated as of February 20, 2014, evidencing a grant of Performance-Based Stock</w:t>
              </w:r>
            </w:hyperlink>
          </w:p>
        </w:tc>
      </w:tr>
      <w:tr>
        <w:trPr>
          <w:trHeight w:val="196"/>
        </w:trPr>
        <w:tc>
          <w:tcPr>
            <w:tcW w:w="12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Units under the 2008 Incentive Compensation Plan (incorporated by reference to Exhibit 10.56 to the Registrant’s Quarterly Report</w:t>
              </w:r>
            </w:hyperlink>
          </w:p>
        </w:tc>
        <w:tc>
          <w:tcPr>
            <w:tcW w:w="480" w:type="dxa"/>
            <w:vAlign w:val="bottom"/>
            <w:tcBorders>
              <w:top w:val="single" w:sz="8" w:color="0000EE"/>
            </w:tcBorders>
            <w:gridSpan w:val="9"/>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2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(File No. 001-32492) on Form 10-Q filed on May 6, 2014).</w:t>
              </w:r>
            </w:hyperlink>
          </w:p>
        </w:tc>
        <w:tc>
          <w:tcPr>
            <w:tcW w:w="5900" w:type="dxa"/>
            <w:vAlign w:val="bottom"/>
            <w:gridSpan w:val="26"/>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10.25*</w:t>
            </w:r>
          </w:p>
        </w:tc>
        <w:tc>
          <w:tcPr>
            <w:tcW w:w="10180" w:type="dxa"/>
            <w:vAlign w:val="bottom"/>
            <w:gridSpan w:val="32"/>
          </w:tcPr>
          <w:p>
            <w:pPr>
              <w:spacing w:after="0"/>
              <w:rPr>
                <w:rFonts w:ascii="Arial" w:cs="Arial" w:eastAsia="Arial" w:hAnsi="Arial"/>
                <w:sz w:val="18"/>
                <w:szCs w:val="18"/>
                <w:color w:val="0000EE"/>
                <w:w w:val="95"/>
              </w:rPr>
            </w:pPr>
            <w:hyperlink r:id="rId220">
              <w:r>
                <w:rPr>
                  <w:rFonts w:ascii="Arial" w:cs="Arial" w:eastAsia="Arial" w:hAnsi="Arial"/>
                  <w:sz w:val="18"/>
                  <w:szCs w:val="18"/>
                  <w:color w:val="0000EE"/>
                  <w:w w:val="95"/>
                </w:rPr>
                <w:t>Form of Agreement evidencing a grant of Restricted Stock under the 2008 Incentive Compensation Plan (incorporated by reference to</w:t>
              </w:r>
            </w:hyperlink>
          </w:p>
        </w:tc>
      </w:tr>
      <w:tr>
        <w:trPr>
          <w:trHeight w:val="196"/>
        </w:trPr>
        <w:tc>
          <w:tcPr>
            <w:tcW w:w="1260" w:type="dxa"/>
            <w:vAlign w:val="bottom"/>
          </w:tcPr>
          <w:p>
            <w:pPr>
              <w:spacing w:after="0"/>
              <w:rPr>
                <w:sz w:val="17"/>
                <w:szCs w:val="17"/>
                <w:color w:val="auto"/>
              </w:rPr>
            </w:pPr>
          </w:p>
        </w:tc>
        <w:tc>
          <w:tcPr>
            <w:tcW w:w="9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20">
              <w:r>
                <w:rPr>
                  <w:rFonts w:ascii="Arial" w:cs="Arial" w:eastAsia="Arial" w:hAnsi="Arial"/>
                  <w:sz w:val="18"/>
                  <w:szCs w:val="18"/>
                  <w:color w:val="0000EE"/>
                </w:rPr>
                <w:t>Exhibit 10.55 to the Registrant’s Quarterly Report (File No. 001-32492) on Form 10-Q filed on April 30, 2010).</w:t>
              </w:r>
            </w:hyperlink>
          </w:p>
        </w:tc>
        <w:tc>
          <w:tcPr>
            <w:tcW w:w="520" w:type="dxa"/>
            <w:vAlign w:val="bottom"/>
            <w:gridSpan w:val="15"/>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318"/>
        </w:trPr>
        <w:tc>
          <w:tcPr>
            <w:tcW w:w="1260" w:type="dxa"/>
            <w:vAlign w:val="bottom"/>
          </w:tcPr>
          <w:p>
            <w:pPr>
              <w:jc w:val="right"/>
              <w:ind w:right="670"/>
              <w:spacing w:after="0"/>
              <w:rPr>
                <w:sz w:val="20"/>
                <w:szCs w:val="20"/>
                <w:color w:val="auto"/>
              </w:rPr>
            </w:pPr>
            <w:r>
              <w:rPr>
                <w:rFonts w:ascii="Arial" w:cs="Arial" w:eastAsia="Arial" w:hAnsi="Arial"/>
                <w:sz w:val="18"/>
                <w:szCs w:val="18"/>
                <w:color w:val="auto"/>
                <w:w w:val="92"/>
              </w:rPr>
              <w:t>10.26*</w:t>
            </w:r>
          </w:p>
        </w:tc>
        <w:tc>
          <w:tcPr>
            <w:tcW w:w="9880" w:type="dxa"/>
            <w:vAlign w:val="bottom"/>
            <w:tcBorders>
              <w:bottom w:val="single" w:sz="8" w:color="0000EE"/>
            </w:tcBorders>
            <w:gridSpan w:val="22"/>
          </w:tcPr>
          <w:p>
            <w:pPr>
              <w:spacing w:after="0"/>
              <w:rPr>
                <w:rFonts w:ascii="Arial" w:cs="Arial" w:eastAsia="Arial" w:hAnsi="Arial"/>
                <w:sz w:val="18"/>
                <w:szCs w:val="18"/>
                <w:color w:val="0000EE"/>
                <w:w w:val="91"/>
              </w:rPr>
            </w:pPr>
            <w:hyperlink r:id="rId221">
              <w:r>
                <w:rPr>
                  <w:rFonts w:ascii="Arial" w:cs="Arial" w:eastAsia="Arial" w:hAnsi="Arial"/>
                  <w:sz w:val="18"/>
                  <w:szCs w:val="18"/>
                  <w:color w:val="0000EE"/>
                  <w:w w:val="91"/>
                </w:rPr>
                <w:t>Form of Agreement evidencing a grant of Lazard Fund Interests (incorporated by reference to Exhibit 10.55 to the Registrant’s Quarterly</w:t>
              </w:r>
            </w:hyperlink>
          </w:p>
        </w:tc>
        <w:tc>
          <w:tcPr>
            <w:tcW w:w="30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2"/>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Report (File No. 001-32492) on Form 10-Q filed on April 29, 2011).</w:t>
              </w:r>
            </w:hyperlink>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12.1</w:t>
            </w:r>
          </w:p>
        </w:tc>
        <w:tc>
          <w:tcPr>
            <w:tcW w:w="4940" w:type="dxa"/>
            <w:vAlign w:val="bottom"/>
            <w:tcBorders>
              <w:top w:val="single" w:sz="8" w:color="0000EE"/>
            </w:tcBorders>
            <w:gridSpan w:val="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Computation of Ratio of Earnings to Fixed Charges</w:t>
              </w:r>
            </w:hyperlink>
            <w:r>
              <w:rPr>
                <w:rFonts w:ascii="Arial" w:cs="Arial" w:eastAsia="Arial" w:hAnsi="Arial"/>
                <w:sz w:val="18"/>
                <w:szCs w:val="18"/>
                <w:color w:val="000000"/>
              </w:rPr>
              <w:t>.</w:t>
            </w:r>
          </w:p>
        </w:tc>
        <w:tc>
          <w:tcPr>
            <w:tcW w:w="5240" w:type="dxa"/>
            <w:vAlign w:val="bottom"/>
            <w:gridSpan w:val="24"/>
          </w:tcPr>
          <w:p>
            <w:pPr>
              <w:spacing w:after="0"/>
              <w:rPr>
                <w:sz w:val="24"/>
                <w:szCs w:val="24"/>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21.1</w:t>
            </w:r>
          </w:p>
        </w:tc>
        <w:tc>
          <w:tcPr>
            <w:tcW w:w="21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Subsidiaries of the Registrant.</w:t>
              </w:r>
            </w:hyperlink>
          </w:p>
        </w:tc>
        <w:tc>
          <w:tcPr>
            <w:tcW w:w="1540" w:type="dxa"/>
            <w:vAlign w:val="bottom"/>
            <w:tcBorders>
              <w:top w:val="single" w:sz="8" w:color="0000EE"/>
            </w:tcBorders>
            <w:gridSpan w:val="3"/>
          </w:tcPr>
          <w:p>
            <w:pPr>
              <w:spacing w:after="0"/>
              <w:rPr>
                <w:sz w:val="24"/>
                <w:szCs w:val="24"/>
                <w:color w:val="auto"/>
              </w:rPr>
            </w:pPr>
          </w:p>
        </w:tc>
        <w:tc>
          <w:tcPr>
            <w:tcW w:w="6460" w:type="dxa"/>
            <w:vAlign w:val="bottom"/>
            <w:gridSpan w:val="28"/>
          </w:tcPr>
          <w:p>
            <w:pPr>
              <w:spacing w:after="0"/>
              <w:rPr>
                <w:sz w:val="24"/>
                <w:szCs w:val="24"/>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rPr>
              <w:t>23.1</w:t>
            </w:r>
          </w:p>
        </w:tc>
        <w:tc>
          <w:tcPr>
            <w:tcW w:w="10180" w:type="dxa"/>
            <w:vAlign w:val="bottom"/>
            <w:gridSpan w:val="32"/>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Consent of Independent Registered Public Accounting Firm.</w:t>
              </w:r>
            </w:hyperlink>
          </w:p>
        </w:tc>
      </w:tr>
      <w:tr>
        <w:trPr>
          <w:trHeight w:val="20"/>
        </w:trPr>
        <w:tc>
          <w:tcPr>
            <w:tcW w:w="1260" w:type="dxa"/>
            <w:vAlign w:val="bottom"/>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4940" w:type="dxa"/>
            <w:vAlign w:val="bottom"/>
            <w:gridSpan w:val="8"/>
          </w:tcPr>
          <w:p>
            <w:pPr>
              <w:ind w:left="43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126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50">
              <w:r>
                <w:rPr>
                  <w:rFonts w:ascii="Arial" w:cs="Arial" w:eastAsia="Arial" w:hAnsi="Arial"/>
                  <w:sz w:val="18"/>
                  <w:szCs w:val="18"/>
                  <w:color w:val="0000EE"/>
                  <w:w w:val="91"/>
                </w:rPr>
                <w:t>Rule 13a-14(a) Certification of Kenneth M. Jacobs.</w:t>
              </w:r>
            </w:hyperlink>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31.2</w:t>
            </w:r>
          </w:p>
        </w:tc>
        <w:tc>
          <w:tcPr>
            <w:tcW w:w="3720" w:type="dxa"/>
            <w:vAlign w:val="bottom"/>
            <w:gridSpan w:val="4"/>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Rule 13a-14(a) Certification of Evan L. Russo.</w:t>
              </w:r>
            </w:hyperlink>
          </w:p>
        </w:tc>
      </w:tr>
      <w:tr>
        <w:trPr>
          <w:trHeight w:val="20"/>
        </w:trPr>
        <w:tc>
          <w:tcPr>
            <w:tcW w:w="126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52">
              <w:r>
                <w:rPr>
                  <w:rFonts w:ascii="Arial" w:cs="Arial" w:eastAsia="Arial" w:hAnsi="Arial"/>
                  <w:sz w:val="18"/>
                  <w:szCs w:val="18"/>
                  <w:color w:val="0000EE"/>
                  <w:w w:val="91"/>
                </w:rPr>
                <w:t>Section 1350 Certification for Kenneth M. Jacobs.</w:t>
              </w:r>
            </w:hyperlink>
          </w:p>
        </w:tc>
        <w:tc>
          <w:tcPr>
            <w:tcW w:w="80" w:type="dxa"/>
            <w:vAlign w:val="bottom"/>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32.2</w:t>
            </w:r>
          </w:p>
        </w:tc>
        <w:tc>
          <w:tcPr>
            <w:tcW w:w="3720" w:type="dxa"/>
            <w:vAlign w:val="bottom"/>
            <w:gridSpan w:val="4"/>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Section 1350 Certification for Evan L. Russo.</w:t>
              </w:r>
            </w:hyperlink>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3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420" w:type="dxa"/>
            <w:vAlign w:val="bottom"/>
            <w:gridSpan w:val="3"/>
          </w:tcPr>
          <w:p>
            <w:pPr>
              <w:spacing w:after="0"/>
              <w:rPr>
                <w:sz w:val="24"/>
                <w:szCs w:val="24"/>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372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3720" w:type="dxa"/>
            <w:vAlign w:val="bottom"/>
            <w:gridSpan w:val="4"/>
          </w:tcPr>
          <w:p>
            <w:pPr>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3720" w:type="dxa"/>
            <w:vAlign w:val="bottom"/>
            <w:gridSpan w:val="4"/>
          </w:tcPr>
          <w:p>
            <w:pPr>
              <w:spacing w:after="0"/>
              <w:rPr>
                <w:sz w:val="20"/>
                <w:szCs w:val="20"/>
                <w:color w:val="auto"/>
              </w:rPr>
            </w:pPr>
            <w:r>
              <w:rPr>
                <w:rFonts w:ascii="Arial" w:cs="Arial" w:eastAsia="Arial" w:hAnsi="Arial"/>
                <w:sz w:val="18"/>
                <w:szCs w:val="18"/>
                <w:color w:val="auto"/>
                <w:w w:val="98"/>
              </w:rPr>
              <w:t>XBRL Taxonomy Extension Definition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37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3720" w:type="dxa"/>
            <w:vAlign w:val="bottom"/>
            <w:gridSpan w:val="4"/>
          </w:tcPr>
          <w:p>
            <w:pPr>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1150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74" w:lineRule="exact"/>
        <w:rPr>
          <w:sz w:val="20"/>
          <w:szCs w:val="20"/>
          <w:color w:val="auto"/>
        </w:rPr>
      </w:pPr>
    </w:p>
    <w:p>
      <w:pPr>
        <w:ind w:left="600" w:hanging="592"/>
        <w:spacing w:after="0"/>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46"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15(a)(1) AND 15(a)(2)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4920" w:type="dxa"/>
            <w:vAlign w:val="bottom"/>
            <w:gridSpan w:val="9"/>
            <w:vMerge w:val="restart"/>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Management’s Report on Internal Control Over Financial Reporting</w:t>
              </w:r>
            </w:hyperlink>
          </w:p>
        </w:tc>
        <w:tc>
          <w:tcPr>
            <w:tcW w:w="5600" w:type="dxa"/>
            <w:vAlign w:val="bottom"/>
            <w:gridSpan w:val="10"/>
            <w:vMerge w:val="restart"/>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9"/>
            <w:vMerge w:val="continue"/>
          </w:tcPr>
          <w:p>
            <w:pPr>
              <w:spacing w:after="0"/>
              <w:rPr>
                <w:sz w:val="13"/>
                <w:szCs w:val="13"/>
                <w:color w:val="auto"/>
              </w:rPr>
            </w:pPr>
          </w:p>
        </w:tc>
        <w:tc>
          <w:tcPr>
            <w:tcW w:w="5600" w:type="dxa"/>
            <w:vAlign w:val="bottom"/>
            <w:gridSpan w:val="10"/>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3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Reports of Independent Registered Public Accounting Firm</w:t>
              </w:r>
            </w:hyperlink>
          </w:p>
        </w:tc>
        <w:tc>
          <w:tcPr>
            <w:tcW w:w="6220" w:type="dxa"/>
            <w:vAlign w:val="bottom"/>
            <w:gridSpan w:val="11"/>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58"/>
        </w:trPr>
        <w:tc>
          <w:tcPr>
            <w:tcW w:w="1052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520" w:type="dxa"/>
            <w:vAlign w:val="bottom"/>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Financial Condition as of December 31, 2017 and 2016</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1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for the years ended December 31, 2017, 2016 and 2015</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Comprehensive Income for the years ended December 31, 2017, 2016</w:t>
              </w:r>
            </w:hyperlink>
          </w:p>
        </w:tc>
        <w:tc>
          <w:tcPr>
            <w:tcW w:w="34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and 2015</w:t>
              </w:r>
            </w:hyperlink>
          </w:p>
        </w:tc>
        <w:tc>
          <w:tcPr>
            <w:tcW w:w="9620" w:type="dxa"/>
            <w:vAlign w:val="bottom"/>
            <w:gridSpan w:val="1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 for the years ended December 31, 2017, 2016 and 2015</w:t>
              </w:r>
            </w:hyperlink>
          </w:p>
        </w:tc>
        <w:tc>
          <w:tcPr>
            <w:tcW w:w="3600" w:type="dxa"/>
            <w:vAlign w:val="bottom"/>
            <w:gridSpan w:val="6"/>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18"/>
        </w:trPr>
        <w:tc>
          <w:tcPr>
            <w:tcW w:w="1052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Changes in Stockholders’ Equity for the years ended December 31, 2017, 2016 and 2015</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Notes to Consolidated Financial Statements</w:t>
              </w:r>
            </w:hyperlink>
          </w:p>
        </w:tc>
        <w:tc>
          <w:tcPr>
            <w:tcW w:w="5280" w:type="dxa"/>
            <w:vAlign w:val="bottom"/>
            <w:tcBorders>
              <w:top w:val="single" w:sz="8" w:color="0000EE"/>
            </w:tcBorders>
            <w:gridSpan w:val="12"/>
          </w:tcPr>
          <w:p>
            <w:pPr>
              <w:spacing w:after="0"/>
              <w:rPr>
                <w:sz w:val="24"/>
                <w:szCs w:val="24"/>
                <w:color w:val="auto"/>
              </w:rPr>
            </w:pPr>
          </w:p>
        </w:tc>
        <w:tc>
          <w:tcPr>
            <w:tcW w:w="20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282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32">
              <w:r>
                <w:rPr>
                  <w:rFonts w:ascii="Arial" w:cs="Arial" w:eastAsia="Arial" w:hAnsi="Arial"/>
                  <w:sz w:val="18"/>
                  <w:szCs w:val="18"/>
                  <w:b w:val="1"/>
                  <w:bCs w:val="1"/>
                  <w:color w:val="0000EE"/>
                  <w:w w:val="91"/>
                </w:rPr>
                <w:t>Supplemental Financial Information</w:t>
              </w:r>
            </w:hyperlink>
          </w:p>
        </w:tc>
        <w:tc>
          <w:tcPr>
            <w:tcW w:w="770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Quarterly Results</w:t>
              </w:r>
            </w:hyperlink>
          </w:p>
        </w:tc>
        <w:tc>
          <w:tcPr>
            <w:tcW w:w="9240" w:type="dxa"/>
            <w:vAlign w:val="bottom"/>
            <w:gridSpan w:val="1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58"/>
        </w:trPr>
        <w:tc>
          <w:tcPr>
            <w:tcW w:w="10520" w:type="dxa"/>
            <w:vAlign w:val="bottom"/>
            <w:gridSpan w:val="19"/>
          </w:tcPr>
          <w:p>
            <w:pPr>
              <w:spacing w:after="0"/>
              <w:rPr>
                <w:sz w:val="20"/>
                <w:szCs w:val="20"/>
                <w:color w:val="auto"/>
              </w:rPr>
            </w:pPr>
            <w:r>
              <w:rPr>
                <w:rFonts w:ascii="Arial" w:cs="Arial" w:eastAsia="Arial" w:hAnsi="Arial"/>
                <w:sz w:val="18"/>
                <w:szCs w:val="18"/>
                <w:b w:val="1"/>
                <w:bCs w:val="1"/>
                <w:color w:val="auto"/>
              </w:rPr>
              <w:t>Financial Statement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520" w:type="dxa"/>
            <w:vAlign w:val="bottom"/>
            <w:gridSpan w:val="19"/>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Condensed Statements of Financial Condition as of December 31, 2017 and 2016</w:t>
              </w:r>
            </w:hyperlink>
          </w:p>
        </w:tc>
        <w:tc>
          <w:tcPr>
            <w:tcW w:w="4200" w:type="dxa"/>
            <w:vAlign w:val="bottom"/>
            <w:gridSpan w:val="8"/>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42">
              <w:r>
                <w:rPr>
                  <w:rFonts w:ascii="Arial" w:cs="Arial" w:eastAsia="Arial" w:hAnsi="Arial"/>
                  <w:sz w:val="18"/>
                  <w:szCs w:val="18"/>
                  <w:color w:val="0000EE"/>
                  <w:w w:val="88"/>
                </w:rPr>
                <w:t>Condensed Statements of Operations for the years ended December 31, 2017, 2016 and 2015</w:t>
              </w:r>
            </w:hyperlink>
          </w:p>
        </w:tc>
        <w:tc>
          <w:tcPr>
            <w:tcW w:w="3360" w:type="dxa"/>
            <w:vAlign w:val="bottom"/>
            <w:gridSpan w:val="4"/>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Condensed Statements of Comprehensive Income for the years ended December 31, 2017, 2016 and 2015</w:t>
              </w:r>
            </w:hyperlink>
          </w:p>
        </w:tc>
        <w:tc>
          <w:tcPr>
            <w:tcW w:w="244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Condensed Statements of Cash Flows for the years ended December 31, 2017, 2016 and 2015</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top w:val="single" w:sz="8" w:color="0000EE"/>
            </w:tcBorders>
            <w:gridSpan w:val="14"/>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Notes to Condensed Financial Statements</w:t>
              </w:r>
            </w:hyperlink>
          </w:p>
        </w:tc>
        <w:tc>
          <w:tcPr>
            <w:tcW w:w="332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firstLine="598"/>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3,921</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3,916</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subsidiaries, equity method</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(1,061,259)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(534,642)</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Due from subsidiaries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2,259,112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1,766,875</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1,201,774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1,236,162</w:t>
            </w:r>
          </w:p>
        </w:tc>
        <w:tc>
          <w:tcPr>
            <w:tcW w:w="120" w:type="dxa"/>
            <w:vAlign w:val="bottom"/>
            <w:tcBorders>
              <w:bottom w:val="single" w:sz="8" w:color="CFF0FC"/>
            </w:tcBorders>
          </w:tcPr>
          <w:p>
            <w:pPr>
              <w:spacing w:after="0"/>
              <w:rPr>
                <w:sz w:val="22"/>
                <w:szCs w:val="22"/>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to subsidiaries</w:t>
            </w:r>
          </w:p>
        </w:tc>
        <w:tc>
          <w:tcPr>
            <w:tcW w:w="1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A—no shares issued and outstanding</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Arial" w:cs="Arial" w:eastAsia="Arial" w:hAnsi="Arial"/>
                <w:sz w:val="18"/>
                <w:szCs w:val="18"/>
                <w:color w:val="auto"/>
              </w:rPr>
              <w:t>Series B—no shares issued and outstanding</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64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Arial" w:cs="Arial" w:eastAsia="Arial" w:hAnsi="Arial"/>
                <w:sz w:val="18"/>
                <w:szCs w:val="18"/>
                <w:color w:val="auto"/>
              </w:rPr>
              <w:t>129,766,091 shares issued at December 31, 2017 and 2016,</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688,231</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1,080,413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1,134,186</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(232,518)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(314,222)</w:t>
            </w:r>
          </w:p>
        </w:tc>
      </w:tr>
      <w:tr>
        <w:trPr>
          <w:trHeight w:val="223"/>
        </w:trPr>
        <w:tc>
          <w:tcPr>
            <w:tcW w:w="6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1,509,493</w:t>
            </w:r>
          </w:p>
        </w:tc>
        <w:tc>
          <w:tcPr>
            <w:tcW w:w="120" w:type="dxa"/>
            <w:vAlign w:val="bottom"/>
          </w:tcPr>
          <w:p>
            <w:pPr>
              <w:spacing w:after="0"/>
              <w:rPr>
                <w:sz w:val="19"/>
                <w:szCs w:val="19"/>
                <w:color w:val="auto"/>
              </w:rPr>
            </w:pPr>
          </w:p>
        </w:tc>
      </w:tr>
      <w:tr>
        <w:trPr>
          <w:trHeight w:val="215"/>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(10,747,142 and</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7,628,786 shares at December 31, 2017 and 2016, respectively)</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(437,530)</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(273,506)</w:t>
            </w: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1,199,803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1,235,987</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1,201,774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1,236,162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145,008</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326,366</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931,036</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110,381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63,019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57,258</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w:t>
            </w:r>
          </w:p>
        </w:tc>
        <w:tc>
          <w:tcPr>
            <w:tcW w:w="20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255,389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389,385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988,294</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0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253,583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387,698</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986,373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253,583</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387,698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986,373</w:t>
            </w:r>
          </w:p>
        </w:tc>
        <w:tc>
          <w:tcPr>
            <w:tcW w:w="100" w:type="dxa"/>
            <w:vAlign w:val="bottom"/>
            <w:shd w:val="clear" w:color="auto" w:fill="CFF0FC"/>
          </w:tcPr>
          <w:p>
            <w:pPr>
              <w:spacing w:after="0"/>
              <w:rPr>
                <w:sz w:val="19"/>
                <w:szCs w:val="19"/>
                <w:color w:val="auto"/>
              </w:rPr>
            </w:pPr>
          </w:p>
        </w:tc>
      </w:tr>
      <w:tr>
        <w:trPr>
          <w:trHeight w:val="205"/>
        </w:trPr>
        <w:tc>
          <w:tcPr>
            <w:tcW w:w="584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OF TAX:</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(57,919)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(51,182)</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w:t>
            </w: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$(3,507), $(5,205) and $5,644 for the years ended</w:t>
            </w: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2017, 2016 and 2015, respectively)</w:t>
            </w: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(24,473)</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11,283</w:t>
            </w:r>
          </w:p>
        </w:tc>
        <w:tc>
          <w:tcPr>
            <w:tcW w:w="100" w:type="dxa"/>
            <w:vAlign w:val="bottom"/>
            <w:shd w:val="clear" w:color="auto" w:fill="CFF0FC"/>
          </w:tcPr>
          <w:p>
            <w:pPr>
              <w:spacing w:after="0"/>
              <w:rPr>
                <w:sz w:val="20"/>
                <w:szCs w:val="20"/>
                <w:color w:val="auto"/>
              </w:rPr>
            </w:pPr>
          </w:p>
        </w:tc>
      </w:tr>
      <w:tr>
        <w:trPr>
          <w:trHeight w:val="215"/>
        </w:trPr>
        <w:tc>
          <w:tcPr>
            <w:tcW w:w="5840" w:type="dxa"/>
            <w:vAlign w:val="bottom"/>
          </w:tcPr>
          <w:p>
            <w:pPr>
              <w:ind w:left="500"/>
              <w:spacing w:after="0"/>
              <w:rPr>
                <w:sz w:val="20"/>
                <w:szCs w:val="20"/>
                <w:color w:val="auto"/>
              </w:rPr>
            </w:pPr>
            <w:r>
              <w:rPr>
                <w:rFonts w:ascii="Arial" w:cs="Arial" w:eastAsia="Arial" w:hAnsi="Arial"/>
                <w:sz w:val="18"/>
                <w:szCs w:val="18"/>
                <w:color w:val="auto"/>
              </w:rPr>
              <w:t>Adjustments for items reclassified to earnings (net of tax</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ind w:left="640"/>
              <w:spacing w:after="0"/>
              <w:rPr>
                <w:sz w:val="20"/>
                <w:szCs w:val="20"/>
                <w:color w:val="auto"/>
              </w:rPr>
            </w:pPr>
            <w:r>
              <w:rPr>
                <w:rFonts w:ascii="Arial" w:cs="Arial" w:eastAsia="Arial" w:hAnsi="Arial"/>
                <w:sz w:val="18"/>
                <w:szCs w:val="18"/>
                <w:color w:val="auto"/>
              </w:rPr>
              <w:t>expense of $2,220, $1,757 and $1,507 for the</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Pr>
          <w:p>
            <w:pPr>
              <w:ind w:left="640"/>
              <w:spacing w:after="0"/>
              <w:rPr>
                <w:sz w:val="20"/>
                <w:szCs w:val="20"/>
                <w:color w:val="auto"/>
              </w:rPr>
            </w:pPr>
            <w:r>
              <w:rPr>
                <w:rFonts w:ascii="Arial" w:cs="Arial" w:eastAsia="Arial" w:hAnsi="Arial"/>
                <w:sz w:val="18"/>
                <w:szCs w:val="18"/>
                <w:color w:val="auto"/>
              </w:rPr>
              <w:t>years ended December 31, 2017, 2016 and 2015,</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respectively)</w:t>
            </w:r>
          </w:p>
        </w:tc>
        <w:tc>
          <w:tcPr>
            <w:tcW w:w="9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Borders>
              <w:bottom w:val="single" w:sz="8" w:color="CFF0FC"/>
            </w:tcBorders>
          </w:tcPr>
          <w:p>
            <w:pPr>
              <w:spacing w:after="0"/>
              <w:rPr>
                <w:sz w:val="20"/>
                <w:szCs w:val="20"/>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(79,866)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(33,590)</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9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335,287</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307,832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952,783</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253,583</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387,698</w:t>
            </w:r>
          </w:p>
        </w:tc>
        <w:tc>
          <w:tcPr>
            <w:tcW w:w="18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986,373</w:t>
            </w:r>
          </w:p>
        </w:tc>
        <w:tc>
          <w:tcPr>
            <w:tcW w:w="100" w:type="dxa"/>
            <w:vAlign w:val="bottom"/>
          </w:tcPr>
          <w:p>
            <w:pPr>
              <w:spacing w:after="0"/>
              <w:rPr>
                <w:sz w:val="19"/>
                <w:szCs w:val="19"/>
                <w:color w:val="auto"/>
              </w:rPr>
            </w:pPr>
          </w:p>
        </w:tc>
      </w:tr>
      <w:tr>
        <w:trPr>
          <w:trHeight w:val="215"/>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Equity in earnings of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(145,008)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(326,366)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(931,036)</w:t>
            </w:r>
          </w:p>
        </w:tc>
      </w:tr>
      <w:tr>
        <w:trPr>
          <w:trHeight w:val="230"/>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received from subsidiaries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63,822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Changes in due to/from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273,051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233,519</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other operating assets and liabilities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341,480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334,150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289,106</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Capital contribution to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dividends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(341,450)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(336,138)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(290,684)</w:t>
            </w:r>
          </w:p>
        </w:tc>
      </w:tr>
      <w:tr>
        <w:trPr>
          <w:trHeight w:val="223"/>
        </w:trPr>
        <w:tc>
          <w:tcPr>
            <w:tcW w:w="5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2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(341,450)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(336,138)</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(290,684)</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January 1</w:t>
            </w:r>
          </w:p>
        </w:tc>
        <w:tc>
          <w:tcPr>
            <w:tcW w:w="1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December 31</w:t>
            </w:r>
          </w:p>
        </w:tc>
        <w:tc>
          <w:tcPr>
            <w:tcW w:w="1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4" w:name="page145"/>
    <w:bookmarkEnd w:id="144"/>
    <w:p>
      <w:pPr>
        <w:jc w:val="center"/>
        <w:ind w:right="-159"/>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56" w:lineRule="exact"/>
        <w:rPr>
          <w:sz w:val="20"/>
          <w:szCs w:val="20"/>
          <w:color w:val="auto"/>
        </w:rPr>
      </w:pPr>
    </w:p>
    <w:p>
      <w:pPr>
        <w:ind w:left="600" w:hanging="592"/>
        <w:spacing w:after="0"/>
        <w:tabs>
          <w:tab w:leader="none" w:pos="600"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14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Parent Company Financial Statements as of December 31, 2017 and 2016, and for each of the three years in the period ended December 31, 2017,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225"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For the period ended December 31, 2016, equity in earnings of subsidiaries also includes a gain of $12,668 related to the portion of a business acquired in the fourth quarter of 2016 that was previously owned by one of the Company’s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40" w:type="dxa"/>
            <w:vAlign w:val="bottom"/>
          </w:tcPr>
          <w:p>
            <w:pPr>
              <w:spacing w:after="0"/>
              <w:rPr>
                <w:sz w:val="14"/>
                <w:szCs w:val="14"/>
                <w:color w:val="auto"/>
              </w:rPr>
            </w:pPr>
          </w:p>
        </w:tc>
        <w:tc>
          <w:tcPr>
            <w:tcW w:w="512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Capacity</w:t>
            </w:r>
          </w:p>
        </w:tc>
        <w:tc>
          <w:tcPr>
            <w:tcW w:w="140" w:type="dxa"/>
            <w:vAlign w:val="bottom"/>
          </w:tcPr>
          <w:p>
            <w:pPr>
              <w:spacing w:after="0"/>
              <w:rPr>
                <w:sz w:val="14"/>
                <w:szCs w:val="14"/>
                <w:color w:val="auto"/>
              </w:rPr>
            </w:pPr>
          </w:p>
        </w:tc>
        <w:tc>
          <w:tcPr>
            <w:tcW w:w="228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12"/>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Kenneth M. Jacobs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Chairman, Chief Executive Officer and 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Kenneth M. Jacobs</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Evan L. Russo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8"/>
              </w:rPr>
              <w:t>Evan L. Russo</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Dominick Ragone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Chief Accounting Officer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2"/>
              </w:rPr>
              <w:t>Dominick Ragone</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M. Alper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Andrew M. Alper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Ashish Bhutani</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Ashish Bhutani</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N. Haass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Richard N. Haass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Steven J. Heyer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Steven J. Heyer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Michelle Jarrard</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Michelle Jarrard</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Sylvia Jay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Sylvia Jay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Philip A. Laskawy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6"/>
              </w:rPr>
              <w:t>Philip A. Laskawy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Jane L. Mendillo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94"/>
              </w:rPr>
              <w:t>Jane L. Mendillo</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Richard D. Parsons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480"/>
              <w:spacing w:after="0"/>
              <w:rPr>
                <w:sz w:val="20"/>
                <w:szCs w:val="20"/>
                <w:color w:val="auto"/>
              </w:rPr>
            </w:pPr>
            <w:r>
              <w:rPr>
                <w:rFonts w:ascii="Arial" w:cs="Arial" w:eastAsia="Arial" w:hAnsi="Arial"/>
                <w:sz w:val="18"/>
                <w:szCs w:val="18"/>
                <w:color w:val="auto"/>
              </w:rPr>
              <w:t>February 26, 2018</w:t>
            </w: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Richard D. Parsons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46" w:name="page147"/>
    <w:bookmarkEnd w:id="146"/>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12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825,446</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517,461</w:t>
            </w: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(16,620)</w:t>
            </w: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519,465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216,807</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Add—Fixed charges</w:t>
            </w:r>
          </w:p>
        </w:tc>
        <w:tc>
          <w:tcPr>
            <w:tcW w:w="10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77,716</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73,654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75,109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86,066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103,668</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before fixed charges</w:t>
            </w:r>
          </w:p>
        </w:tc>
        <w:tc>
          <w:tcPr>
            <w:tcW w:w="12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903,162</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591,115</w:t>
            </w: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58,489</w:t>
            </w: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605,531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320,475</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Fixed Charges:</w:t>
            </w:r>
          </w:p>
        </w:tc>
        <w:tc>
          <w:tcPr>
            <w:tcW w:w="1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Interest (b)</w:t>
            </w:r>
          </w:p>
        </w:tc>
        <w:tc>
          <w:tcPr>
            <w:tcW w:w="12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53,518</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50,292</w:t>
            </w: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51,159</w:t>
            </w: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62,570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79,381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w:t>
            </w:r>
          </w:p>
        </w:tc>
        <w:tc>
          <w:tcPr>
            <w:tcW w:w="10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24,198</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23,950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23,496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24,287</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Total fixed charges</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77,716</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73,654</w:t>
            </w: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75,109</w:t>
            </w:r>
          </w:p>
        </w:tc>
        <w:tc>
          <w:tcPr>
            <w:tcW w:w="3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86,066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103,668</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Ratio of earnings to fixed charges</w:t>
            </w:r>
          </w:p>
        </w:tc>
        <w:tc>
          <w:tcPr>
            <w:tcW w:w="1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4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11.62</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w w:val="91"/>
              </w:rPr>
              <w:t>(d)</w:t>
            </w:r>
          </w:p>
        </w:tc>
        <w:tc>
          <w:tcPr>
            <w:tcW w:w="800" w:type="dxa"/>
            <w:vAlign w:val="bottom"/>
          </w:tcPr>
          <w:p>
            <w:pPr>
              <w:jc w:val="right"/>
              <w:spacing w:after="0"/>
              <w:rPr>
                <w:sz w:val="20"/>
                <w:szCs w:val="20"/>
                <w:color w:val="auto"/>
              </w:rPr>
            </w:pPr>
            <w:r>
              <w:rPr>
                <w:rFonts w:ascii="Arial" w:cs="Arial" w:eastAsia="Arial" w:hAnsi="Arial"/>
                <w:sz w:val="16"/>
                <w:szCs w:val="16"/>
                <w:color w:val="auto"/>
              </w:rPr>
              <w:t>8.03</w:t>
            </w:r>
          </w:p>
        </w:tc>
        <w:tc>
          <w:tcPr>
            <w:tcW w:w="580" w:type="dxa"/>
            <w:vAlign w:val="bottom"/>
            <w:gridSpan w:val="3"/>
          </w:tcPr>
          <w:p>
            <w:pPr>
              <w:jc w:val="right"/>
              <w:ind w:right="300"/>
              <w:spacing w:after="0"/>
              <w:rPr>
                <w:sz w:val="20"/>
                <w:szCs w:val="20"/>
                <w:color w:val="auto"/>
              </w:rPr>
            </w:pPr>
            <w:r>
              <w:rPr>
                <w:rFonts w:ascii="Arial" w:cs="Arial" w:eastAsia="Arial" w:hAnsi="Arial"/>
                <w:sz w:val="16"/>
                <w:szCs w:val="16"/>
                <w:color w:val="auto"/>
              </w:rPr>
              <w:t>(e)</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gridSpan w:val="3"/>
          </w:tcPr>
          <w:p>
            <w:pPr>
              <w:jc w:val="right"/>
              <w:ind w:right="200"/>
              <w:spacing w:after="0"/>
              <w:rPr>
                <w:sz w:val="20"/>
                <w:szCs w:val="20"/>
                <w:color w:val="auto"/>
              </w:rPr>
            </w:pPr>
            <w:r>
              <w:rPr>
                <w:rFonts w:ascii="Arial" w:cs="Arial" w:eastAsia="Arial" w:hAnsi="Arial"/>
                <w:sz w:val="16"/>
                <w:szCs w:val="16"/>
                <w:color w:val="auto"/>
              </w:rPr>
              <w:t>(f)</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w:t>
            </w: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(g)</w:t>
            </w:r>
          </w:p>
        </w:tc>
        <w:tc>
          <w:tcPr>
            <w:tcW w:w="0" w:type="dxa"/>
            <w:vAlign w:val="bottom"/>
          </w:tcPr>
          <w:p>
            <w:pPr>
              <w:spacing w:after="0"/>
              <w:rPr>
                <w:sz w:val="1"/>
                <w:szCs w:val="1"/>
                <w:color w:val="auto"/>
              </w:rPr>
            </w:pPr>
          </w:p>
        </w:tc>
      </w:tr>
      <w:tr>
        <w:trPr>
          <w:trHeight w:val="19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Deficiency in the coverage of operating income</w:t>
            </w:r>
          </w:p>
        </w:tc>
        <w:tc>
          <w:tcPr>
            <w:tcW w:w="10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before fixed charges to total fixed charges</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16,620</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690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23"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02" w:lineRule="exact"/>
        <w:rPr>
          <w:rFonts w:ascii="Arial" w:cs="Arial" w:eastAsia="Arial" w:hAnsi="Arial"/>
          <w:sz w:val="18"/>
          <w:szCs w:val="18"/>
          <w:color w:val="auto"/>
        </w:rPr>
      </w:pPr>
    </w:p>
    <w:p>
      <w:pPr>
        <w:ind w:left="1040" w:hanging="519"/>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right="40" w:hanging="512"/>
        <w:spacing w:after="0" w:line="312" w:lineRule="auto"/>
        <w:tabs>
          <w:tab w:leader="none" w:pos="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2017 is presented after giving effect to (i) $6,582 of acquisition-related costs, (ii) $25,308 of expenses associated with the ERP system implementation, (iii) $11,354 of expenses related to office space reorganization and (iv) $202,546 relating to the benefit pursuant to the tax receivable agreement. Excluding the impact of such items, the ratio of earnings to fixed charges would have been 9.56.</w:t>
      </w:r>
    </w:p>
    <w:p>
      <w:pPr>
        <w:spacing w:after="0" w:line="38" w:lineRule="exact"/>
        <w:rPr>
          <w:rFonts w:ascii="Arial" w:cs="Arial" w:eastAsia="Arial" w:hAnsi="Arial"/>
          <w:sz w:val="16"/>
          <w:szCs w:val="16"/>
          <w:color w:val="auto"/>
        </w:rPr>
      </w:pPr>
    </w:p>
    <w:p>
      <w:pPr>
        <w:ind w:left="520" w:right="20" w:hanging="512"/>
        <w:spacing w:after="0" w:line="257"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2016 is presented after giving effect to (i) a charge of $3,148 associated with the redemption of the remaining portion of the 2017 Notes, (ii) $599 excess interest expense due to the period of time between the issuance of the 2027 Notes and the settlement of the redemption of the 2017 Notes, (iii) $34,092 of acquisition-related costs and (iv) $12,668 gain on the acquisition of MBA Lazard (which resulted from the increase in the fair value of the Company’s investment in MBA Lazard prior to the acquisition). Excluding the impact of such items, the ratio of earnings to fixed charges would have been 8.43.</w:t>
      </w:r>
    </w:p>
    <w:p>
      <w:pPr>
        <w:spacing w:after="0" w:line="80" w:lineRule="exact"/>
        <w:rPr>
          <w:rFonts w:ascii="Arial" w:cs="Arial" w:eastAsia="Arial" w:hAnsi="Arial"/>
          <w:sz w:val="18"/>
          <w:szCs w:val="18"/>
          <w:color w:val="auto"/>
        </w:rPr>
      </w:pPr>
    </w:p>
    <w:p>
      <w:pPr>
        <w:ind w:left="520" w:hanging="512"/>
        <w:spacing w:after="0"/>
        <w:tabs>
          <w:tab w:leader="none" w:pos="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(i) a charge of $60,219 associated with the redemption of</w:t>
      </w:r>
    </w:p>
    <w:p>
      <w:pPr>
        <w:spacing w:after="0" w:line="46" w:lineRule="exact"/>
        <w:rPr>
          <w:rFonts w:ascii="Arial" w:cs="Arial" w:eastAsia="Arial" w:hAnsi="Arial"/>
          <w:sz w:val="16"/>
          <w:szCs w:val="16"/>
          <w:color w:val="auto"/>
        </w:rPr>
      </w:pPr>
    </w:p>
    <w:p>
      <w:pPr>
        <w:ind w:left="520" w:right="20"/>
        <w:spacing w:after="0" w:line="295" w:lineRule="auto"/>
        <w:rPr>
          <w:rFonts w:ascii="Arial" w:cs="Arial" w:eastAsia="Arial" w:hAnsi="Arial"/>
          <w:sz w:val="16"/>
          <w:szCs w:val="16"/>
          <w:color w:val="auto"/>
        </w:rPr>
      </w:pPr>
      <w:r>
        <w:rPr>
          <w:rFonts w:ascii="Arial" w:cs="Arial" w:eastAsia="Arial" w:hAnsi="Arial"/>
          <w:sz w:val="16"/>
          <w:szCs w:val="16"/>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w:t>
      </w:r>
    </w:p>
    <w:p>
      <w:pPr>
        <w:spacing w:after="0" w:line="53" w:lineRule="exact"/>
        <w:rPr>
          <w:rFonts w:ascii="Arial" w:cs="Arial" w:eastAsia="Arial" w:hAnsi="Arial"/>
          <w:sz w:val="16"/>
          <w:szCs w:val="16"/>
          <w:color w:val="auto"/>
        </w:rPr>
      </w:pPr>
    </w:p>
    <w:p>
      <w:pPr>
        <w:ind w:left="520" w:hanging="512"/>
        <w:spacing w:after="0" w:line="259"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items, the ratio of earnings to fixed charges would have been 4.35.</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640"/>
              <w:spacing w:after="0"/>
              <w:rPr>
                <w:sz w:val="20"/>
                <w:szCs w:val="20"/>
                <w:color w:val="auto"/>
              </w:rPr>
            </w:pPr>
            <w:r>
              <w:rPr>
                <w:rFonts w:ascii="Arial" w:cs="Arial" w:eastAsia="Arial" w:hAnsi="Arial"/>
                <w:sz w:val="18"/>
                <w:szCs w:val="18"/>
                <w:b w:val="1"/>
                <w:bCs w:val="1"/>
                <w:color w:val="auto"/>
              </w:rPr>
              <w:t>SUBSIDIARIES OF REGISTRANT</w:t>
            </w:r>
          </w:p>
        </w:tc>
      </w:tr>
      <w:tr>
        <w:trPr>
          <w:trHeight w:val="36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 OF ORGANIZATION</w:t>
            </w:r>
          </w:p>
        </w:tc>
      </w:tr>
      <w:tr>
        <w:trPr>
          <w:trHeight w:val="317"/>
        </w:trPr>
        <w:tc>
          <w:tcPr>
            <w:tcW w:w="3680" w:type="dxa"/>
            <w:vAlign w:val="bottom"/>
          </w:tcPr>
          <w:p>
            <w:pPr>
              <w:spacing w:after="0"/>
              <w:rPr>
                <w:sz w:val="20"/>
                <w:szCs w:val="20"/>
                <w:color w:val="auto"/>
              </w:rPr>
            </w:pPr>
            <w:r>
              <w:rPr>
                <w:rFonts w:ascii="Arial" w:cs="Arial" w:eastAsia="Arial" w:hAnsi="Arial"/>
                <w:sz w:val="18"/>
                <w:szCs w:val="18"/>
                <w:color w:val="auto"/>
              </w:rPr>
              <w:t>Lazard Group LLC</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International Holdings, Inc.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&amp; Co.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Asset Management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Corp I</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Corp II</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Holdings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&amp; Co., Services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Compagnie Financière Lazard Frères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Gestion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Lazard Frères Banque SA</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Maison Lazard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LLtd Holding Sàrl</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Luxembourg</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LLtd 2 Sàrl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Luxembourg</w:t>
            </w:r>
          </w:p>
        </w:tc>
      </w:tr>
    </w:tbl>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333-126752, No. 333-154977, No. 333-193845 and No. 333-217597 each on Form S-8, and Registration Statement No. 333-210959 on Form S-3 of our reports dated February 26, 2018, relating to the consolidated financial statements and financial statement schedule of Lazard Ltd and subsidiaries (the “Company”), and the effectiveness of the Company’s internal control over financial reporting appearing in this Annual Report on Form 10-K of the Company for the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Kenneth M. Jacobs, certify that:</w:t>
      </w:r>
    </w:p>
    <w:p>
      <w:pPr>
        <w:spacing w:after="0" w:line="225" w:lineRule="exact"/>
        <w:rPr>
          <w:sz w:val="20"/>
          <w:szCs w:val="20"/>
          <w:color w:val="auto"/>
        </w:rPr>
      </w:pPr>
    </w:p>
    <w:p>
      <w:pPr>
        <w:ind w:left="780" w:hanging="174"/>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Lazard Ltd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Evan L. Russo, certify that:</w:t>
      </w:r>
    </w:p>
    <w:p>
      <w:pPr>
        <w:spacing w:after="0" w:line="225" w:lineRule="exact"/>
        <w:rPr>
          <w:sz w:val="20"/>
          <w:szCs w:val="20"/>
          <w:color w:val="auto"/>
        </w:rPr>
      </w:pPr>
    </w:p>
    <w:p>
      <w:pPr>
        <w:ind w:left="780" w:hanging="174"/>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Lazard Ltd (the “Registrant”);</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06"/>
        <w:spacing w:after="0" w:line="264" w:lineRule="auto"/>
        <w:tabs>
          <w:tab w:leader="none" w:pos="7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460" w:firstLine="572"/>
        <w:spacing w:after="0" w:line="264" w:lineRule="auto"/>
        <w:tabs>
          <w:tab w:leader="none" w:pos="1411"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240" w:firstLine="572"/>
        <w:spacing w:after="0" w:line="342" w:lineRule="auto"/>
        <w:tabs>
          <w:tab w:leader="none" w:pos="1411"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00" w:right="140" w:firstLine="572"/>
        <w:spacing w:after="0" w:line="264"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60" w:firstLine="606"/>
        <w:spacing w:after="0" w:line="308" w:lineRule="auto"/>
        <w:tabs>
          <w:tab w:leader="none" w:pos="77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520" w:firstLine="572"/>
        <w:spacing w:after="0" w:line="308" w:lineRule="auto"/>
        <w:tabs>
          <w:tab w:leader="none" w:pos="1411"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00" w:right="140" w:firstLine="572"/>
        <w:spacing w:after="0" w:line="277" w:lineRule="auto"/>
        <w:tabs>
          <w:tab w:leader="none" w:pos="1422"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1)"/>
      <w:numFmt w:val="decimal"/>
      <w:start w:val="2"/>
    </w:lvl>
  </w:abstractNum>
  <w:abstractNum w:abstractNumId="21">
    <w:nsid w:val="741226BB"/>
    <w:multiLevelType w:val="hybridMultilevel"/>
    <w:lvl w:ilvl="0">
      <w:lvlJc w:val="left"/>
      <w:lvlText w:val="(%1)"/>
      <w:numFmt w:val="lowerLetter"/>
      <w:start w:val="2"/>
    </w:lvl>
  </w:abstractNum>
  <w:abstractNum w:abstractNumId="22">
    <w:nsid w:val="D34B6A8"/>
    <w:multiLevelType w:val="hybridMultilevel"/>
    <w:lvl w:ilvl="0">
      <w:lvlJc w:val="left"/>
      <w:lvlText w:val="(%1)"/>
      <w:numFmt w:val="lowerLetter"/>
      <w:start w:val="3"/>
    </w:lvl>
  </w:abstractNum>
  <w:abstractNum w:abstractNumId="23">
    <w:nsid w:val="10233C99"/>
    <w:multiLevelType w:val="hybridMultilevel"/>
    <w:lvl w:ilvl="0">
      <w:lvlJc w:val="left"/>
      <w:lvlText w:val="(%1)"/>
      <w:numFmt w:val="lowerLetter"/>
      <w:start w:val="5"/>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lvl w:ilvl="1">
      <w:lvlJc w:val="left"/>
      <w:lvlText w:val="(%2)"/>
      <w:numFmt w:val="lowerRoman"/>
      <w:start w:val="1"/>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lowerLetter"/>
      <w:start w:val="1"/>
    </w:lvl>
  </w:abstractNum>
  <w:abstractNum w:abstractNumId="29">
    <w:nsid w:val="310C50B3"/>
    <w:multiLevelType w:val="hybridMultilevel"/>
    <w:lvl w:ilvl="0">
      <w:lvlJc w:val="left"/>
      <w:lvlText w:val="(%1)"/>
      <w:numFmt w:val="lowerLetter"/>
      <w:start w:val="2"/>
    </w:lvl>
  </w:abstractNum>
  <w:abstractNum w:abstractNumId="30">
    <w:nsid w:val="5FF87E05"/>
    <w:multiLevelType w:val="hybridMultilevel"/>
    <w:lvl w:ilvl="0">
      <w:lvlJc w:val="left"/>
      <w:lvlText w:val="(%1)"/>
      <w:numFmt w:val="lowerLetter"/>
      <w:start w:val="1"/>
    </w:lvl>
  </w:abstractNum>
  <w:abstractNum w:abstractNumId="31">
    <w:nsid w:val="2F305DEF"/>
    <w:multiLevelType w:val="hybridMultilevel"/>
    <w:lvl w:ilvl="0">
      <w:lvlJc w:val="left"/>
      <w:lvlText w:val="(%1)"/>
      <w:numFmt w:val="lowerRoman"/>
      <w:start w:val="2"/>
    </w:lvl>
  </w:abstractNum>
  <w:abstractNum w:abstractNumId="32">
    <w:nsid w:val="25A70BF7"/>
    <w:multiLevelType w:val="hybridMultilevel"/>
    <w:lvl w:ilvl="0">
      <w:lvlJc w:val="left"/>
      <w:lvlText w:val="(%1)"/>
      <w:numFmt w:val="lowerLetter"/>
      <w:start w:val="1"/>
    </w:lvl>
  </w:abstractNum>
  <w:abstractNum w:abstractNumId="33">
    <w:nsid w:val="1DBABF00"/>
    <w:multiLevelType w:val="hybridMultilevel"/>
    <w:lvl w:ilvl="0">
      <w:lvlJc w:val="left"/>
      <w:lvlText w:val="(%1)"/>
      <w:numFmt w:val="lowerLetter"/>
      <w:start w:val="1"/>
    </w:lvl>
  </w:abstractNum>
  <w:abstractNum w:abstractNumId="34">
    <w:nsid w:val="4AD084E9"/>
    <w:multiLevelType w:val="hybridMultilevel"/>
    <w:lvl w:ilvl="0">
      <w:lvlJc w:val="left"/>
      <w:lvlText w:val="(%1)"/>
      <w:numFmt w:val="lowerLetter"/>
      <w:start w:val="2"/>
    </w:lvl>
  </w:abstractNum>
  <w:abstractNum w:abstractNumId="35">
    <w:nsid w:val="1F48EAA1"/>
    <w:multiLevelType w:val="hybridMultilevel"/>
    <w:lvl w:ilvl="0">
      <w:lvlJc w:val="left"/>
      <w:lvlText w:val="(%1)"/>
      <w:numFmt w:val="lowerLetter"/>
      <w:start w:val="1"/>
    </w:lvl>
  </w:abstractNum>
  <w:abstractNum w:abstractNumId="36">
    <w:nsid w:val="1381823A"/>
    <w:multiLevelType w:val="hybridMultilevel"/>
    <w:lvl w:ilvl="0">
      <w:lvlJc w:val="left"/>
      <w:lvlText w:val="(%1)"/>
      <w:numFmt w:val="lowerLetter"/>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lowerLetter"/>
      <w:start w:val="1"/>
    </w:lvl>
  </w:abstractNum>
  <w:abstractNum w:abstractNumId="41">
    <w:nsid w:val="5F5E7FD0"/>
    <w:multiLevelType w:val="hybridMultilevel"/>
    <w:lvl w:ilvl="0">
      <w:lvlJc w:val="left"/>
      <w:lvlText w:val="(%1)"/>
      <w:numFmt w:val="lowerLetter"/>
      <w:start w:val="2"/>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1)"/>
      <w:numFmt w:val="lowerRoman"/>
      <w:start w:val="3"/>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decimal"/>
      <w:start w:val="2"/>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decimal"/>
      <w:start w:val="3"/>
    </w:lvl>
  </w:abstractNum>
  <w:abstractNum w:abstractNumId="54">
    <w:nsid w:val="BF72B14"/>
    <w:multiLevelType w:val="hybridMultilevel"/>
    <w:lvl w:ilvl="0">
      <w:lvlJc w:val="left"/>
      <w:lvlText w:val="%1."/>
      <w:numFmt w:val="decimal"/>
      <w:start w:val="4"/>
    </w:lvl>
  </w:abstractNum>
  <w:abstractNum w:abstractNumId="55">
    <w:nsid w:val="11447B73"/>
    <w:multiLevelType w:val="hybridMultilevel"/>
    <w:lvl w:ilvl="0">
      <w:lvlJc w:val="left"/>
      <w:lvlText w:val="%1."/>
      <w:numFmt w:val="decimal"/>
      <w:start w:val="5"/>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decimal"/>
      <w:start w:val="6"/>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decimal"/>
      <w:start w:val="7"/>
    </w:lvl>
  </w:abstractNum>
  <w:abstractNum w:abstractNumId="62">
    <w:nsid w:val="4962813B"/>
    <w:multiLevelType w:val="hybridMultilevel"/>
    <w:lvl w:ilvl="0">
      <w:lvlJc w:val="left"/>
      <w:lvlText w:val="(%1)"/>
      <w:numFmt w:val="lowerLetter"/>
      <w:start w:val="1"/>
    </w:lvl>
  </w:abstractNum>
  <w:abstractNum w:abstractNumId="63">
    <w:nsid w:val="60B6DF70"/>
    <w:multiLevelType w:val="hybridMultilevel"/>
    <w:lvl w:ilvl="0">
      <w:lvlJc w:val="left"/>
      <w:lvlText w:val="%1."/>
      <w:numFmt w:val="decimal"/>
      <w:start w:val="8"/>
    </w:lvl>
  </w:abstractNum>
  <w:abstractNum w:abstractNumId="64">
    <w:nsid w:val="6A5EE64"/>
    <w:multiLevelType w:val="hybridMultilevel"/>
    <w:lvl w:ilvl="0">
      <w:lvlJc w:val="left"/>
      <w:lvlText w:val="%1."/>
      <w:numFmt w:val="decimal"/>
      <w:start w:val="9"/>
    </w:lvl>
  </w:abstractNum>
  <w:abstractNum w:abstractNumId="65">
    <w:nsid w:val="14330624"/>
    <w:multiLevelType w:val="hybridMultilevel"/>
    <w:lvl w:ilvl="0">
      <w:lvlJc w:val="left"/>
      <w:lvlText w:val="(%1)"/>
      <w:numFmt w:val="lowerLetter"/>
      <w:start w:val="1"/>
    </w:lvl>
  </w:abstractNum>
  <w:abstractNum w:abstractNumId="66">
    <w:nsid w:val="7FFFCA11"/>
    <w:multiLevelType w:val="hybridMultilevel"/>
    <w:lvl w:ilvl="0">
      <w:lvlJc w:val="left"/>
      <w:lvlText w:val="%1."/>
      <w:numFmt w:val="decimal"/>
      <w:start w:val="10"/>
    </w:lvl>
  </w:abstractNum>
  <w:abstractNum w:abstractNumId="67">
    <w:nsid w:val="1A27709E"/>
    <w:multiLevelType w:val="hybridMultilevel"/>
    <w:lvl w:ilvl="0">
      <w:lvlJc w:val="left"/>
      <w:lvlText w:val="%1."/>
      <w:numFmt w:val="decimal"/>
      <w:start w:val="11"/>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decimal"/>
      <w:start w:val="12"/>
    </w:lvl>
  </w:abstractNum>
  <w:abstractNum w:abstractNumId="70">
    <w:nsid w:val="7FB7E0AA"/>
    <w:multiLevelType w:val="hybridMultilevel"/>
    <w:lvl w:ilvl="0">
      <w:lvlJc w:val="left"/>
      <w:lvlText w:val="%1."/>
      <w:numFmt w:val="decimal"/>
      <w:start w:val="13"/>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decimal"/>
      <w:start w:val="14"/>
    </w:lvl>
  </w:abstractNum>
  <w:abstractNum w:abstractNumId="73">
    <w:nsid w:val="94211F2"/>
    <w:multiLevelType w:val="hybridMultilevel"/>
    <w:lvl w:ilvl="0">
      <w:lvlJc w:val="left"/>
      <w:lvlText w:val="(%1)"/>
      <w:numFmt w:val="lowerLetter"/>
      <w:start w:val="1"/>
    </w:lvl>
  </w:abstractNum>
  <w:abstractNum w:abstractNumId="74">
    <w:nsid w:val="885E1B"/>
    <w:multiLevelType w:val="hybridMultilevel"/>
    <w:lvl w:ilvl="0">
      <w:lvlJc w:val="left"/>
      <w:lvlText w:val="%1."/>
      <w:numFmt w:val="decimal"/>
      <w:start w:val="15"/>
    </w:lvl>
  </w:abstractNum>
  <w:abstractNum w:abstractNumId="75">
    <w:nsid w:val="76272110"/>
    <w:multiLevelType w:val="hybridMultilevel"/>
    <w:lvl w:ilvl="0">
      <w:lvlJc w:val="left"/>
      <w:lvlText w:val="(%1)"/>
      <w:numFmt w:val="lowerLetter"/>
      <w:start w:val="1"/>
    </w:lvl>
  </w:abstractNum>
  <w:abstractNum w:abstractNumId="76">
    <w:nsid w:val="4C04A8AF"/>
    <w:multiLevelType w:val="hybridMultilevel"/>
    <w:lvl w:ilvl="0">
      <w:lvlJc w:val="left"/>
      <w:lvlText w:val="%1."/>
      <w:numFmt w:val="decimal"/>
      <w:start w:val="16"/>
    </w:lvl>
  </w:abstractNum>
  <w:abstractNum w:abstractNumId="77">
    <w:nsid w:val="1716703B"/>
    <w:multiLevelType w:val="hybridMultilevel"/>
    <w:lvl w:ilvl="0">
      <w:lvlJc w:val="left"/>
      <w:lvlText w:val="(%1)"/>
      <w:numFmt w:val="low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lowerLetter"/>
      <w:start w:val="1"/>
    </w:lvl>
  </w:abstractNum>
  <w:abstractNum w:abstractNumId="80">
    <w:nsid w:val="74DE0EE3"/>
    <w:multiLevelType w:val="hybridMultilevel"/>
    <w:lvl w:ilvl="0">
      <w:lvlJc w:val="left"/>
      <w:lvlText w:val="(%1)"/>
      <w:numFmt w:val="lowerRoman"/>
      <w:start w:val="1"/>
    </w:lvl>
  </w:abstractNum>
  <w:abstractNum w:abstractNumId="81">
    <w:nsid w:val="68EBC550"/>
    <w:multiLevelType w:val="hybridMultilevel"/>
    <w:lvl w:ilvl="0">
      <w:lvlJc w:val="left"/>
      <w:lvlText w:val="%1."/>
      <w:numFmt w:val="decimal"/>
      <w:start w:val="17"/>
    </w:lvl>
  </w:abstractNum>
  <w:abstractNum w:abstractNumId="82">
    <w:nsid w:val="2DF6D648"/>
    <w:multiLevelType w:val="hybridMultilevel"/>
    <w:lvl w:ilvl="0">
      <w:lvlJc w:val="left"/>
      <w:lvlText w:val="%1."/>
      <w:numFmt w:val="decimal"/>
      <w:start w:val="18"/>
    </w:lvl>
  </w:abstractNum>
  <w:abstractNum w:abstractNumId="83">
    <w:nsid w:val="46B7D447"/>
    <w:multiLevelType w:val="hybridMultilevel"/>
    <w:lvl w:ilvl="0">
      <w:lvlJc w:val="left"/>
      <w:lvlText w:val="(%1)"/>
      <w:numFmt w:val="lowerRoman"/>
      <w:start w:val="1"/>
    </w:lvl>
  </w:abstractNum>
  <w:abstractNum w:abstractNumId="84">
    <w:nsid w:val="4A2AC315"/>
    <w:multiLevelType w:val="hybridMultilevel"/>
    <w:lvl w:ilvl="0">
      <w:lvlJc w:val="left"/>
      <w:lvlText w:val="%1."/>
      <w:numFmt w:val="decimal"/>
      <w:start w:val="19"/>
    </w:lvl>
  </w:abstractNum>
  <w:abstractNum w:abstractNumId="85">
    <w:nsid w:val="39EE015C"/>
    <w:multiLevelType w:val="hybridMultilevel"/>
    <w:lvl w:ilvl="0">
      <w:lvlJc w:val="left"/>
      <w:lvlText w:val="%1."/>
      <w:numFmt w:val="decimal"/>
      <w:start w:val="20"/>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lowerLetter"/>
      <w:start w:val="2"/>
    </w:lvl>
  </w:abstractNum>
  <w:abstractNum w:abstractNumId="89">
    <w:nsid w:val="60EF0119"/>
    <w:multiLevelType w:val="hybridMultilevel"/>
    <w:lvl w:ilvl="0">
      <w:lvlJc w:val="left"/>
      <w:lvlText w:val="(%1)"/>
      <w:numFmt w:val="lowerLetter"/>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3"/>
    </w:lvl>
  </w:abstractNum>
  <w:abstractNum w:abstractNumId="92">
    <w:nsid w:val="49DA307D"/>
    <w:multiLevelType w:val="hybridMultilevel"/>
    <w:lvl w:ilvl="0">
      <w:lvlJc w:val="left"/>
      <w:lvlText w:val="(%1)"/>
      <w:numFmt w:val="lowerLetter"/>
      <w:start w:val="1"/>
    </w:lvl>
    <w:lvl w:ilvl="1">
      <w:lvlJc w:val="left"/>
      <w:lvlText w:val="%2."/>
      <w:numFmt w:val="decimal"/>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lowerLetter"/>
      <w:start w:val="1"/>
    </w:lvl>
    <w:lvl w:ilvl="1">
      <w:lvlJc w:val="left"/>
      <w:lvlText w:val="•"/>
      <w:numFmt w:val="bullet"/>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181" Type="http://schemas.openxmlformats.org/officeDocument/2006/relationships/hyperlink" Target="http://www.sec.gov/Archives/edgar/data/1311370/000119312505056426/dex31.htm" TargetMode="External"/><Relationship Id="rId182" Type="http://schemas.openxmlformats.org/officeDocument/2006/relationships/hyperlink" Target="http://www.sec.gov/Archives/edgar/data/1311370/000119312505056426/dex32.htm" TargetMode="External"/><Relationship Id="rId183" Type="http://schemas.openxmlformats.org/officeDocument/2006/relationships/hyperlink" Target="http://www.sec.gov/Archives/edgar/data/1311370/000119312505126336/dex33.htm" TargetMode="External"/><Relationship Id="rId184" Type="http://schemas.openxmlformats.org/officeDocument/2006/relationships/hyperlink" Target="http://www.sec.gov/Archives/edgar/data/1311370/000119312508108332/dex34.htm" TargetMode="External"/><Relationship Id="rId185" Type="http://schemas.openxmlformats.org/officeDocument/2006/relationships/hyperlink" Target="http://www.sec.gov/Archives/edgar/data/1311370/000119312510102269/dex35.htm" TargetMode="External"/><Relationship Id="rId186" Type="http://schemas.openxmlformats.org/officeDocument/2006/relationships/hyperlink" Target="http://www.sec.gov/Archives/edgar/data/1311370/000119312505073325/dex41.htm" TargetMode="External"/><Relationship Id="rId187" Type="http://schemas.openxmlformats.org/officeDocument/2006/relationships/hyperlink" Target="http://www.sec.gov/Archives/edgar/data/1326141/000119312505145683/dex41.htm" TargetMode="External"/><Relationship Id="rId188" Type="http://schemas.openxmlformats.org/officeDocument/2006/relationships/hyperlink" Target="http://www.sec.gov/Archives/edgar/data/1311370/000119312507140226/dex41.htm" TargetMode="External"/><Relationship Id="rId189" Type="http://schemas.openxmlformats.org/officeDocument/2006/relationships/hyperlink" Target="http://www.sec.gov/Archives/edgar/data/1311370/000119312513442315/d627962dex41.htm" TargetMode="External"/><Relationship Id="rId190" Type="http://schemas.openxmlformats.org/officeDocument/2006/relationships/hyperlink" Target="http://www.sec.gov/Archives/edgar/data/1311370/000119312515050385/d871111dex41.htm" TargetMode="External"/><Relationship Id="rId191" Type="http://schemas.openxmlformats.org/officeDocument/2006/relationships/hyperlink" Target="http://www.sec.gov/Archives/edgar/data/1311370/000119312516760477/d43064dex41.htm" TargetMode="External"/><Relationship Id="rId194" Type="http://schemas.openxmlformats.org/officeDocument/2006/relationships/hyperlink" Target="http://www.sec.gov/Archives/edgar/data/1311370/000119312515355042/d41332dex101.htm" TargetMode="External"/><Relationship Id="rId195" Type="http://schemas.openxmlformats.org/officeDocument/2006/relationships/hyperlink" Target="http://www.sec.gov/Archives/edgar/data/1311370/000156459016026505/laz-ex102_1418.htm" TargetMode="External"/><Relationship Id="rId196" Type="http://schemas.openxmlformats.org/officeDocument/2006/relationships/hyperlink" Target="http://www.sec.gov/Archives/edgar/data/1311370/000119312515355042/d41332dex102.htm" TargetMode="External"/><Relationship Id="rId197" Type="http://schemas.openxmlformats.org/officeDocument/2006/relationships/hyperlink" Target="http://www.sec.gov/Archives/edgar/data/1311370/000119312505025486/dex1019.htm" TargetMode="External"/><Relationship Id="rId198" Type="http://schemas.openxmlformats.org/officeDocument/2006/relationships/hyperlink" Target="http://www.sec.gov/Archives/edgar/data/1311370/000119312511117012/dex1016.htm" TargetMode="External"/><Relationship Id="rId199" Type="http://schemas.openxmlformats.org/officeDocument/2006/relationships/hyperlink" Target="http://www.sec.gov/Archives/edgar/data/1311370/000119312505025486/dex1021.htm" TargetMode="External"/><Relationship Id="rId200" Type="http://schemas.openxmlformats.org/officeDocument/2006/relationships/hyperlink" Target="http://www.sec.gov/Archives/edgar/data/1311370/000119312505091140/dex1021.htm" TargetMode="External"/><Relationship Id="rId201" Type="http://schemas.openxmlformats.org/officeDocument/2006/relationships/hyperlink" Target="http://www.sec.gov/Archives/edgar/data/1311370/000119312508063107/ddef14a.htm" TargetMode="External"/><Relationship Id="rId202" Type="http://schemas.openxmlformats.org/officeDocument/2006/relationships/hyperlink" Target="http://www.sec.gov/Archives/edgar/data/1311370/000119312516500308/d128121ddef14a.htm" TargetMode="External"/><Relationship Id="rId203" Type="http://schemas.openxmlformats.org/officeDocument/2006/relationships/hyperlink" Target="http://www.sec.gov/Archives/edgar/data/1311370/000119312516556959/d150073dex109.htm" TargetMode="External"/><Relationship Id="rId204" Type="http://schemas.openxmlformats.org/officeDocument/2006/relationships/hyperlink" Target="http://www.sec.gov/Archives/edgar/data/1311370/000119312516556959/d150073dex1010.htm" TargetMode="External"/><Relationship Id="rId205" Type="http://schemas.openxmlformats.org/officeDocument/2006/relationships/hyperlink" Target="http://www.sec.gov/Archives/edgar/data/1311370/000119312516556959/d150073dex1011.htm" TargetMode="External"/><Relationship Id="rId206" Type="http://schemas.openxmlformats.org/officeDocument/2006/relationships/hyperlink" Target="http://www.sec.gov/Archives/edgar/data/1311370/000119312516556959/d150073dex1012.htm" TargetMode="External"/><Relationship Id="rId209" Type="http://schemas.openxmlformats.org/officeDocument/2006/relationships/hyperlink" Target="http://www.sec.gov/Archives/edgar/data/1311370/000156459017020405/laz-ex1014_1108.htm" TargetMode="External"/><Relationship Id="rId210" Type="http://schemas.openxmlformats.org/officeDocument/2006/relationships/hyperlink" Target="http://www.sec.gov/Archives/edgar/data/1311370/000156459017020405/laz-ex1015_1109.htm" TargetMode="External"/><Relationship Id="rId211" Type="http://schemas.openxmlformats.org/officeDocument/2006/relationships/hyperlink" Target="http://www.sec.gov/Archives/edgar/data/1311370/000119312516556959/d150073dex1013.htm" TargetMode="External"/><Relationship Id="rId212" Type="http://schemas.openxmlformats.org/officeDocument/2006/relationships/hyperlink" Target="http://www.sec.gov/Archives/edgar/data/1311370/000089882205001180/sept9_exhibit.txt" TargetMode="External"/><Relationship Id="rId213" Type="http://schemas.openxmlformats.org/officeDocument/2006/relationships/hyperlink" Target="http://www.sec.gov/Archives/edgar/data/1311370/000119312509041325/dex1041.htm" TargetMode="External"/><Relationship Id="rId214" Type="http://schemas.openxmlformats.org/officeDocument/2006/relationships/hyperlink" Target="http://www.sec.gov/Archives/edgar/data/1311370/000119312509041325/dex1042.htm" TargetMode="External"/><Relationship Id="rId215" Type="http://schemas.openxmlformats.org/officeDocument/2006/relationships/hyperlink" Target="http://www.sec.gov/Archives/edgar/data/1311370/000119312506109044/dex1039.htm" TargetMode="External"/><Relationship Id="rId216" Type="http://schemas.openxmlformats.org/officeDocument/2006/relationships/hyperlink" Target="http://www.sec.gov/Archives/edgar/data/1311370/000119312515355042/d41332dex1027.htm" TargetMode="External"/><Relationship Id="rId217" Type="http://schemas.openxmlformats.org/officeDocument/2006/relationships/hyperlink" Target="http://www.sec.gov/Archives/edgar/data/1311370/000119312513188120/d498095dex1055.htm" TargetMode="External"/><Relationship Id="rId218" Type="http://schemas.openxmlformats.org/officeDocument/2006/relationships/hyperlink" Target="http://www.sec.gov/Archives/edgar/data/1311370/000119312514184963/d687179dex1055.htm" TargetMode="External"/><Relationship Id="rId219" Type="http://schemas.openxmlformats.org/officeDocument/2006/relationships/hyperlink" Target="http://www.sec.gov/Archives/edgar/data/1311370/000119312514184963/d687179dex1056.htm" TargetMode="External"/><Relationship Id="rId220" Type="http://schemas.openxmlformats.org/officeDocument/2006/relationships/hyperlink" Target="http://www.sec.gov/Archives/edgar/data/1311370/000119312510102269/dex1055.htm" TargetMode="External"/><Relationship Id="rId221" Type="http://schemas.openxmlformats.org/officeDocument/2006/relationships/hyperlink" Target="http://www.sec.gov/Archives/edgar/data/1311370/000119312511117012/d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2019-12-29T00:36:46Z</dcterms:created>
  <dcterms:modified xsi:type="dcterms:W3CDTF">2019-12-29T00:36:46Z</dcterms:modified>
</cp:coreProperties>
</file>