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22225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 w:lineRule="exact"/>
        <w:rPr>
          <w:sz w:val="24"/>
          <w:szCs w:val="24"/>
          <w:color w:val="auto"/>
        </w:rPr>
      </w:pPr>
    </w:p>
    <w:p>
      <w:pPr>
        <w:ind w:left="760" w:right="4740" w:hanging="752"/>
        <w:spacing w:after="0" w:line="283" w:lineRule="auto"/>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760" w:right="4420" w:hanging="752"/>
        <w:spacing w:after="0" w:line="32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4220" w:type="dxa"/>
        <w:tblCellMar>
          <w:top w:w="0" w:type="dxa"/>
          <w:left w:w="0" w:type="dxa"/>
          <w:bottom w:w="0" w:type="dxa"/>
          <w:right w:w="0" w:type="dxa"/>
        </w:tblCellMar>
      </w:tblPr>
      <w:tr>
        <w:trPr>
          <w:trHeight w:val="159"/>
        </w:trPr>
        <w:tc>
          <w:tcPr>
            <w:tcW w:w="27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001-32492</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18"/>
        </w:trPr>
        <w:tc>
          <w:tcPr>
            <w:tcW w:w="4400" w:type="dxa"/>
            <w:vAlign w:val="bottom"/>
          </w:tcPr>
          <w:p>
            <w:pPr>
              <w:spacing w:after="0"/>
              <w:rPr>
                <w:sz w:val="24"/>
                <w:szCs w:val="24"/>
                <w:color w:val="auto"/>
              </w:rPr>
            </w:pPr>
          </w:p>
        </w:tc>
        <w:tc>
          <w:tcPr>
            <w:tcW w:w="3060" w:type="dxa"/>
            <w:vAlign w:val="bottom"/>
            <w:gridSpan w:val="4"/>
          </w:tcPr>
          <w:p>
            <w:pPr>
              <w:jc w:val="center"/>
              <w:ind w:right="420"/>
              <w:spacing w:after="0"/>
              <w:rPr>
                <w:sz w:val="20"/>
                <w:szCs w:val="20"/>
                <w:color w:val="auto"/>
              </w:rPr>
            </w:pPr>
            <w:r>
              <w:rPr>
                <w:rFonts w:ascii="Arial" w:cs="Arial" w:eastAsia="Arial" w:hAnsi="Arial"/>
                <w:sz w:val="34"/>
                <w:szCs w:val="34"/>
                <w:b w:val="1"/>
                <w:bCs w:val="1"/>
                <w:color w:val="auto"/>
              </w:rPr>
              <w:t>LAZARD LTD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3060" w:type="dxa"/>
            <w:vAlign w:val="bottom"/>
            <w:gridSpan w:val="4"/>
          </w:tcPr>
          <w:p>
            <w:pPr>
              <w:jc w:val="center"/>
              <w:ind w:right="440"/>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746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5"/>
              </w:rPr>
              <w:t>Bermuda</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jc w:val="right"/>
              <w:ind w:right="2368"/>
              <w:spacing w:after="0"/>
              <w:rPr>
                <w:sz w:val="20"/>
                <w:szCs w:val="20"/>
                <w:color w:val="auto"/>
              </w:rPr>
            </w:pPr>
            <w:r>
              <w:rPr>
                <w:rFonts w:ascii="Arial" w:cs="Arial" w:eastAsia="Arial" w:hAnsi="Arial"/>
                <w:sz w:val="14"/>
                <w:szCs w:val="14"/>
                <w:b w:val="1"/>
                <w:bCs w:val="1"/>
                <w:color w:val="auto"/>
              </w:rPr>
              <w:t>98-0437848</w:t>
            </w:r>
          </w:p>
        </w:tc>
        <w:tc>
          <w:tcPr>
            <w:tcW w:w="0" w:type="dxa"/>
            <w:vAlign w:val="bottom"/>
          </w:tcPr>
          <w:p>
            <w:pPr>
              <w:spacing w:after="0"/>
              <w:rPr>
                <w:sz w:val="1"/>
                <w:szCs w:val="1"/>
                <w:color w:val="auto"/>
              </w:rPr>
            </w:pPr>
          </w:p>
        </w:tc>
      </w:tr>
      <w:tr>
        <w:trPr>
          <w:trHeight w:val="135"/>
        </w:trPr>
        <w:tc>
          <w:tcPr>
            <w:tcW w:w="7460" w:type="dxa"/>
            <w:vAlign w:val="bottom"/>
            <w:gridSpan w:val="5"/>
          </w:tcPr>
          <w:p>
            <w:pPr>
              <w:jc w:val="center"/>
              <w:ind w:right="1740"/>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3960" w:type="dxa"/>
            <w:vAlign w:val="bottom"/>
            <w:gridSpan w:val="3"/>
          </w:tcPr>
          <w:p>
            <w:pPr>
              <w:jc w:val="right"/>
              <w:ind w:right="1888"/>
              <w:spacing w:after="0" w:line="135" w:lineRule="exact"/>
              <w:rPr>
                <w:sz w:val="20"/>
                <w:szCs w:val="20"/>
                <w:color w:val="auto"/>
              </w:rPr>
            </w:pPr>
            <w:r>
              <w:rPr>
                <w:rFonts w:ascii="Arial" w:cs="Arial" w:eastAsia="Arial" w:hAnsi="Arial"/>
                <w:sz w:val="12"/>
                <w:szCs w:val="12"/>
                <w:b w:val="1"/>
                <w:bCs w:val="1"/>
                <w:color w:val="auto"/>
              </w:rPr>
              <w:t>(I.R.S. Employer Identification No.)</w:t>
            </w:r>
          </w:p>
        </w:tc>
        <w:tc>
          <w:tcPr>
            <w:tcW w:w="0" w:type="dxa"/>
            <w:vAlign w:val="bottom"/>
          </w:tcPr>
          <w:p>
            <w:pPr>
              <w:spacing w:after="0"/>
              <w:rPr>
                <w:sz w:val="1"/>
                <w:szCs w:val="1"/>
                <w:color w:val="auto"/>
              </w:rPr>
            </w:pPr>
          </w:p>
        </w:tc>
      </w:tr>
      <w:tr>
        <w:trPr>
          <w:trHeight w:val="150"/>
        </w:trPr>
        <w:tc>
          <w:tcPr>
            <w:tcW w:w="7460" w:type="dxa"/>
            <w:vAlign w:val="bottom"/>
            <w:gridSpan w:val="5"/>
          </w:tcPr>
          <w:p>
            <w:pPr>
              <w:jc w:val="center"/>
              <w:ind w:right="1740"/>
              <w:spacing w:after="0"/>
              <w:rPr>
                <w:sz w:val="20"/>
                <w:szCs w:val="20"/>
                <w:color w:val="auto"/>
              </w:rPr>
            </w:pPr>
            <w:r>
              <w:rPr>
                <w:rFonts w:ascii="Arial" w:cs="Arial" w:eastAsia="Arial" w:hAnsi="Arial"/>
                <w:sz w:val="12"/>
                <w:szCs w:val="12"/>
                <w:b w:val="1"/>
                <w:bCs w:val="1"/>
                <w:color w:val="auto"/>
                <w:w w:val="90"/>
              </w:rPr>
              <w:t>or Organization)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Clarendon House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2 Church Street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Hamilton HM11, Bermuda</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0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gridSpan w:val="5"/>
          </w:tcPr>
          <w:p>
            <w:pPr>
              <w:jc w:val="center"/>
              <w:ind w:left="3912"/>
              <w:spacing w:after="0"/>
              <w:rPr>
                <w:sz w:val="20"/>
                <w:szCs w:val="20"/>
                <w:color w:val="auto"/>
              </w:rPr>
            </w:pPr>
            <w:r>
              <w:rPr>
                <w:rFonts w:ascii="Arial" w:cs="Arial" w:eastAsia="Arial" w:hAnsi="Arial"/>
                <w:sz w:val="14"/>
                <w:szCs w:val="14"/>
                <w:b w:val="1"/>
                <w:bCs w:val="1"/>
                <w:color w:val="auto"/>
                <w:w w:val="92"/>
              </w:rPr>
              <w:t>Registrant’s telephone number: (441) 295-1422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40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460" w:type="dxa"/>
            <w:vAlign w:val="bottom"/>
            <w:gridSpan w:val="5"/>
          </w:tcPr>
          <w:p>
            <w:pPr>
              <w:jc w:val="center"/>
              <w:ind w:left="3892"/>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gridSpan w:val="5"/>
          </w:tcPr>
          <w:p>
            <w:pPr>
              <w:jc w:val="center"/>
              <w:ind w:right="1860"/>
              <w:spacing w:after="0"/>
              <w:rPr>
                <w:sz w:val="20"/>
                <w:szCs w:val="20"/>
                <w:color w:val="auto"/>
              </w:rPr>
            </w:pPr>
            <w:r>
              <w:rPr>
                <w:rFonts w:ascii="Arial" w:cs="Arial" w:eastAsia="Arial" w:hAnsi="Arial"/>
                <w:sz w:val="12"/>
                <w:szCs w:val="12"/>
                <w:b w:val="1"/>
                <w:bCs w:val="1"/>
                <w:color w:val="auto"/>
                <w:w w:val="85"/>
              </w:rPr>
              <w:t>Title of each class</w:t>
            </w:r>
          </w:p>
        </w:tc>
        <w:tc>
          <w:tcPr>
            <w:tcW w:w="3960" w:type="dxa"/>
            <w:vAlign w:val="bottom"/>
            <w:gridSpan w:val="3"/>
          </w:tcPr>
          <w:p>
            <w:pPr>
              <w:jc w:val="right"/>
              <w:ind w:right="1568"/>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180"/>
        </w:trPr>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Class A Common Stock, par value $0.01 per share</w:t>
            </w:r>
          </w:p>
        </w:tc>
        <w:tc>
          <w:tcPr>
            <w:tcW w:w="240" w:type="dxa"/>
            <w:vAlign w:val="bottom"/>
          </w:tcPr>
          <w:p>
            <w:pPr>
              <w:spacing w:after="0"/>
              <w:rPr>
                <w:sz w:val="15"/>
                <w:szCs w:val="15"/>
                <w:color w:val="auto"/>
              </w:rPr>
            </w:pPr>
          </w:p>
        </w:tc>
        <w:tc>
          <w:tcPr>
            <w:tcW w:w="16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34"/>
        </w:trPr>
        <w:tc>
          <w:tcPr>
            <w:tcW w:w="7760" w:type="dxa"/>
            <w:vAlign w:val="bottom"/>
            <w:gridSpan w:val="6"/>
          </w:tcPr>
          <w:p>
            <w:pPr>
              <w:jc w:val="center"/>
              <w:ind w:left="3612"/>
              <w:spacing w:after="0"/>
              <w:rPr>
                <w:sz w:val="20"/>
                <w:szCs w:val="20"/>
                <w:color w:val="auto"/>
              </w:rPr>
            </w:pPr>
            <w:r>
              <w:rPr>
                <w:rFonts w:ascii="Arial" w:cs="Arial" w:eastAsia="Arial" w:hAnsi="Arial"/>
                <w:sz w:val="14"/>
                <w:szCs w:val="14"/>
                <w:color w:val="auto"/>
                <w:w w:val="92"/>
              </w:rPr>
              <w:t>Securities Registered Pursuant to Section 12(g) of the Act: None</w:t>
            </w: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440" w:type="dxa"/>
            <w:vAlign w:val="bottom"/>
            <w:vMerge w:val="restart"/>
          </w:tcPr>
          <w:p>
            <w:pPr>
              <w:jc w:val="right"/>
              <w:ind w:right="28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3440" w:type="dxa"/>
            <w:vAlign w:val="bottom"/>
          </w:tcPr>
          <w:p>
            <w:pPr>
              <w:jc w:val="right"/>
              <w:ind w:right="32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6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340" w:firstLine="598"/>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6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56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55" w:right="239" w:bottom="1440" w:gutter="0" w:footer="0" w:header="0"/>
        </w:sectPr>
      </w:pPr>
    </w:p>
    <w:p>
      <w:pPr>
        <w:spacing w:after="0" w:line="39" w:lineRule="exact"/>
        <w:rPr>
          <w:sz w:val="24"/>
          <w:szCs w:val="24"/>
          <w:color w:val="auto"/>
        </w:rPr>
      </w:pPr>
    </w:p>
    <w:p>
      <w:pPr>
        <w:ind w:left="6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4">
            <w:col w:w="1900" w:space="60"/>
            <w:col w:w="2000" w:space="720"/>
            <w:col w:w="960" w:space="80"/>
            <w:col w:w="5700"/>
          </w:cols>
          <w:pgMar w:left="240" w:top="355" w:right="239" w:bottom="1440" w:gutter="0" w:footer="0" w:header="0"/>
          <w:type w:val="continuous"/>
        </w:sectPr>
      </w:pPr>
    </w:p>
    <w:p>
      <w:pPr>
        <w:spacing w:after="0" w:line="28" w:lineRule="exact"/>
        <w:rPr>
          <w:sz w:val="24"/>
          <w:szCs w:val="24"/>
          <w:color w:val="auto"/>
        </w:rPr>
      </w:pPr>
    </w:p>
    <w:p>
      <w:pPr>
        <w:ind w:left="6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1820" w:space="80"/>
            <w:col w:w="2060" w:space="720"/>
            <w:col w:w="1580" w:space="60"/>
            <w:col w:w="5100"/>
          </w:cols>
          <w:pgMar w:left="240" w:top="355" w:right="239" w:bottom="1440" w:gutter="0" w:footer="0" w:header="0"/>
          <w:type w:val="continuous"/>
        </w:sectPr>
      </w:pPr>
    </w:p>
    <w:p>
      <w:pPr>
        <w:ind w:left="60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aggregate market value of the common stock held by non-affiliates of the Registrant as of June 30, 2016 was approximately $3,588,095,855.</w:t>
      </w:r>
    </w:p>
    <w:p>
      <w:pPr>
        <w:spacing w:after="0" w:line="28"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31, 2017, there were 129,766,091 shares of the Registrant’s Class A common stock outstanding (including 8,080,055 shares held by subsidiaries).</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13"/>
          <w:szCs w:val="13"/>
          <w:color w:val="auto"/>
        </w:rPr>
        <w:t>Portions of the Registrant’s proxy statement for its 2017 annual general meeting of shareholders are incorporated by reference in this Form 10-K in response to Part III Items 10, 11, 12, 13</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Form 10-K Item Number</w:t>
            </w: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80" w:type="dxa"/>
            <w:vAlign w:val="bottom"/>
            <w:gridSpan w:val="28"/>
            <w:vMerge w:val="continue"/>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6"/>
          </w:tcPr>
          <w:p>
            <w:pPr>
              <w:spacing w:after="0"/>
              <w:rPr>
                <w:sz w:val="24"/>
                <w:szCs w:val="24"/>
                <w:color w:val="auto"/>
              </w:rPr>
            </w:pPr>
          </w:p>
        </w:tc>
        <w:tc>
          <w:tcPr>
            <w:tcW w:w="698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Unresolved Staff Comments</w:t>
              </w:r>
            </w:hyperlink>
          </w:p>
        </w:tc>
        <w:tc>
          <w:tcPr>
            <w:tcW w:w="752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5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5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56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5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Quantitative and Qualitative Disclosures About Market Risk</w:t>
              </w:r>
            </w:hyperlink>
          </w:p>
        </w:tc>
        <w:tc>
          <w:tcPr>
            <w:tcW w:w="520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6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560" w:type="dxa"/>
            <w:vAlign w:val="bottom"/>
            <w:gridSpan w:val="2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Other Information</w:t>
              </w:r>
            </w:hyperlink>
          </w:p>
        </w:tc>
        <w:tc>
          <w:tcPr>
            <w:tcW w:w="7800" w:type="dxa"/>
            <w:vAlign w:val="bottom"/>
            <w:gridSpan w:val="1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560" w:type="dxa"/>
            <w:vAlign w:val="bottom"/>
            <w:gridSpan w:val="23"/>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560" w:type="dxa"/>
            <w:vAlign w:val="bottom"/>
            <w:gridSpan w:val="23"/>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Transactions, and Director Independence</w:t>
              </w:r>
            </w:hyperlink>
          </w:p>
        </w:tc>
        <w:tc>
          <w:tcPr>
            <w:tcW w:w="22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Principal Accounting Fees and Services</w:t>
              </w:r>
            </w:hyperlink>
          </w:p>
        </w:tc>
        <w:tc>
          <w:tcPr>
            <w:tcW w:w="412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37">
              <w:r>
                <w:rPr>
                  <w:rFonts w:ascii="Arial" w:cs="Arial" w:eastAsia="Arial" w:hAnsi="Arial"/>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Exhibits and Financial Statement Schedules</w:t>
              </w:r>
            </w:hyperlink>
          </w:p>
        </w:tc>
        <w:tc>
          <w:tcPr>
            <w:tcW w:w="640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18"/>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2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December 31, 2016 of all of the common membership interests in Lazard Group and its controlling interest in Lazard Group.</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corporate preparedness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6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years ended December 31, 2016, 2015 and 2014, our Financial Advisory segment net revenue totaled $1.301 billion, $1.280 billion and $1.207 billion, respectively, accounting for approximately 56%, 54% and 53%, respectively, of our consolidated net revenue for such years. We earned $1 million or more from 276 clients, 268 clients and 281 clients for the years ended December 31, 2016, 2015 and 2014, respectively. For the years ended December 31, 2016, 2015 and 2014, the ten largest fee paying clients constituted approximately 23%, 17% and 15%, respectively, of our Financial Advisory segment net revenue, with no client individually contributing more than 10% of segment net revenue during any of these years. For the years ended December 31, 2016, 2015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t>2014, our Financial Advisory segment reported operating income of $284 million, $274 million and $229 million, respectively. At December 31, 2016, 2015 and 2014, our Financial Advisory segment had total assets of $907 million, $763 million and $786 million, respectively.</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 network of regional branch offices in the U.S., as well as a presence in Argentina, Australia, Belgium, Brazil, Canada, Chile, China, Colombia, Germany, Hong Kong, India, Italy, Japan, the Netherlands, Panama, Peru, Singapore, Spain, Sweden, Switzerland and the Middle East region.</w:t>
      </w:r>
    </w:p>
    <w:p>
      <w:pPr>
        <w:spacing w:after="0" w:line="188"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73"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Our Financial Advisory business has made certain business acquisitions and entered into other strategic business relationships. For example, in 2012, we integrated our Brazilian operations based in São Paulo, and established a Lazard Africa initiative to leverage our sovereign and corporate expertise in this rapidly growing region for our clients in both developed and developing countries.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 In 2015, we established a Lazard Central and Eastern Europe initiative to provide financial advisory services to businesses and governments in the region, as well as to our clients outside the region that are active in the region. In 2016, we expanded our North American Financial Advisory business through the acquisition of an independent financial advisory firm based in Canada, and we acquired the portion of MBA Lazard that we did not previously own, thereby fully integrating our Latin American operations.</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firstLine="598"/>
        <w:spacing w:after="0" w:line="272" w:lineRule="auto"/>
        <w:rPr>
          <w:sz w:val="20"/>
          <w:szCs w:val="20"/>
          <w:color w:val="auto"/>
        </w:rPr>
      </w:pPr>
      <w:r>
        <w:rPr>
          <w:rFonts w:ascii="Arial" w:cs="Arial" w:eastAsia="Arial" w:hAnsi="Arial"/>
          <w:sz w:val="17"/>
          <w:szCs w:val="17"/>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7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jc w:val="both"/>
        <w:ind w:right="540" w:firstLine="598"/>
        <w:spacing w:after="0" w:line="342" w:lineRule="auto"/>
        <w:rPr>
          <w:sz w:val="20"/>
          <w:szCs w:val="20"/>
          <w:color w:val="auto"/>
        </w:rPr>
      </w:pPr>
      <w:r>
        <w:rPr>
          <w:rFonts w:ascii="Arial" w:cs="Arial" w:eastAsia="Arial" w:hAnsi="Arial"/>
          <w:sz w:val="16"/>
          <w:szCs w:val="16"/>
          <w:color w:val="auto"/>
        </w:rPr>
        <w:t>When we assist clients in connection with corporate preparedness matters, our services may include reviewing and analyzing the business and financial condition of the company and assisting in the evaluation of defense measures and strategic alternatives potentially available to the company.</w:t>
      </w:r>
    </w:p>
    <w:p>
      <w:pPr>
        <w:spacing w:after="0" w:line="12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challenged by the current economic environment.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Lazard’s Sovereign Advisory Group has advised a number of countries and institutions with respect to sovereign debt and other financial matters.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corporate preparedness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2016, our Financial Advisory segment had 149 managing directors and 869 other professionals (which includes directors, vice presidents, associates and analysts).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0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preparedness and defense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Corporate Preparedness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and</w:t>
      </w:r>
    </w:p>
    <w:p>
      <w:pPr>
        <w:spacing w:after="0" w:line="117" w:lineRule="exact"/>
        <w:rPr>
          <w:rFonts w:ascii="Arial" w:cs="Arial" w:eastAsia="Arial" w:hAnsi="Arial"/>
          <w:sz w:val="18"/>
          <w:szCs w:val="18"/>
          <w:color w:val="auto"/>
        </w:rPr>
      </w:pPr>
    </w:p>
    <w:p>
      <w:pPr>
        <w:ind w:left="1200" w:right="18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8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unbiased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M&amp;A activity that may result from potential tax, regulatory and similar reform in certain regions, including the U.S.</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5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As of December 31, 2016, total assets under management (“AUM”) were $198 billion, of which approximately 82% was invested in equities, 16% in fixed income, 1% in alternative investments and 1% in private equity funds. As of the same date, within the equity asset class, approximately 28% of our AUM was invested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21% in emerging markets strategies, 15% in global investment strategies and 18% in local investment strategies. Within the fixed income asset class, approximately 8% of our AUM was invested in emerging markets strategies, 4%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 in global investment strategies and 2% in local investment strategies. Our top ten clients accounted for 21%, 21% and 24% of our total AUM at December 31, 2016, 2015 and 2014, respectively, with no client individually contributing more than 10% of our Asset Management segment net revenue during any of the respective years. Approximately 88% of our AUM as of December 31, 2016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high-net worth individuals.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2016,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152400</wp:posOffset>
            </wp:positionV>
            <wp:extent cx="4605020" cy="132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50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firstLine="598"/>
        <w:spacing w:after="0" w:line="257" w:lineRule="auto"/>
        <w:rPr>
          <w:sz w:val="20"/>
          <w:szCs w:val="20"/>
          <w:color w:val="auto"/>
        </w:rPr>
      </w:pPr>
      <w:r>
        <w:rPr>
          <w:rFonts w:ascii="Arial" w:cs="Arial" w:eastAsia="Arial" w:hAnsi="Arial"/>
          <w:sz w:val="18"/>
          <w:szCs w:val="18"/>
          <w:color w:val="auto"/>
        </w:rPr>
        <w:t>For the years ended December 31, 2016, 2015 and 2014, our Asset Management segment net revenue totaled $1.051 billion, $1.111 billion and $1.135 billion, respectively, accounting for approximately 45%, 47% and 49%, respectively, of our consolidated net revenue for such years. For the years ended December 31, 2016, 2015 and 2014, our Asset Management segment reported operating income of $282 million, $374 million and $385 million, respectively. At December 31, 2016, 2015 and 2014, our Asset Management segment had total assets of $646 million, $640 million and $588 million,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ind w:firstLine="598"/>
        <w:spacing w:after="0" w:line="312" w:lineRule="auto"/>
        <w:rPr>
          <w:sz w:val="20"/>
          <w:szCs w:val="20"/>
          <w:color w:val="auto"/>
        </w:rPr>
      </w:pPr>
      <w:r>
        <w:rPr>
          <w:rFonts w:ascii="Arial" w:cs="Arial" w:eastAsia="Arial" w:hAnsi="Arial"/>
          <w:sz w:val="16"/>
          <w:szCs w:val="16"/>
          <w:color w:val="auto"/>
        </w:rPr>
        <w:t>Our Asset Management business maintains offices in New York, Bordeaux, Boston, Brussels, Chicago, Dubai, Dublin, Frankfurt, Hamburg, Hong Kong, London, Lyon, Milan, Montreal, Nantes, Paris, San Francisco, Seoul, Singapore, Sydney, Tokyo, Toronto and Zurich. These operations, with 92 managing directors and 392 professionals as of December 31, 2016, provide our Asset Management business with both a global presence and a local identity.</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ind w:right="102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225" w:lineRule="exact"/>
        <w:rPr>
          <w:sz w:val="20"/>
          <w:szCs w:val="20"/>
          <w:color w:val="auto"/>
        </w:rPr>
      </w:pPr>
    </w:p>
    <w:p>
      <w:pPr>
        <w:ind w:right="2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six global industry sectors:</w:t>
      </w:r>
    </w:p>
    <w:p>
      <w:pPr>
        <w:spacing w:after="0" w:line="16"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i w:val="1"/>
          <w:iCs w:val="1"/>
          <w:color w:val="auto"/>
        </w:rPr>
        <w:t xml:space="preserve">Investment Strategies. </w:t>
      </w:r>
      <w:r>
        <w:rPr>
          <w:rFonts w:ascii="Arial" w:cs="Arial" w:eastAsia="Arial" w:hAnsi="Arial"/>
          <w:sz w:val="16"/>
          <w:szCs w:val="16"/>
          <w:color w:val="auto"/>
        </w:rPr>
        <w:t>Our Asset Management business provides equity, fixed income, cash management and alternative investment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paying close attention to our clients’ varying and expanding investment needs. We offer the following product platform of investment strategies: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00" w:type="dxa"/>
            <w:vAlign w:val="bottom"/>
            <w:gridSpan w:val="2"/>
          </w:tcPr>
          <w:p>
            <w:pPr>
              <w:ind w:left="66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Multi Strategies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Trend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Strategies</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Korea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1920" w:type="dxa"/>
            <w:vAlign w:val="bottom"/>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Duration Overlay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Fixed Income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Corporate Bonds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Hedge Funds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U.S.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Closed-End Funds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320"/>
              <w:spacing w:after="0"/>
              <w:rPr>
                <w:sz w:val="20"/>
                <w:szCs w:val="20"/>
                <w:color w:val="auto"/>
              </w:rPr>
            </w:pPr>
            <w:r>
              <w:rPr>
                <w:rFonts w:ascii="Arial" w:cs="Arial" w:eastAsia="Arial" w:hAnsi="Arial"/>
                <w:sz w:val="16"/>
                <w:szCs w:val="16"/>
                <w:color w:val="auto"/>
              </w:rPr>
              <w:t>(Long and Long/Short)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Asset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addition to the primary investment strategies listed above, we also provide other asset management services to our clients, including asset allocation advisory services and locally customized investment solutions. In many cases, we also offer both diversified and more concentrated versions of our products. These products are generally offered on a separate account basis, as well as through pooled vehicles.</w:t>
      </w:r>
    </w:p>
    <w:p>
      <w:pPr>
        <w:spacing w:after="0" w:line="18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We distribute our products through a broad array of marketing channels on a global basis.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Bordeaux, Boston, Brussels, Chicago, Dubai, Frankfurt, Hamburg, Hong Kong, London, Lyon, Milan, Montreal, Nantes, Paris, San Francisco, Seoul, Singapore, Sydney, Tokyo, Toronto and Zurich. We have developed a well-established presence in the institutional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a real asset strategy, a commodities team and an equity team focused on Middle East and North African markets; and</w:t>
      </w:r>
    </w:p>
    <w:p>
      <w:pPr>
        <w:spacing w:after="0" w:line="62"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Dubai, Singapore and Dublin.</w:t>
      </w:r>
    </w:p>
    <w:p>
      <w:pPr>
        <w:spacing w:after="0" w:line="170"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Alternative Investments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2016, Edgewater had approximately $1 billion of AUM and unfunded fee-earning commitments.</w:t>
      </w:r>
    </w:p>
    <w:p>
      <w:pPr>
        <w:spacing w:after="0" w:line="18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We believe that our people are our most important asset, and it is their reputation, talent, integrity and dedication that underpin our success. As of December 31, 2016, we employed 2,781 people, which included 149 managing directors and 869 other professionals in our Financial Advisory segment and 92 managing directors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160"/>
        <w:spacing w:after="0" w:line="276" w:lineRule="auto"/>
        <w:rPr>
          <w:sz w:val="20"/>
          <w:szCs w:val="20"/>
          <w:color w:val="auto"/>
        </w:rPr>
      </w:pPr>
      <w:r>
        <w:rPr>
          <w:rFonts w:ascii="Arial" w:cs="Arial" w:eastAsia="Arial" w:hAnsi="Arial"/>
          <w:sz w:val="17"/>
          <w:szCs w:val="17"/>
          <w:color w:val="auto"/>
        </w:rPr>
        <w:t>403 other professionals in our Asset Management segment. We strive to maintain a work environment that fosters professionalism, excellence, diversity, collaboration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Centerview Partners, Citigroup, Credit Suisse, Deutsche Bank, Evercore Partners, Goldman Sachs, Greenhill, JPMorgan Chase, Morgan Stanley, Rothschild and UBS. In our Restructuring practice, we believe our primary competitors are Centerview Partners, Evercore Partners, Houlihan Lokey, PJT Partners, Moelis &amp; Company and Rothschild.</w:t>
      </w:r>
    </w:p>
    <w:p>
      <w:pPr>
        <w:spacing w:after="0" w:line="187"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believe that our primary global competitors in our Asset Management business include, in the case of Lazard Asset Management LLC and its subsidiaries (“LAM”), Aberdeen, Alliance Bernstein, Capital Management &amp; Research, Fidelity, Franklin Templeton, Invesco, JP Morgan Asset Management, Lord Abbett, MFS, Neuberger Berman and Schroders and, in the case of Lazard Frères Gestion SAS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9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4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Item 1A, “Risk Factors—The financial services industry, and all of the businesses in which we compete, are intensely competitive” below.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58"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66"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left="60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22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67" w:lineRule="exact"/>
        <w:rPr>
          <w:sz w:val="20"/>
          <w:szCs w:val="20"/>
          <w:color w:val="auto"/>
        </w:rPr>
      </w:pPr>
    </w:p>
    <w:p>
      <w:pPr>
        <w:ind w:right="180" w:firstLine="598"/>
        <w:spacing w:after="0" w:line="287"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and the German Federal Financial Supervisory Authority,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93"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180" w:firstLine="598"/>
        <w:spacing w:after="0" w:line="255" w:lineRule="auto"/>
        <w:rPr>
          <w:sz w:val="20"/>
          <w:szCs w:val="20"/>
          <w:color w:val="auto"/>
        </w:rPr>
      </w:pPr>
      <w:r>
        <w:rPr>
          <w:rFonts w:ascii="Arial" w:cs="Arial" w:eastAsia="Arial" w:hAnsi="Arial"/>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17, 2017, all of whom have been appointed by, and serve at the pleasure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58</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57</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56</w:t>
      </w:r>
    </w:p>
    <w:p>
      <w:pPr>
        <w:spacing w:after="0" w:line="121"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Scott D. Hoffman, 54</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50</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w:t>
      </w:r>
    </w:p>
    <w:p>
      <w:pPr>
        <w:spacing w:after="0" w:line="290" w:lineRule="auto"/>
        <w:rPr>
          <w:sz w:val="20"/>
          <w:szCs w:val="20"/>
          <w:color w:val="auto"/>
        </w:rPr>
      </w:pPr>
      <w:r>
        <w:rPr>
          <w:rFonts w:ascii="Arial" w:cs="Arial" w:eastAsia="Arial" w:hAnsi="Arial"/>
          <w:sz w:val="17"/>
          <w:szCs w:val="17"/>
          <w:color w:val="auto"/>
        </w:rPr>
        <w:t>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right="40" w:firstLine="598"/>
        <w:spacing w:after="0" w:line="257"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88"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29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right="60"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58"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recent years, regional and global capital markets and economies have experienced periods of significant disruption and volatility. If these conditions continue or if current conditions materially worsen, our business may be adversely affected, which may have a material impact on our business and results of operations.</w:t>
      </w:r>
    </w:p>
    <w:p>
      <w:pPr>
        <w:spacing w:after="0" w:line="181"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ind w:right="20" w:firstLine="598"/>
        <w:spacing w:after="0" w:line="288"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69"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277" w:lineRule="exact"/>
        <w:rPr>
          <w:sz w:val="20"/>
          <w:szCs w:val="20"/>
          <w:color w:val="auto"/>
        </w:rPr>
      </w:pPr>
    </w:p>
    <w:p>
      <w:pPr>
        <w:ind w:right="42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quarterly fluctuations, it may be difficult for us to achieve steady revenue and earnings growth on a quarterly basis.</w:t>
      </w:r>
    </w:p>
    <w:p>
      <w:pPr>
        <w:spacing w:after="0" w:line="329"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72"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or other individual reasons, some of which may be beyond our control. If any of our managing directors and other key professional employees were to retire, join an existing competitor, form a competing company or otherwise leave us,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jc w:val="both"/>
        <w:ind w:left="1200" w:right="240" w:hanging="598"/>
        <w:spacing w:after="0" w:line="264"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revenue and earnings.</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2016, Financial Advisory services accounted for approximately 56%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6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21"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273"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287" w:lineRule="exact"/>
        <w:rPr>
          <w:sz w:val="20"/>
          <w:szCs w:val="20"/>
          <w:color w:val="auto"/>
        </w:rPr>
      </w:pPr>
    </w:p>
    <w:p>
      <w:pPr>
        <w:ind w:right="80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3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23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Over certain time periods, we may have a higher concentration of assets in certain strategies. To the extent that this is the case, underperformance, changes in investment personnel or other changes in these strategies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result in a withdrawal of assets. If a significant amount of clients withdraw from these strategies for any reason, our revenues would decline and our operating results would be adversely affected.</w:t>
      </w:r>
    </w:p>
    <w:p>
      <w:pPr>
        <w:spacing w:after="0" w:line="275" w:lineRule="exact"/>
        <w:rPr>
          <w:sz w:val="20"/>
          <w:szCs w:val="20"/>
          <w:color w:val="auto"/>
        </w:rPr>
      </w:pPr>
    </w:p>
    <w:p>
      <w:pPr>
        <w:ind w:right="4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65"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40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7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right="8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5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2016, we received approximately 36% of our consolidated net revenue in other currencies, predominantly in euros, British Pounds and Australian Dollars. In addition, we pay a significant amount of our expenses in such other currencies. The exchange rates of these currencies versus the U.S. Dollar affect the carrying value of our assets and liabilities as well as our revenues,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70"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2016, AUM with foreign currency exposure represented approximately 70% of our total AUM.</w:t>
      </w:r>
    </w:p>
    <w:p>
      <w:pPr>
        <w:spacing w:after="0" w:line="165"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297" w:lineRule="exact"/>
        <w:rPr>
          <w:sz w:val="20"/>
          <w:szCs w:val="20"/>
          <w:color w:val="auto"/>
        </w:rPr>
      </w:pPr>
    </w:p>
    <w:p>
      <w:pPr>
        <w:ind w:right="14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9" w:lineRule="exact"/>
        <w:rPr>
          <w:sz w:val="20"/>
          <w:szCs w:val="20"/>
          <w:color w:val="auto"/>
        </w:rPr>
      </w:pPr>
    </w:p>
    <w:p>
      <w:pPr>
        <w:jc w:val="both"/>
        <w:ind w:right="80" w:firstLine="598"/>
        <w:spacing w:after="0" w:line="302"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operating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92"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Rulemaking under the Dodd-Frank Act is still ongoing and the final scope and interpretations of those rules, and their impact on our business, though still not fully known, could have implications for the manner in which we conduct our business and, consequently, its profitability. In recent years, changes include requiring that certain financial instruments be cleared by a regulated clearing organization and the new requirement to deliver margin payments for certain derivative transactions. These changes will require adjustments to our operational processes as a result, which may impact certain strategies and businesses. While we continue to examine the requirements of the Dodd-Frank Act and related regulations, as well as new regulations that may become applicable to us in the U.S. and in the European Union (see “Business—Regulation”), and previously announced actual or potential regulations that may be modified, we are not able to predict the ultimate effect on us. In addition, several states and municipalities in the United States have adopted “pay-to-play” rules, which could limit our ability to charge fees in connection with certain of our Private Capital Advisory (which we historically referred to as Private Fund Advisory) engagements, and could therefore affect the profitability of that portion of our business.</w:t>
      </w:r>
    </w:p>
    <w:p>
      <w:pPr>
        <w:spacing w:after="0" w:line="175" w:lineRule="exact"/>
        <w:rPr>
          <w:sz w:val="20"/>
          <w:szCs w:val="20"/>
          <w:color w:val="auto"/>
        </w:rPr>
      </w:pPr>
    </w:p>
    <w:p>
      <w:pPr>
        <w:jc w:val="both"/>
        <w:ind w:right="100" w:firstLine="598"/>
        <w:spacing w:after="0" w:line="279" w:lineRule="auto"/>
        <w:rPr>
          <w:sz w:val="20"/>
          <w:szCs w:val="20"/>
          <w:color w:val="auto"/>
        </w:rPr>
      </w:pPr>
      <w:r>
        <w:rPr>
          <w:rFonts w:ascii="Arial" w:cs="Arial" w:eastAsia="Arial" w:hAnsi="Arial"/>
          <w:sz w:val="17"/>
          <w:szCs w:val="17"/>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existing tax laws and regulations are under review in the U.S. and in many other jurisdictions in which we and our clients operate. Actual and proposed changes to these laws and regulations may reduce the level of M&amp;A activity, including cross-border M&amp;A activity.</w:t>
      </w:r>
    </w:p>
    <w:p>
      <w:pPr>
        <w:spacing w:after="0" w:line="17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firstLine="598"/>
        <w:spacing w:after="0" w:line="269" w:lineRule="auto"/>
        <w:rPr>
          <w:sz w:val="20"/>
          <w:szCs w:val="20"/>
          <w:color w:val="auto"/>
        </w:rPr>
      </w:pPr>
      <w:r>
        <w:rPr>
          <w:rFonts w:ascii="Arial" w:cs="Arial" w:eastAsia="Arial" w:hAnsi="Arial"/>
          <w:sz w:val="17"/>
          <w:szCs w:val="17"/>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In particular, the enactment of the Markets in Financial Instruments Directive II (“MiFID II”), regulates the use of soft dollars for certain parts of our business.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The ultimate impact of MiFID II on our use of soft dollars is uncertain, although it may reduce our ability to utilize commissions to pay for research services and other soft dollar services. This would require changes to our operational processes and may result in increased costs allocated to research services. For the year ended December 31, 2016, our Asset Management business obtained research and other services through third-party soft dollar arrangements, the total cost of which we estimate to be approximately $23 million.</w:t>
      </w:r>
    </w:p>
    <w:p>
      <w:pPr>
        <w:spacing w:after="0" w:line="180" w:lineRule="exact"/>
        <w:rPr>
          <w:sz w:val="20"/>
          <w:szCs w:val="20"/>
          <w:color w:val="auto"/>
        </w:rPr>
      </w:pPr>
    </w:p>
    <w:p>
      <w:pPr>
        <w:ind w:right="120" w:firstLine="598"/>
        <w:spacing w:after="0" w:line="284" w:lineRule="auto"/>
        <w:rPr>
          <w:sz w:val="20"/>
          <w:szCs w:val="20"/>
          <w:color w:val="auto"/>
        </w:rPr>
      </w:pPr>
      <w:r>
        <w:rPr>
          <w:rFonts w:ascii="Arial" w:cs="Arial" w:eastAsia="Arial" w:hAnsi="Arial"/>
          <w:sz w:val="16"/>
          <w:szCs w:val="16"/>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may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-160655</wp:posOffset>
            </wp:positionV>
            <wp:extent cx="298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6"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760"/>
        <w:spacing w:after="0" w:line="277" w:lineRule="auto"/>
        <w:rPr>
          <w:sz w:val="20"/>
          <w:szCs w:val="20"/>
          <w:color w:val="auto"/>
        </w:rPr>
      </w:pPr>
      <w:r>
        <w:rPr>
          <w:rFonts w:ascii="Arial" w:cs="Arial" w:eastAsia="Arial" w:hAnsi="Arial"/>
          <w:sz w:val="18"/>
          <w:szCs w:val="18"/>
          <w:color w:val="auto"/>
        </w:rPr>
        <w:t>of our clients which could result in substantial losses. Many of our business activities may subject us to the risk of legal actions alleging negligence, misconduct, breach of fiduciary duty or breach of contract.</w:t>
      </w:r>
    </w:p>
    <w:p>
      <w:pPr>
        <w:spacing w:after="0" w:line="170"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7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against litigation or regulatory action against us.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7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4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18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88"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6" w:name="page27"/>
    <w:bookmarkEnd w:id="26"/>
    <w:p>
      <w:pPr>
        <w:ind w:right="140"/>
        <w:spacing w:after="0" w:line="264" w:lineRule="auto"/>
        <w:rPr>
          <w:sz w:val="20"/>
          <w:szCs w:val="20"/>
          <w:color w:val="auto"/>
        </w:rPr>
      </w:pPr>
      <w:r>
        <w:rPr>
          <w:rFonts w:ascii="Arial" w:cs="Arial" w:eastAsia="Arial" w:hAnsi="Arial"/>
          <w:sz w:val="18"/>
          <w:szCs w:val="18"/>
          <w:color w:val="auto"/>
        </w:rPr>
        <w:t>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285"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2016.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20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6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To the extent that we pursue business opportunities outside of the United States,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8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276" w:lineRule="exact"/>
        <w:rPr>
          <w:sz w:val="20"/>
          <w:szCs w:val="20"/>
          <w:color w:val="auto"/>
        </w:rPr>
      </w:pPr>
    </w:p>
    <w:p>
      <w:pPr>
        <w:ind w:right="80" w:firstLine="598"/>
        <w:spacing w:after="0" w:line="313" w:lineRule="auto"/>
        <w:rPr>
          <w:sz w:val="20"/>
          <w:szCs w:val="20"/>
          <w:color w:val="auto"/>
        </w:rPr>
      </w:pPr>
      <w:r>
        <w:rPr>
          <w:rFonts w:ascii="Arial" w:cs="Arial" w:eastAsia="Arial" w:hAnsi="Arial"/>
          <w:sz w:val="17"/>
          <w:szCs w:val="17"/>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34"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As of December 31, 2016, Lazard Group and its subsidiaries had approximately $1.2 billion in debt (including capital lease obligations) outstanding, of which $500 million, $400 million and $300 million relate to Lazard Group senior notes that mature in 2020, 2025 and 2027, respectively. This debt has certain mandated payment obligations, which may constrain our ability to operate our business. If we decide to redeem or retire this debt before maturity,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ind w:right="80"/>
        <w:spacing w:after="0" w:line="293" w:lineRule="auto"/>
        <w:rPr>
          <w:sz w:val="20"/>
          <w:szCs w:val="20"/>
          <w:color w:val="auto"/>
        </w:rPr>
      </w:pPr>
      <w:r>
        <w:rPr>
          <w:rFonts w:ascii="Arial" w:cs="Arial" w:eastAsia="Arial" w:hAnsi="Arial"/>
          <w:sz w:val="16"/>
          <w:szCs w:val="16"/>
          <w:color w:val="auto"/>
        </w:rPr>
        <w:t>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w:t>
      </w:r>
    </w:p>
    <w:p>
      <w:pPr>
        <w:spacing w:after="0" w:line="121"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As of December 31, 2016, Lazard Ltd’s authorized and unissued shares of Class A common stock include approximately 15.2 million shares of our Class A common stock underlying RSUs, PRSUs, deferred stock units (“DSUs”) and restricted stock awards that have been granted pursuant to Lazard Ltd’s 2008 Incentive Compensation Plan (the “2008 Plan”). RSUs and restricted stock awards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the first quarter of each year, at which point a large number of our shares of Class A common stock immediately become available for sale. PRSUs generally require future service and satisfaction of performance-based vesting criteria as a condition for the delivery of the underlying shares of Class A common stock, and the number of such shares that may be received in connection with each PRSU generally may range from zero to two times the target number.</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Class A common stock. If we were to cease to or were unable to repurchase shares of our Class A common stock, the number of shares outstanding would increase over time, diluting the ownership of our existing stockholders.</w:t>
      </w:r>
    </w:p>
    <w:p>
      <w:pPr>
        <w:spacing w:after="0" w:line="17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Furthermore, we cannot predict whether, when and how many shares of our Class A common stock will be sold into the market and the effect, if any, that the possibility of market sales of shares of our Class A common stock, the actual sale of such shares or the availability of such shares will have on the market price of our Class A common stock or our ability to raise capital through the issuance of equity securities from time to time. There are generally no restrictions on the sale of vested shares of Class A common stock held by our employees other than prohibitions on sales during internal “blackout” periods imposed by us at points between quarterly earnings releases.</w:t>
      </w:r>
    </w:p>
    <w:p>
      <w:pPr>
        <w:spacing w:after="0" w:line="292" w:lineRule="exact"/>
        <w:rPr>
          <w:sz w:val="20"/>
          <w:szCs w:val="20"/>
          <w:color w:val="auto"/>
        </w:rPr>
      </w:pPr>
    </w:p>
    <w:p>
      <w:pPr>
        <w:ind w:right="320" w:firstLine="598"/>
        <w:spacing w:after="0" w:line="282"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subsidiaries incur income taxes on net taxable income of Lazard Group in their respective tax jurisdictions. We intend to continue to cause Lazard Group to make distributions to our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269" w:lineRule="exact"/>
        <w:rPr>
          <w:sz w:val="20"/>
          <w:szCs w:val="20"/>
          <w:color w:val="auto"/>
        </w:rPr>
      </w:pPr>
    </w:p>
    <w:p>
      <w:pPr>
        <w:ind w:right="16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Lazard Group depends on its subsidiaries, which conduct the operations of its businesses, for distributions, dividends and other payments to generate the funds necessary to meet its financial obligations, including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line="273" w:lineRule="auto"/>
        <w:rPr>
          <w:sz w:val="20"/>
          <w:szCs w:val="20"/>
          <w:color w:val="auto"/>
        </w:rPr>
      </w:pPr>
      <w:r>
        <w:rPr>
          <w:rFonts w:ascii="Arial" w:cs="Arial" w:eastAsia="Arial" w:hAnsi="Arial"/>
          <w:sz w:val="17"/>
          <w:szCs w:val="17"/>
          <w:color w:val="auto"/>
        </w:rPr>
        <w:t>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283" w:lineRule="exact"/>
        <w:rPr>
          <w:sz w:val="20"/>
          <w:szCs w:val="20"/>
          <w:color w:val="auto"/>
        </w:rPr>
      </w:pPr>
    </w:p>
    <w:p>
      <w:pPr>
        <w:ind w:right="18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3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Those income tax laws, regulations and treaties, and the administrative and judicial interpretations of them, are subject to change at any time, and any such change may be retroactive.</w:t>
      </w:r>
    </w:p>
    <w:p>
      <w:pPr>
        <w:spacing w:after="0" w:line="18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U.S. and foreign governments, institutions (including the European Union and the Organization of Economically Developed Countries) and tax officials are actively reviewing many laws, regulations, and treaties that currently govern the taxation of multinational companies. Any changes to such laws, regulations and treaties that impact us could materially adversely affect our business, financial condition or results of operations. Furthermore, U.S. lawmakers are considering several U.S. tax reform proposals. No proposed legislation in respect of comprehensive tax reform has been filed. The details of the tax reform proposals under consideration, and the likelihood that any of the proposals will be enacted, is uncertain. We are examining many aspects of the current proposals and their potential impact on the Company. We are currently unable to predict the ultimate outcome of any of these proposals and therefore our potential actions with respect to them.</w:t>
      </w:r>
    </w:p>
    <w:p>
      <w:pPr>
        <w:spacing w:after="0" w:line="189"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In addition,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93"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color w:val="auto"/>
        </w:rPr>
        <w:t>Moreover, on October 13, 2016, the Treasury Department issued final and temporary regulations addressing the U.S. income tax treatment of debt between related parties, which may limit the deduction of interest in respect of such debt that is issued after April 4, 2016. These regulations could increase our effective tax rate in future periods; however, any such increases should only affect periods beginning after 2024.</w:t>
      </w:r>
    </w:p>
    <w:p>
      <w:pPr>
        <w:spacing w:after="0" w:line="270" w:lineRule="exact"/>
        <w:rPr>
          <w:sz w:val="20"/>
          <w:szCs w:val="20"/>
          <w:color w:val="auto"/>
        </w:rPr>
      </w:pPr>
    </w:p>
    <w:p>
      <w:pPr>
        <w:ind w:right="6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5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under the tax receivable agreement described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ind w:right="8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58"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Company has a significant presence in many European Union countries, including the United Kingdom. In June 2016, the U.K. voted in favor of a referendum to leave the European Union, and in February 2017 the U.K.’s House of Commons voted to approve the initiation of formal exit discussions with the European Union. At the time that the U.K. ultimately leaves the European Union, the commercial, regulatory and legal environment that would exist, and to which the Company’s U.K. operations would be subject, would be impacted by the nature of arrangements that are yet to be determined between the U.K and the European Union. These arrangements are hard to predict, and uncertainty regarding their outcome may continue for a significant period of time. The Company currently does not believe that any of the potential arrangements that are likely to be agreed would have a material adverse impact on the Company’s business. These potential arrangements may, however, result in certain changes in the way that we conduct our businesses, which could result in increased costs. In addition, the result of the referendum and the uncertainty it produced has impacted geopolitical perspectives and macroeconomic factors including interest rates, foreign currency exchange rates and equity markets, and it has increased volatility in many of the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279" w:lineRule="exact"/>
        <w:rPr>
          <w:sz w:val="20"/>
          <w:szCs w:val="20"/>
          <w:color w:val="auto"/>
        </w:rPr>
      </w:pPr>
    </w:p>
    <w:p>
      <w:pPr>
        <w:jc w:val="both"/>
        <w:ind w:right="160" w:firstLine="598"/>
        <w:spacing w:after="0" w:line="289" w:lineRule="auto"/>
        <w:rPr>
          <w:sz w:val="20"/>
          <w:szCs w:val="20"/>
          <w:color w:val="auto"/>
        </w:rPr>
      </w:pPr>
      <w:r>
        <w:rPr>
          <w:rFonts w:ascii="Arial" w:cs="Arial" w:eastAsia="Arial" w:hAnsi="Arial"/>
          <w:sz w:val="17"/>
          <w:szCs w:val="17"/>
          <w:b w:val="1"/>
          <w:bCs w:val="1"/>
          <w:color w:val="auto"/>
        </w:rPr>
        <w:t>Our subsidiaries may be required to make payments under the Amended and Restated Tax Receivable Agreement. The IRS may challenge the tax benefits that give rise to such payments and, under certain circumstances, our subsidiaries may have made or could make payments under the Amended and Restated Tax Receivable Agreement in excess of our subsidiaries’ cash tax savings.</w:t>
      </w:r>
    </w:p>
    <w:p>
      <w:pPr>
        <w:spacing w:after="0" w:line="54"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As further discussed in “Management’s Discussion and Analysis of Financial Condition and Results of Operations—Critical Accounting Policies and Estimates—Income Taxes” and Note 18 of Notes to Consolidated Financial Statements, the Second Amended and Restated Tax Receivable Agreement, dated as of October 26, 2015 (the “Amended and Restated Tax Receivable Agreement”), between Lazard and LTBP Trust, a Delaware statutory trust (the “Trust”), provides for the payment by our subsidiaries to the Trust of a significant portion of the cash savings, if any, in U.S. federal, state and local income tax or franchise tax that we actually realize as a result of certain tax benefits that are subject to the Amended and Restated Tax Receivable Agreement. Any amount paid by our subsidiaries to the Trust will generally be distributed to the owners of the Trust, including our executive officers, in proportion to their beneficial interests in the Trust. If the IRS successfully challenges the tax benefits described above, under certain circumstances, our subsidiaries may have made or could make payments under the Amended and Restated Tax Receivable Agreement in excess of our subsidiaries’ cash tax savings.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1" w:name="page32"/>
    <w:bookmarkEnd w:id="31"/>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websites,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xml:space="preserve"> Our websites and social media sites and the information contained therein or connected thereto shall not be deemed to be incorporated into this Form 10-K.</w:t>
      </w:r>
    </w:p>
    <w:p>
      <w:pPr>
        <w:spacing w:after="0" w:line="2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2016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2016. As a general matter, one or both of our Financial Advisory and Asset Management segments (as well as our Corporate segment) uses the following properties. Our London and other offices sublease 71,207 and 25,000 square feet, respectively,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5080" w:type="dxa"/>
            <w:vAlign w:val="bottom"/>
          </w:tcPr>
          <w:p>
            <w:pPr>
              <w:ind w:left="232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413,375 square feet of</w:t>
            </w:r>
          </w:p>
        </w:tc>
        <w:tc>
          <w:tcPr>
            <w:tcW w:w="160" w:type="dxa"/>
            <w:vAlign w:val="bottom"/>
            <w:tcBorders>
              <w:top w:val="single" w:sz="8" w:color="CFF0FC"/>
            </w:tcBorders>
            <w:shd w:val="clear" w:color="auto" w:fill="CFF0FC"/>
          </w:tcPr>
          <w:p>
            <w:pPr>
              <w:spacing w:after="0"/>
              <w:rPr>
                <w:sz w:val="18"/>
                <w:szCs w:val="18"/>
                <w:color w:val="auto"/>
              </w:rPr>
            </w:pPr>
          </w:p>
        </w:tc>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office located at 30 Rockefeller Plaza</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North America</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192,007 square feet of</w:t>
            </w:r>
          </w:p>
        </w:tc>
        <w:tc>
          <w:tcPr>
            <w:tcW w:w="5080" w:type="dxa"/>
            <w:vAlign w:val="bottom"/>
          </w:tcPr>
          <w:p>
            <w:pPr>
              <w:spacing w:after="0"/>
              <w:rPr>
                <w:sz w:val="20"/>
                <w:szCs w:val="20"/>
                <w:color w:val="auto"/>
              </w:rPr>
            </w:pPr>
            <w:r>
              <w:rPr>
                <w:rFonts w:ascii="Arial" w:cs="Arial" w:eastAsia="Arial" w:hAnsi="Arial"/>
                <w:sz w:val="18"/>
                <w:szCs w:val="18"/>
                <w:color w:val="auto"/>
                <w:w w:val="92"/>
              </w:rPr>
              <w:t>Boston, Charlotte, Chicago, Houston, Los Angeles, Minneapolis, San</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rPr>
              <w:t>Francisco and Toronto</w:t>
            </w: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Paris</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148,502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Principal office located at 121 Boulevard Haussmann</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owned and 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142,371 square feet of</w:t>
            </w:r>
          </w:p>
        </w:tc>
        <w:tc>
          <w:tcPr>
            <w:tcW w:w="508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Europe</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108,301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Amsterdam, Bordeaux, Brussels, Frankfurt, Hamburg,</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Lyon, Madrid, Milan, Nantes, Stockholm and Zurich</w:t>
            </w: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Asia, Australia and Other</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103,772 square feet of</w:t>
            </w:r>
          </w:p>
        </w:tc>
        <w:tc>
          <w:tcPr>
            <w:tcW w:w="5080" w:type="dxa"/>
            <w:vAlign w:val="bottom"/>
          </w:tcPr>
          <w:p>
            <w:pPr>
              <w:spacing w:after="0"/>
              <w:rPr>
                <w:sz w:val="20"/>
                <w:szCs w:val="20"/>
                <w:color w:val="auto"/>
              </w:rPr>
            </w:pPr>
            <w:r>
              <w:rPr>
                <w:rFonts w:ascii="Arial" w:cs="Arial" w:eastAsia="Arial" w:hAnsi="Arial"/>
                <w:sz w:val="18"/>
                <w:szCs w:val="18"/>
                <w:color w:val="auto"/>
              </w:rPr>
              <w:t>Beijing, Bogota, Buenos Aires, Dubai, Hong Kong, Lima,</w:t>
            </w: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rPr>
              <w:t>Melbourne, Mumbai, Panama City, Perth, Riyadh, Santiago,</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São Paulo, Seoul, Singapore, Sydney and Tokyo</w:t>
            </w:r>
          </w:p>
        </w:tc>
      </w:tr>
    </w:tbl>
    <w:p>
      <w:pPr>
        <w:spacing w:after="0" w:line="30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Our Class A common stock is traded on The New York Stock Exchange under the symbol “LAZ.” The following table sets forth, for the fiscal quarters indicated, the high and low sales prices per share of our Class A common stock, as reported in the consolidated transaction reporting system, and the quarterly dividends declared during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Ranges of, and Dividends Declared on, Our Common Stock</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Sales Price</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 of</w:t>
            </w:r>
          </w:p>
        </w:tc>
        <w:tc>
          <w:tcPr>
            <w:tcW w:w="0" w:type="dxa"/>
            <w:vAlign w:val="bottom"/>
          </w:tcPr>
          <w:p>
            <w:pPr>
              <w:spacing w:after="0"/>
              <w:rPr>
                <w:sz w:val="1"/>
                <w:szCs w:val="1"/>
                <w:color w:val="auto"/>
              </w:rPr>
            </w:pPr>
          </w:p>
        </w:tc>
      </w:tr>
      <w:tr>
        <w:trPr>
          <w:trHeight w:val="156"/>
        </w:trPr>
        <w:tc>
          <w:tcPr>
            <w:tcW w:w="3000" w:type="dxa"/>
            <w:vAlign w:val="bottom"/>
            <w:gridSpan w:val="2"/>
            <w:vMerge w:val="restart"/>
          </w:tcPr>
          <w:p>
            <w:pPr>
              <w:jc w:val="right"/>
              <w:ind w:right="2550"/>
              <w:spacing w:after="0"/>
              <w:rPr>
                <w:sz w:val="20"/>
                <w:szCs w:val="20"/>
                <w:color w:val="auto"/>
              </w:rPr>
            </w:pPr>
            <w:r>
              <w:rPr>
                <w:rFonts w:ascii="Arial" w:cs="Arial" w:eastAsia="Arial" w:hAnsi="Arial"/>
                <w:sz w:val="18"/>
                <w:szCs w:val="18"/>
                <w:b w:val="1"/>
                <w:bCs w:val="1"/>
                <w:color w:val="auto"/>
                <w:w w:val="84"/>
              </w:rPr>
              <w:t>2016</w:t>
            </w: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3"/>
                <w:szCs w:val="13"/>
                <w:color w:val="auto"/>
              </w:rPr>
            </w:pPr>
          </w:p>
        </w:tc>
        <w:tc>
          <w:tcPr>
            <w:tcW w:w="120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23"/>
        </w:trPr>
        <w:tc>
          <w:tcPr>
            <w:tcW w:w="30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Third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jc w:val="right"/>
              <w:ind w:right="2550"/>
              <w:spacing w:after="0"/>
              <w:rPr>
                <w:sz w:val="20"/>
                <w:szCs w:val="20"/>
                <w:color w:val="auto"/>
              </w:rPr>
            </w:pPr>
            <w:r>
              <w:rPr>
                <w:rFonts w:ascii="Arial" w:cs="Arial" w:eastAsia="Arial" w:hAnsi="Arial"/>
                <w:sz w:val="18"/>
                <w:szCs w:val="18"/>
                <w:b w:val="1"/>
                <w:bCs w:val="1"/>
                <w:color w:val="auto"/>
                <w:w w:val="79"/>
              </w:rPr>
              <w:t>2015</w:t>
            </w:r>
          </w:p>
        </w:tc>
        <w:tc>
          <w:tcPr>
            <w:tcW w:w="1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Fourth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58.85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firstLine="598"/>
        <w:spacing w:after="0" w:line="277" w:lineRule="auto"/>
        <w:rPr>
          <w:sz w:val="20"/>
          <w:szCs w:val="20"/>
          <w:color w:val="auto"/>
        </w:rPr>
      </w:pPr>
      <w:r>
        <w:rPr>
          <w:rFonts w:ascii="Arial" w:cs="Arial" w:eastAsia="Arial" w:hAnsi="Arial"/>
          <w:sz w:val="18"/>
          <w:szCs w:val="18"/>
          <w:color w:val="auto"/>
        </w:rPr>
        <w:t>As of February 3, 2017, there were approximately 32 holders of record of our Class A common stock. This does not include the number of shareholders that hold shares in “street-name” through banks or broker-dealers.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February 3, 2017, the last reported sales price for our Class A common stock on the New York Stock Exchange was $43.47 per share.</w:t>
      </w:r>
    </w:p>
    <w:p>
      <w:pPr>
        <w:spacing w:after="0" w:line="23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On February 1, 2017, the Board of Directors of Lazard declared a quarterly dividend of $0.38 per share, and a special dividend of $1.20 per share, on our Class A common stock. The quarterly dividend and the special dividend are payable on February 24, 2017, to stockholders of record on February 13, 2017.</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Share Repurchases in the Fourth Quarter of 2016</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fourth quarter of 2016.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per 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October 1 – October 31, 2016</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742,393</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742,393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November 1 – November 30, 2016</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899,413</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December 1 – December 31, 2016</w:t>
            </w: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253,215</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253,215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1,895,021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1,895,021</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16,464</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ind w:left="600" w:right="40" w:hanging="592"/>
        <w:spacing w:after="0" w:line="269"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years ended December 31, 2016, 2015, and 2014, the Board of Directors of Lazard authorized the repurchase of Class A common stock as set forth in the table below.</w:t>
      </w:r>
    </w:p>
    <w:tbl>
      <w:tblPr>
        <w:tblLayout w:type="fixed"/>
        <w:tblInd w:w="1140" w:type="dxa"/>
        <w:tblCellMar>
          <w:top w:w="0" w:type="dxa"/>
          <w:left w:w="0" w:type="dxa"/>
          <w:bottom w:w="0" w:type="dxa"/>
          <w:right w:w="0" w:type="dxa"/>
        </w:tblCellMar>
      </w:tblP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5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Authorization</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2014</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February 2015</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January 2016</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April 2016</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113,182</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November 2016</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0" w:right="80"/>
        <w:spacing w:after="0" w:line="292"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2" w:lineRule="exact"/>
        <w:rPr>
          <w:sz w:val="20"/>
          <w:szCs w:val="20"/>
          <w:color w:val="auto"/>
        </w:rPr>
      </w:pPr>
    </w:p>
    <w:p>
      <w:pPr>
        <w:ind w:left="600" w:right="100" w:hanging="592"/>
        <w:spacing w:after="0" w:line="279"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the terms of the 2008 Plan, upon the vesting of RSUs, PRSUs, DSUs and delivery of restricted Class A common stock, shares of Class A common stock may be withheld by the Company to meet the minimum statutory tax withholding requirements. During the three month period ended December 31, 2016, the Company satisfied such obligations in lieu of issuing (i) 4,753 shares of Class A common stock upon the vesting of 12,835 RSUs and (ii) 8,042 shares of Class A common stock upon the vesting of 17,596 shares of restricted Class A common stock.</w:t>
      </w:r>
    </w:p>
    <w:p>
      <w:pPr>
        <w:spacing w:after="0" w:line="17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During the year ended December 31, 2016,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stock performance graph below compares the performance of an investment in our Class A common stock, from December 31, 2011 through December 31, 2016, with that of the S&amp;P 500 Index and the S&amp;P Financial Index. The graph assumes $100 was invested at the close of business on December 31, 2011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266065</wp:posOffset>
            </wp:positionV>
            <wp:extent cx="5213985" cy="2084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2016 have been derived from Lazard Ltd’s consolidated financial statements. The audited consolidated statements of financial condition as of December 31, 2016 and 2015 and audited consolidated statements of operations for each of the years in the three year period ended December 31, 2016 are included in this Form 10-K. The audited consolidated statements of financial condition as of December 31, 2014, 2013 and 2012, and the audited consolidated statements of operations for the years ended December 31, 2013 and 2012, are not included in this Form 10-K. Historical results should not be considered an indication of results for any future period.</w:t>
      </w:r>
    </w:p>
    <w:p>
      <w:pPr>
        <w:spacing w:after="0" w:line="193" w:lineRule="exact"/>
        <w:rPr>
          <w:sz w:val="20"/>
          <w:szCs w:val="20"/>
          <w:color w:val="auto"/>
        </w:rPr>
      </w:pPr>
    </w:p>
    <w:p>
      <w:pPr>
        <w:ind w:right="40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8"/>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(dollars in thousands, except for per share amounts)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 (a)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1,111,105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(18,989)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(37,125)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(40,882)</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(34,355)</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(32,902)</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2,333,371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2,353,608</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2,300,447</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1,985,352</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1,912,448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1,340,543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1,319,746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1,313,606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1,278,534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475,367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1,050,482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467,376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490,011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437,434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1,815,910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2,370,228</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1,780,982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1,768,545</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1,788,563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517,461</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(16,620)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519,465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216,807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123,885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393,692</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992,932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434,063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165,114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387,698</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986,373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427,277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160,212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Per Share of</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Common Stock:</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Dividends Declared Per Share of Class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ind w:left="120"/>
              <w:spacing w:after="0"/>
              <w:rPr>
                <w:sz w:val="20"/>
                <w:szCs w:val="20"/>
                <w:color w:val="auto"/>
              </w:rPr>
            </w:pPr>
            <w:r>
              <w:rPr>
                <w:rFonts w:ascii="Arial" w:cs="Arial" w:eastAsia="Arial" w:hAnsi="Arial"/>
                <w:sz w:val="16"/>
                <w:szCs w:val="16"/>
                <w:color w:val="auto"/>
              </w:rPr>
              <w:t>A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 (f)</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4,556,508</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4,477,774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3,325,329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3,002,553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2,980,413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(g)</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1,055,600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Ltd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1,235,987</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1,313,455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706,744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560,209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569,656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1,293,813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1,367,306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770,057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629,998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197,910,000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186,380,000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197,103,000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186,924,000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167,060,000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194,808,000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195,987,000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196,037,000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173,702,000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155,549,000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5040" w:type="dxa"/>
            <w:vAlign w:val="bottom"/>
          </w:tcPr>
          <w:p>
            <w:pPr>
              <w:ind w:left="360"/>
              <w:spacing w:after="0"/>
              <w:rPr>
                <w:sz w:val="20"/>
                <w:szCs w:val="20"/>
                <w:color w:val="auto"/>
              </w:rPr>
            </w:pPr>
            <w:r>
              <w:rPr>
                <w:rFonts w:ascii="Arial" w:cs="Arial" w:eastAsia="Arial" w:hAnsi="Arial"/>
                <w:sz w:val="18"/>
                <w:szCs w:val="18"/>
                <w:color w:val="auto"/>
              </w:rPr>
              <w:t>Financial Advisory net revenue consists of the following:</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56"/>
        </w:trPr>
        <w:tc>
          <w:tcPr>
            <w:tcW w:w="240" w:type="dxa"/>
            <w:vAlign w:val="bottom"/>
            <w:tcBorders>
              <w:bottom w:val="single" w:sz="8" w:color="CFF0FC"/>
            </w:tcBorders>
          </w:tcPr>
          <w:p>
            <w:pPr>
              <w:spacing w:after="0"/>
              <w:rPr>
                <w:sz w:val="13"/>
                <w:szCs w:val="13"/>
                <w:color w:val="auto"/>
              </w:rPr>
            </w:pPr>
          </w:p>
        </w:tc>
        <w:tc>
          <w:tcPr>
            <w:tcW w:w="50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M&amp;A and Other Advisory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1,030,891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1,104,146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1,010,830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768,790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792,928</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Capital Raising</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68,431</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69,631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81,143</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78,916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73,403</w:t>
            </w:r>
          </w:p>
        </w:tc>
        <w:tc>
          <w:tcPr>
            <w:tcW w:w="100" w:type="dxa"/>
            <w:vAlign w:val="bottom"/>
            <w:tcBorders>
              <w:bottom w:val="single" w:sz="8" w:color="CFF0FC"/>
            </w:tcBorders>
          </w:tcPr>
          <w:p>
            <w:pPr>
              <w:spacing w:after="0"/>
              <w:rPr>
                <w:sz w:val="18"/>
                <w:szCs w:val="18"/>
                <w:color w:val="auto"/>
              </w:rPr>
            </w:pPr>
          </w:p>
        </w:tc>
      </w:tr>
      <w:tr>
        <w:trPr>
          <w:trHeight w:val="213"/>
        </w:trPr>
        <w:tc>
          <w:tcPr>
            <w:tcW w:w="240" w:type="dxa"/>
            <w:vAlign w:val="bottom"/>
            <w:shd w:val="clear" w:color="auto" w:fill="CFF0FC"/>
          </w:tcPr>
          <w:p>
            <w:pPr>
              <w:spacing w:after="0"/>
              <w:rPr>
                <w:sz w:val="18"/>
                <w:szCs w:val="18"/>
                <w:color w:val="auto"/>
              </w:rPr>
            </w:pPr>
          </w:p>
        </w:tc>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Strategic Advisory</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1,099,322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1,173,777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1,091,973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847,706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866,331</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Restructuring</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201,722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114,761</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132,871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182,759</w:t>
            </w:r>
          </w:p>
        </w:tc>
        <w:tc>
          <w:tcPr>
            <w:tcW w:w="100" w:type="dxa"/>
            <w:vAlign w:val="bottom"/>
            <w:tcBorders>
              <w:bottom w:val="single" w:sz="8" w:color="CFF0FC"/>
            </w:tcBorders>
          </w:tcPr>
          <w:p>
            <w:pPr>
              <w:spacing w:after="0"/>
              <w:rPr>
                <w:sz w:val="18"/>
                <w:szCs w:val="18"/>
                <w:color w:val="auto"/>
              </w:rPr>
            </w:pPr>
          </w:p>
        </w:tc>
      </w:tr>
      <w:tr>
        <w:trPr>
          <w:trHeight w:val="210"/>
        </w:trPr>
        <w:tc>
          <w:tcPr>
            <w:tcW w:w="240" w:type="dxa"/>
            <w:vAlign w:val="bottom"/>
            <w:shd w:val="clear" w:color="auto" w:fill="CFF0FC"/>
          </w:tcPr>
          <w:p>
            <w:pPr>
              <w:spacing w:after="0"/>
              <w:rPr>
                <w:sz w:val="18"/>
                <w:szCs w:val="18"/>
                <w:color w:val="auto"/>
              </w:rPr>
            </w:pPr>
          </w:p>
        </w:tc>
        <w:tc>
          <w:tcPr>
            <w:tcW w:w="5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1,049,090</w:t>
            </w:r>
          </w:p>
        </w:tc>
        <w:tc>
          <w:tcPr>
            <w:tcW w:w="100" w:type="dxa"/>
            <w:vAlign w:val="bottom"/>
            <w:shd w:val="clear" w:color="auto" w:fill="CFF0FC"/>
          </w:tcPr>
          <w:p>
            <w:pPr>
              <w:spacing w:after="0"/>
              <w:rPr>
                <w:sz w:val="18"/>
                <w:szCs w:val="18"/>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966,797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1,018,772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903,956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806,044</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Incentive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78,342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43,661</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68,929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86,012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63,957</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56,832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46,555</w:t>
            </w:r>
          </w:p>
        </w:tc>
        <w:tc>
          <w:tcPr>
            <w:tcW w:w="100" w:type="dxa"/>
            <w:vAlign w:val="bottom"/>
            <w:shd w:val="clear" w:color="auto" w:fill="CFF0FC"/>
          </w:tcPr>
          <w:p>
            <w:pPr>
              <w:spacing w:after="0"/>
              <w:rPr>
                <w:sz w:val="19"/>
                <w:szCs w:val="19"/>
                <w:color w:val="auto"/>
              </w:rPr>
            </w:pPr>
          </w:p>
        </w:tc>
      </w:tr>
      <w:tr>
        <w:trPr>
          <w:trHeight w:val="207"/>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1,051,316</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1,111,105</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1,134,595</w:t>
            </w:r>
          </w:p>
        </w:tc>
        <w:tc>
          <w:tcPr>
            <w:tcW w:w="2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1,039,130</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896,260</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600" w:right="180" w:hanging="592"/>
        <w:spacing w:after="0" w:line="27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investment income (losses) from certain investments and net revenue earned by LFB through its commercial banking operations.</w:t>
      </w:r>
    </w:p>
    <w:p>
      <w:pPr>
        <w:ind w:left="600" w:right="40" w:hanging="592"/>
        <w:spacing w:after="0" w:line="26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92" w:right="20"/>
        <w:spacing w:after="0" w:line="255" w:lineRule="auto"/>
        <w:rPr>
          <w:sz w:val="20"/>
          <w:szCs w:val="20"/>
          <w:color w:val="auto"/>
        </w:rPr>
      </w:pPr>
      <w:r>
        <w:rPr>
          <w:rFonts w:ascii="Arial" w:cs="Arial" w:eastAsia="Arial" w:hAnsi="Arial"/>
          <w:sz w:val="18"/>
          <w:szCs w:val="18"/>
          <w:color w:val="auto"/>
        </w:rPr>
        <w:t>2012, and $12,203 related to incentive compensation expense related to private equity transactions for which revenue may be recognized in the future and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w:t>
      </w:r>
    </w:p>
    <w:p>
      <w:pPr>
        <w:spacing w:after="0" w:line="17" w:lineRule="exact"/>
        <w:rPr>
          <w:sz w:val="20"/>
          <w:szCs w:val="20"/>
          <w:color w:val="auto"/>
        </w:rPr>
      </w:pPr>
    </w:p>
    <w:p>
      <w:pPr>
        <w:ind w:left="592" w:hanging="592"/>
        <w:spacing w:after="0" w:line="288" w:lineRule="auto"/>
        <w:tabs>
          <w:tab w:leader="none" w:pos="5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(i) in 2016, non-compensation costs of $30,067 due to the change in fair value of the contingent consideration associated with the Edgewater business acquisition, (ii) in 2015, non-compensation costs of $547,691 relating to the provision pursuant to the tax receivable agreement; $60,219 relating to the redemption of a significant portion of the Company’s 6.85% senior notes maturing on June 15, 2017 and $1,114 of expenses relating to the partial extinguishment of the tax receivable obligation, (iii) in 2014, non-compensation costs of $18,307 relating to the provision pursuant to tax receivable agreement, (iv) in 2013, non-compensation costs of $1,249 relating to the provision pursuant to the tax receivable agreement, $13,304 relating to the cost saving initiatives announced by the Company in October 2012 and $54,087 related to the refinancing of the Company’s 7.125% senior notes maturing on May 15, 2015, and (v) in 2012, non-compensation costs of $2,905 recorded in the first quarter associated with staff reductions and $2,589 recorded in the fourth quarter relating to the cost saving initiatives announced by the Company in October 2012.</w:t>
      </w:r>
    </w:p>
    <w:p>
      <w:pPr>
        <w:spacing w:after="0" w:line="2" w:lineRule="exact"/>
        <w:rPr>
          <w:rFonts w:ascii="Arial" w:cs="Arial" w:eastAsia="Arial" w:hAnsi="Arial"/>
          <w:sz w:val="16"/>
          <w:szCs w:val="16"/>
          <w:color w:val="auto"/>
        </w:rPr>
      </w:pPr>
    </w:p>
    <w:p>
      <w:pPr>
        <w:ind w:left="592" w:right="440" w:hanging="592"/>
        <w:spacing w:after="0" w:line="274"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retrospective application of new guidance adopted by the Company on classification of debt issuance costs. See Note 3 of Notes to Consolidated Financial Statements.</w:t>
      </w:r>
    </w:p>
    <w:p>
      <w:pPr>
        <w:ind w:left="592" w:hanging="592"/>
        <w:spacing w:after="0" w:line="264"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 and capital lease obligations and reflects the retrospective application of new guidance adopted by the Company on classification of debt issuance costs. See Note 3 of Notes to Consolidated Financial Statements.</w:t>
      </w:r>
    </w:p>
    <w:p>
      <w:pPr>
        <w:spacing w:after="0" w:line="3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8" w:name="page39"/>
    <w:bookmarkEnd w:id="38"/>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80" w:hanging="598"/>
        <w:spacing w:after="0" w:line="26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1200" w:right="500" w:hanging="598"/>
        <w:spacing w:after="0" w:line="26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56%</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37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ind w:right="180" w:firstLine="598"/>
        <w:spacing w:after="0" w:line="297"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(see Note 12 of Notes to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93"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Equity market indices for developed and emerging markets at December 31, 2016 increased as compared to such indices at December 31, 2015. In the global M&amp;A markets during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2016, global restructuring activity, as measured by the number of corporate defaults, increased as compared to 2015, primarily due to a higher level of defaults in the energy sector.</w:t>
      </w:r>
    </w:p>
    <w:p>
      <w:pPr>
        <w:spacing w:after="0" w:line="1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Entering 2017, volatile market conditions continue. On an ongoing basis, regional macroeconomic and geopolitical factors, including any potential regional tax or regulatory reform, may impact our business. However, corporate cash balances remain high, and interest rates remain low for companies with strong credit ratings. Although market volatility may continue and may affect our business in 2017, the longer-term trends appear to remain favorable for both of our businesses.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20" w:hanging="598"/>
        <w:spacing w:after="0" w:line="290"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M&amp;A activity appear to remain in place. Demand continues for expert,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58" w:lineRule="exact"/>
        <w:rPr>
          <w:rFonts w:ascii="Arial" w:cs="Arial" w:eastAsia="Arial" w:hAnsi="Arial"/>
          <w:sz w:val="16"/>
          <w:szCs w:val="16"/>
          <w:color w:val="auto"/>
        </w:rPr>
      </w:pPr>
    </w:p>
    <w:p>
      <w:pPr>
        <w:ind w:left="1200" w:right="60" w:hanging="598"/>
        <w:spacing w:after="0" w:line="270"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Asset Management </w:t>
      </w:r>
      <w:r>
        <w:rPr>
          <w:rFonts w:ascii="Arial" w:cs="Arial" w:eastAsia="Arial" w:hAnsi="Arial"/>
          <w:sz w:val="17"/>
          <w:szCs w:val="17"/>
          <w:color w:val="auto"/>
        </w:rPr>
        <w:t>– In the short to intermediate term, we expect most investor demand will come from defined benefit and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Middle East North African Equities.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jc w:val="both"/>
        <w:ind w:right="860" w:firstLine="598"/>
        <w:spacing w:after="0" w:line="34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including completed transactions with values greater than $500 million, decreased in 2016 as compared to 2015. With respect to announced M&amp;A transactions, the value and number of all transactions, including announced transactions with values greater than $500 million, also decreased in 2016 as compared to 2015.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1"/>
                <w:szCs w:val="11"/>
                <w:color w:val="auto"/>
              </w:rPr>
            </w:pPr>
          </w:p>
        </w:tc>
        <w:tc>
          <w:tcPr>
            <w:tcW w:w="13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14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4,095</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35,788</w:t>
            </w:r>
          </w:p>
        </w:tc>
        <w:tc>
          <w:tcPr>
            <w:tcW w:w="6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39,922</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2,824</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3,145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1,257</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3,838</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4,661</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37,148</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40,376</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3,671</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1,216</w:t>
            </w:r>
          </w:p>
        </w:tc>
        <w:tc>
          <w:tcPr>
            <w:tcW w:w="6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1,314</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6, 2017.</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Global restructuring activity during 2016, as measured by the number of corporate defaults, increased as compared to 2015. The number of defaulting issuers increased to 142 in 2016, according to Moody’s Investors Service, Inc., as compared to 108 in 2015, primarily due to a higher level of defaults in the energy sector.</w:t>
      </w:r>
    </w:p>
    <w:p>
      <w:pPr>
        <w:spacing w:after="0" w:line="181"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7% in 2016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ind w:right="280"/>
        <w:spacing w:after="0" w:line="264" w:lineRule="auto"/>
        <w:rPr>
          <w:sz w:val="20"/>
          <w:szCs w:val="20"/>
          <w:color w:val="auto"/>
        </w:rPr>
      </w:pPr>
      <w:r>
        <w:rPr>
          <w:rFonts w:ascii="Arial" w:cs="Arial" w:eastAsia="Arial" w:hAnsi="Arial"/>
          <w:sz w:val="18"/>
          <w:szCs w:val="18"/>
          <w:color w:val="auto"/>
        </w:rPr>
        <w:t>compared to 2015. The industry statistics for global M&amp;A transactions described above reflect a 10% decrease in the value and number of all completed transactions in 2016 as compared to 2015. For M&amp;A deals with values greater than $500 million, the value and number of completed transactions in 2016 decreased 10% and 11%, respectively, as compared to 2015.</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2016, as compared to such indices at December 31, 2015, and (ii) at December 31, 2015, as compared to such indices at December 31, 2014, is shown in the table below.</w:t>
      </w:r>
    </w:p>
    <w:p>
      <w:pPr>
        <w:spacing w:after="0" w:line="17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Percentage Changes</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9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3"/>
              </w:rPr>
              <w:t>2016 vs. 2015</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 vs. 2014</w:t>
            </w:r>
          </w:p>
        </w:tc>
        <w:tc>
          <w:tcPr>
            <w:tcW w:w="24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01"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jc w:val="both"/>
        <w:ind w:right="80"/>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December 31, 2016 increased 6% versus AUM at December 31, 2015, due to market appreciation and net inflows, partially offset by adverse foreign exchange movements. Average AUM for 2016 decreased 1% as compared to average AUM in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ind w:firstLine="598"/>
        <w:spacing w:after="0" w:line="286"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2"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Although Corporate segment net revenue during 2016 is not significant compared to Lazard’s net revenue, total assets in the Corporate segment represented 66% of Lazard’s consolidated total assets as of December 31, 2016,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1200" w:right="5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jc w:val="both"/>
        <w:ind w:left="1800" w:right="540" w:hanging="603"/>
        <w:spacing w:after="0" w:line="264"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2017 related to the 2016 year-end compensation process), including PRSU awards (based on the target payout level);</w:t>
      </w:r>
    </w:p>
    <w:p>
      <w:pPr>
        <w:spacing w:after="0" w:line="73" w:lineRule="exact"/>
        <w:rPr>
          <w:rFonts w:ascii="Arial" w:cs="Arial" w:eastAsia="Arial" w:hAnsi="Arial"/>
          <w:sz w:val="18"/>
          <w:szCs w:val="18"/>
          <w:color w:val="auto"/>
        </w:rPr>
      </w:pPr>
    </w:p>
    <w:p>
      <w:pPr>
        <w:ind w:left="1800" w:right="100" w:hanging="603"/>
        <w:spacing w:after="0" w:line="277"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hanging="603"/>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jc w:val="both"/>
        <w:ind w:right="20" w:firstLine="598"/>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w:t>
      </w:r>
    </w:p>
    <w:p>
      <w:pPr>
        <w:spacing w:after="0" w:line="252" w:lineRule="auto"/>
        <w:rPr>
          <w:sz w:val="20"/>
          <w:szCs w:val="20"/>
          <w:color w:val="auto"/>
        </w:rPr>
      </w:pPr>
      <w:r>
        <w:rPr>
          <w:rFonts w:ascii="Arial" w:cs="Arial" w:eastAsia="Arial" w:hAnsi="Arial"/>
          <w:sz w:val="18"/>
          <w:szCs w:val="18"/>
          <w:color w:val="auto"/>
        </w:rPr>
        <w:t>55.8% and 56.5%, respectively, for the year ended December 31, 2016. While we have implemented initiatives that we believe will assist us in continuing to attain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9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2016 and 2015, non-compensation expense included expenses related to the redemption of the Company’s 6.85% senior notes due 2017 (the “2017 Notes”) (see Note 11 of Notes to Consolidated Financial Statements).</w:t>
      </w:r>
    </w:p>
    <w:p>
      <w:pPr>
        <w:spacing w:after="0" w:line="18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Our operating expenses also include our “provision pursuant to the tax receivable agreement” and “amortization and other acquisition-related costs”. “Amortization and other acquisition-related costs” include the change in fair value of the contingent consideration associated with certain business acquisitions and pertain primarily to the acquisition of Edgewater.</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16 of Notes to Consolidated Financial Statements for additional information).</w:t>
      </w:r>
    </w:p>
    <w:p>
      <w:pPr>
        <w:spacing w:after="0" w:line="173" w:lineRule="exact"/>
        <w:rPr>
          <w:sz w:val="20"/>
          <w:szCs w:val="20"/>
          <w:color w:val="auto"/>
        </w:rPr>
      </w:pPr>
    </w:p>
    <w:p>
      <w:pPr>
        <w:ind w:right="380" w:firstLine="598"/>
        <w:spacing w:after="0" w:line="279" w:lineRule="auto"/>
        <w:rPr>
          <w:sz w:val="20"/>
          <w:szCs w:val="20"/>
          <w:color w:val="auto"/>
        </w:rPr>
      </w:pPr>
      <w:r>
        <w:rPr>
          <w:rFonts w:ascii="Arial" w:cs="Arial" w:eastAsia="Arial" w:hAnsi="Arial"/>
          <w:sz w:val="17"/>
          <w:szCs w:val="17"/>
          <w:color w:val="auto"/>
        </w:rPr>
        <w:t>In the second quarter of 2015, we released substantially all of our valuation allowance related to deferred tax assets. When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71"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See “Critical Accounting Policies and Estimates—Income Taxes” below and Notes 16 and 18 of Notes to Consolidated Financial Statements for additional information regarding income taxes, our deferred tax assets, the valuation allowance release in 2015 and the tax receivable agreement obligation.</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right="300" w:firstLine="598"/>
        <w:spacing w:after="0" w:line="31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and, through May 2014, the amount attributable to LAZ-MD Holdings LLC’s (“LAZ-MD Holdings”) ownership interest in the net income of Lazard Group. See Note 13 of Notes to Consolidated Financial Statements for information regarding the Company’s noncontrolling interests. In May 2014,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60"/>
        <w:spacing w:after="0" w:line="279" w:lineRule="auto"/>
        <w:rPr>
          <w:sz w:val="20"/>
          <w:szCs w:val="20"/>
          <w:color w:val="auto"/>
        </w:rPr>
      </w:pPr>
      <w:r>
        <w:rPr>
          <w:rFonts w:ascii="Arial" w:cs="Arial" w:eastAsia="Arial" w:hAnsi="Arial"/>
          <w:sz w:val="17"/>
          <w:szCs w:val="17"/>
          <w:color w:val="auto"/>
        </w:rPr>
        <w:t>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 See Note 1 of Notes to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38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years ended December 31, 2016 and 2015 was negatively impacted in comparison to the prior year period, with the effects mainly in 2015.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2,333,371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2,353,608</w:t>
            </w:r>
          </w:p>
        </w:tc>
        <w:tc>
          <w:tcPr>
            <w:tcW w:w="3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2,300,447</w:t>
            </w:r>
          </w:p>
        </w:tc>
        <w:tc>
          <w:tcPr>
            <w:tcW w:w="18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1,340,543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1,319,746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1,313,606</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496,970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442,682</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18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Provision pursuant to tax receivable agreement</w:t>
            </w: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547,691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18,307</w:t>
            </w:r>
          </w:p>
        </w:tc>
        <w:tc>
          <w:tcPr>
            <w:tcW w:w="180" w:type="dxa"/>
            <w:vAlign w:val="bottom"/>
          </w:tcPr>
          <w:p>
            <w:pPr>
              <w:spacing w:after="0"/>
              <w:rPr>
                <w:sz w:val="19"/>
                <w:szCs w:val="19"/>
                <w:color w:val="auto"/>
              </w:rPr>
            </w:pPr>
          </w:p>
        </w:tc>
      </w:tr>
      <w:tr>
        <w:trPr>
          <w:trHeight w:val="223"/>
        </w:trPr>
        <w:tc>
          <w:tcPr>
            <w:tcW w:w="6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1,815,910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2,370,228</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1,780,982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517,461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519,465</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(1,009,552)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85,402</w:t>
            </w:r>
          </w:p>
        </w:tc>
        <w:tc>
          <w:tcPr>
            <w:tcW w:w="18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Net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434,063</w:t>
            </w:r>
          </w:p>
        </w:tc>
        <w:tc>
          <w:tcPr>
            <w:tcW w:w="18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18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427,277</w:t>
            </w:r>
          </w:p>
        </w:tc>
        <w:tc>
          <w:tcPr>
            <w:tcW w:w="18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60" w:firstLine="877"/>
        <w:spacing w:after="0" w:line="259" w:lineRule="auto"/>
        <w:rPr>
          <w:sz w:val="20"/>
          <w:szCs w:val="20"/>
          <w:color w:val="auto"/>
        </w:rPr>
      </w:pPr>
      <w:r>
        <w:rPr>
          <w:rFonts w:ascii="Arial" w:cs="Arial" w:eastAsia="Arial" w:hAnsi="Arial"/>
          <w:sz w:val="18"/>
          <w:szCs w:val="18"/>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2,333,371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2,353,608</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2,300,447</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(15,592)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(14,956)</w:t>
            </w: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Private equity revenue adjustment (c)</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acquisition of MBA Lazard (d)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2,344,339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2,380,132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560" w:hanging="592"/>
        <w:spacing w:after="0" w:line="290"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2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300" w:hanging="592"/>
        <w:spacing w:after="0" w:line="259"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 purposes.</w:t>
      </w:r>
    </w:p>
    <w:p>
      <w:pPr>
        <w:spacing w:after="0" w:line="11" w:lineRule="exact"/>
        <w:rPr>
          <w:rFonts w:ascii="Arial" w:cs="Arial" w:eastAsia="Arial" w:hAnsi="Arial"/>
          <w:sz w:val="18"/>
          <w:szCs w:val="18"/>
          <w:color w:val="auto"/>
        </w:rPr>
      </w:pPr>
    </w:p>
    <w:p>
      <w:pPr>
        <w:ind w:left="600" w:right="6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gain on the acquisition of MBA Lazard (which resulted from the increase in the fair value of the Company’s investment in MBA Lazard prior to the acquisition).</w:t>
      </w:r>
    </w:p>
    <w:p>
      <w:pPr>
        <w:ind w:left="600" w:right="24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1,340,543</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1,319,746</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1,313,606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Noncontrolling interests (a)</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(11,900)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Adjusted compensation and benefits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1,325,325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1,318,797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1,301,713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(352,403)</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(320,751)</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(299,230)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adjusted cash compensation and benefits expense (c)</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972,922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998,046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1,002,483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Year-end deferred incentive compensation awards (d)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342,449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336,086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325,210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Sign-on and other special incentive awards (e)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Deduct - adjustments for estimated forfeitures (f)</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(27,917)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 adjustments (g)</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(8,079)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Awarded compensation and benefits expense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1,309,154</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1,329,112</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1,305,310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Awarded compensation and benefits expense, as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jc w:val="center"/>
        <w:ind w:left="5620" w:right="980" w:hanging="5612"/>
        <w:spacing w:after="0" w:line="543" w:lineRule="auto"/>
        <w:tabs>
          <w:tab w:leader="none" w:pos="5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47" w:name="page48"/>
    <w:bookmarkEnd w:id="47"/>
    <w:p>
      <w:pPr>
        <w:ind w:left="600" w:right="36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right="22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base salaries and benefits of $574,566, $584,098 and $569,596 for 2016, 2015 and 2014, respectively, and cash incentive compensation of $398,356, $413,948 and $432,887 for the respective years.</w:t>
      </w:r>
    </w:p>
    <w:p>
      <w:pPr>
        <w:ind w:left="600" w:right="380" w:hanging="592"/>
        <w:spacing w:after="0" w:line="290"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2017, 2016 and 2015 related to the 2016, 2015 and 2014 year-end compensation processes, respectively).</w:t>
      </w:r>
    </w:p>
    <w:p>
      <w:pPr>
        <w:ind w:left="600" w:right="36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grants to new hires, retention awards and performance units earned under PRSU grants.</w:t>
      </w:r>
    </w:p>
    <w:p>
      <w:pPr>
        <w:ind w:left="600" w:right="260" w:hanging="592"/>
        <w:spacing w:after="0" w:line="308"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ind w:left="600" w:hanging="592"/>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440,120</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496,970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442,682</w:t>
            </w:r>
          </w:p>
        </w:tc>
        <w:tc>
          <w:tcPr>
            <w:tcW w:w="18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(1,913)</w:t>
            </w: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(b)</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(60,219)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15"/>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Expense related to partial extinguishment of tax</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receivable obligation</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Professional fees related to acquisitions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3"/>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14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433,713</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434,147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440,769</w:t>
            </w:r>
          </w:p>
        </w:tc>
        <w:tc>
          <w:tcPr>
            <w:tcW w:w="180" w:type="dxa"/>
            <w:vAlign w:val="bottom"/>
            <w:tcBorders>
              <w:bottom w:val="single" w:sz="8" w:color="CFF0FC"/>
            </w:tcBorders>
          </w:tcPr>
          <w:p>
            <w:pPr>
              <w:spacing w:after="0"/>
              <w:rPr>
                <w:sz w:val="22"/>
                <w:szCs w:val="22"/>
                <w:color w:val="auto"/>
              </w:rPr>
            </w:pPr>
          </w:p>
        </w:tc>
      </w:tr>
      <w:tr>
        <w:trPr>
          <w:trHeight w:val="196"/>
        </w:trPr>
        <w:tc>
          <w:tcPr>
            <w:tcW w:w="520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non-compensation expense, as</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w:t>
            </w: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72" w:lineRule="exact"/>
        <w:rPr>
          <w:rFonts w:ascii="Arial" w:cs="Arial" w:eastAsia="Arial" w:hAnsi="Arial"/>
          <w:sz w:val="16"/>
          <w:szCs w:val="16"/>
          <w:color w:val="auto"/>
        </w:rPr>
      </w:pPr>
    </w:p>
    <w:p>
      <w:pPr>
        <w:ind w:left="600" w:right="280" w:hanging="592"/>
        <w:spacing w:after="0" w:line="26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Charges pertaining to (i) the redemption of the remaining balance of the Company’s 2017 Notes in 2016 and (ii) the redemption of a significant portion of the Company’s 2017 Notes in 2015 are excluded because of the non-operating nature of such transactions. See “—Liquidity and Capital Resources—Financing Activities.”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2,344,339</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2,380,132</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2,340,216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(1,325,325)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(1,318,797)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(1,301,713)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(433,713)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(434,147)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(440,769)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0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585,301</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627,188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597,734</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Earnings from operations, as a % of operating</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46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8" w:name="page49"/>
    <w:bookmarkEnd w:id="48"/>
    <w:p>
      <w:pPr>
        <w:ind w:left="600"/>
        <w:spacing w:after="0"/>
        <w:rPr>
          <w:sz w:val="20"/>
          <w:szCs w:val="20"/>
          <w:color w:val="auto"/>
        </w:rPr>
      </w:pPr>
      <w:r>
        <w:rPr>
          <w:rFonts w:ascii="Arial" w:cs="Arial" w:eastAsia="Arial" w:hAnsi="Arial"/>
          <w:sz w:val="18"/>
          <w:szCs w:val="18"/>
          <w:color w:val="auto"/>
        </w:rPr>
        <w:t>Headcount information is set forth below:</w:t>
      </w:r>
    </w:p>
    <w:p>
      <w:pPr>
        <w:spacing w:after="0" w:line="23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As of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6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500"/>
              <w:spacing w:after="0"/>
              <w:rPr>
                <w:sz w:val="20"/>
                <w:szCs w:val="20"/>
                <w:color w:val="auto"/>
              </w:rPr>
            </w:pPr>
            <w:r>
              <w:rPr>
                <w:rFonts w:ascii="Arial" w:cs="Arial" w:eastAsia="Arial" w:hAnsi="Arial"/>
                <w:sz w:val="18"/>
                <w:szCs w:val="18"/>
                <w:color w:val="auto"/>
              </w:rPr>
              <w:t>Business segment professionals</w:t>
            </w:r>
          </w:p>
        </w:tc>
        <w:tc>
          <w:tcPr>
            <w:tcW w:w="48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1,173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1,190</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2,610</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Company reported net income attributable to Lazard Ltd of $388 million, as compared to net income of $986 million in 2015. The changes in the Company’s operating results during these periods are described below.</w:t>
      </w:r>
    </w:p>
    <w:p>
      <w:pPr>
        <w:spacing w:after="0" w:line="17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Net revenue decreased $20 million, or 1%, with operating revenue decreasing $36 million, or 2%, as compared to 2015. Fee revenue from investment banking and other advisory activities increased $22 million, or 2%, primarily due to an increase in Restructuring revenue, which generally reflected a higher level of activity in the U.S. energy sector in 2016. This increase was partially offset by a decrease in M&amp;A and Other Advisory fees, which primarily reflected a lower level of closings, and a decrease in the average transaction fee with respect to completed transactions involving fees greater than $1 million, as compared to 2015. Asset Management fees, including incentive fees, decreased $38 million, or 4%, as compared to 2015, due primarily to a decrease in average AUM, a change in the mix of AUM and a decrease in incentive fees. In the aggregate, interest income, other revenue and interest expense decreased $4 million as compared to 2015, primarily due to a $24 million gain in 2015 on the disposal of the Company’s Australian private equity business (which relates primarily to the realization of carried interest at fair value), partially offset by, in 2016, (i) the gain on the acquisition of MBA Lazard (which resulted from the increase in the fair value of the Company’s investment in MBA Lazard prior to the acquisition) and (ii) higher gains attributable to investments held in connection with LFI.</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$21 million, or 2%, as compared to 2015, primarily due to higher amortization expense.</w:t>
      </w:r>
    </w:p>
    <w:p>
      <w:pPr>
        <w:spacing w:after="0" w:line="225"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$1.325 billion, an increase of $6 million as compared to $1.319 billion in 2015. The ratio of adjusted compensation and benefits expense to operating revenue was 56.5% for 2016, as compared to 55.4% for 2015. Awarded compensation and benefits expense in 2016 was $1.309 billion, a decrease of $20 million, or 2%, when compared to $1.329 billion in 2015. The ratio of awarded compensation and benefits expense to operating revenue was 55.8% for each of 2016 and 2015. The year-end deferred incentive compensation awarded for 2016 was $342 million, representing a $6 million, or 2%, increase compared to 2015.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92" w:lineRule="exact"/>
        <w:rPr>
          <w:sz w:val="20"/>
          <w:szCs w:val="20"/>
          <w:color w:val="auto"/>
        </w:rPr>
      </w:pPr>
    </w:p>
    <w:p>
      <w:pPr>
        <w:jc w:val="both"/>
        <w:ind w:right="100" w:firstLine="598"/>
        <w:spacing w:after="0" w:line="259" w:lineRule="auto"/>
        <w:rPr>
          <w:sz w:val="20"/>
          <w:szCs w:val="20"/>
          <w:color w:val="auto"/>
        </w:rPr>
      </w:pPr>
      <w:r>
        <w:rPr>
          <w:rFonts w:ascii="Arial" w:cs="Arial" w:eastAsia="Arial" w:hAnsi="Arial"/>
          <w:sz w:val="18"/>
          <w:szCs w:val="18"/>
          <w:color w:val="auto"/>
        </w:rPr>
        <w:t>Non-compensation expense decreased $57 million, or 11%, as compared to 2015, primarily due to charges of $3 million and $60 million related to the redemption of the Company’s 2017 Notes in 2016 and 2015, respectively. Adjusted non-compensation expense, which excludes such charges, as well as non-compensation costs relating to noncontrolling interests, remained substantially unchanged as compared to 2015. The ratio of adjusted non-compensation expense to operating revenue was 18.5%, as compared to 18.2% in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760" w:firstLine="598"/>
        <w:spacing w:after="0" w:line="277" w:lineRule="auto"/>
        <w:rPr>
          <w:sz w:val="20"/>
          <w:szCs w:val="20"/>
          <w:color w:val="auto"/>
        </w:rPr>
      </w:pPr>
      <w:r>
        <w:rPr>
          <w:rFonts w:ascii="Arial" w:cs="Arial" w:eastAsia="Arial" w:hAnsi="Arial"/>
          <w:sz w:val="18"/>
          <w:szCs w:val="18"/>
          <w:color w:val="auto"/>
        </w:rPr>
        <w:t>Amortization and other acquisition-related costs increased $29 million as compared to 2015, primarily due to the change in fair value of the contingent consideration associated with the Edgewater business acquisition.</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in 2015 was $548 million (see Note 18 of Notes to Consolidated Financial Statements for additional information).</w:t>
      </w:r>
    </w:p>
    <w:p>
      <w:pPr>
        <w:spacing w:after="0" w:line="18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Operating income increased $534 million as compared to 2015. In 2016, operating income included (i) a charge relating to the redemption of the remaining balance of the Company’s 2017 Notes and (ii) amortization and other acquisition-related costs. In 2015, operating income included (i) a charge relating to the redemption of a significant portion of the Company’s 2017 Notes and (ii) the impact of the provision pursuant to the tax receivable agreement described above.</w:t>
      </w:r>
    </w:p>
    <w:p>
      <w:pPr>
        <w:spacing w:after="0" w:line="18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Earnings from operations decreased $42 million, or 7%, as compared to 2015. In 2016, earnings from operations excluded (i) a charge relating to the redemption of the remaining balance of the Company’s 2017 Notes and (ii) amortization and other acquisition-related costs. In 2015, earnings from operations excluded (i) the charge related to the redemption of a significant portion of the Company’s 2017 Notes and (ii) the impact of the provision pursuant to the tax receivable agreement described above. Earnings from operations, as a percentage of operating revenue, was 25.0%, as compared to 26.4% in 2015.</w:t>
      </w:r>
    </w:p>
    <w:p>
      <w:pPr>
        <w:spacing w:after="0" w:line="154"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provision for income taxes reflects an effective tax rate of 23.9%, as compared to 6,074.3% for 2015. The unusually high effective tax rate in 2015 was primarily driven by (i) the reduction of operating income in 2015 as a result of the provision pursuant to the tax receivable agreement, and (ii) the release of substantially all of our valuation allowance related to deferred tax assets in 2015. See Notes 16 and 18 of Notes to Consolidated Financial Statements and “Critical Accounting Policies—Income Taxes” below.</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Company reported net income attributable to Lazard Ltd of $986 million, as compared to net income of $427 million in 2014. The changes in the Company’s operating results during these years are described below.</w:t>
      </w:r>
    </w:p>
    <w:p>
      <w:pPr>
        <w:spacing w:after="0" w:line="170"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Net revenue increased $53 million, or 2%, with operating revenue increasing $40 million, or 2%, as compared to 2014. Fee revenue from investment banking and other advisory activities increased $75 million, or 6%, primarily due to increases in M&amp;A and Other Advisory fees. The increase in M&amp;A and Other Advisory fee revenue was primarily due to an increase in the average transaction fee with respect to completed transactions involving fees greater than $1 million as compared to 2014. Asset management fees, including incentive fees, decreased $44 million, or 4%, as compared to 2014, due to a decrease in management fees from slightly lower average AUM, a slight change in the mix of assets and a decrease in incentive fees relating to traditional investment products. In the aggregate, interest income, other revenue and interest expense increased $23 million as compared to 2014, primarily due to a $24 million gain on the disposal of the Company’s Australian private equity business (which primarily related to the realization of carried interest at fair value), partially offset by lower investment gains from LFI. Interest expense was lower due to the refinancing of the 2017 Notes.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$6 million as compared to 2014, primarily driven by an increase in operating revenue.</w:t>
      </w:r>
    </w:p>
    <w:p>
      <w:pPr>
        <w:spacing w:after="0" w:line="225"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years, as described above) was $1.319 billion, an increase of $17 million, or 1%, as compared to $1.302 billion in 2014. The ratio of adjusted compensation and benefits expense to operating revenue was 55.4% for 2015, as compared to 55.6% for 2014. Awarded compensation and benefits expense in 2015 was $1.329 billion, an increase of $24 million, or 2%, when compared to $1.305 billion in 2014. The ratio of awarded compensation and benefits expense to operating revenue was 55.8% for 2015 and 2014. The year-end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300"/>
        <w:spacing w:after="0" w:line="286" w:lineRule="auto"/>
        <w:rPr>
          <w:sz w:val="20"/>
          <w:szCs w:val="20"/>
          <w:color w:val="auto"/>
        </w:rPr>
      </w:pPr>
      <w:r>
        <w:rPr>
          <w:rFonts w:ascii="Arial" w:cs="Arial" w:eastAsia="Arial" w:hAnsi="Arial"/>
          <w:sz w:val="17"/>
          <w:szCs w:val="17"/>
          <w:color w:val="auto"/>
        </w:rPr>
        <w:t>deferred incentive compensation awarded for 2015 was $336 million, representing an $11 million, or 3%, increase compared to 2014.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66"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Non-compensation expense increased $54 million, or 12%, as compared to 2014, primarily due to a charge of $60 million related to the redemption of a significant portion of the Company’s 2017 Notes. Adjusted non-compensation expense, which excludes such charge, as well as non-compensation costs relating to noncontrolling interests, decreased $7 million, or 2%, as compared to 2014. The ratio of adjusted non-compensation expense to operating revenue was 18.2%, as compared to 18.8% in 2014.</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of intangible assets remained substantially unchanged as compared to 2014.</w:t>
      </w:r>
    </w:p>
    <w:p>
      <w:pPr>
        <w:spacing w:after="0" w:line="225"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was</w:t>
      </w:r>
    </w:p>
    <w:p>
      <w:pPr>
        <w:spacing w:after="0"/>
        <w:rPr>
          <w:sz w:val="20"/>
          <w:szCs w:val="20"/>
          <w:color w:val="auto"/>
        </w:rPr>
      </w:pPr>
      <w:r>
        <w:rPr>
          <w:rFonts w:ascii="Arial" w:cs="Arial" w:eastAsia="Arial" w:hAnsi="Arial"/>
          <w:sz w:val="17"/>
          <w:szCs w:val="17"/>
          <w:color w:val="auto"/>
        </w:rPr>
        <w:t>$548 million in 2015, as compared to $18 million in 2014 (see Note 16 of Notes to Consolidated Financial Statements for additional information).</w:t>
      </w:r>
    </w:p>
    <w:p>
      <w:pPr>
        <w:spacing w:after="0" w:line="22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Operating income, which included the charge relating to the redemption of a significant portion of the Company’s 2017 Notes, as well as the impact of the provision pursuant to the tax receivable agreement described above, decreased $536 million as compared to 2014.</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Earnings from operations, which excluded the charge related to the redemption of a significant portion of the Company’s 2017 Notes, as well as the impact of the provision pursuant to the tax receivable agreement described above, increased $29 million, or 5%, as compared to 2014, and, as a percentage of operating revenue, was 26.4%, as compared to 25.5% in 2014.</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provision for income taxes reflected an effective tax rate of 6,074.3%, as compared to 16.4% for 2014. The increase in the effective tax rate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as compared to 2014 was primarily driven by (i) the negative impact on “operating income (loss)” as a result of the provision pursuant to the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receivable agreement described above, and (ii) the provision (benefit) for income taxes, which was impacted by the recognition of deferred tax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$1,255 million and deferred tax expense of approximately $161 million relating to the partial extinguishment of the tax receivable agreement obligation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third quarter. See Note 16 of Notes to Consolidated Financial Statements.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4"/>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M&amp;A and Other Advisory</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1,030,891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1,104,146</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1,010,830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Raising</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Strategic Advisory</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1,099,322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1,173,777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201,722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1,279,628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1,206,734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1,017,055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283,989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229,053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600"/>
              <w:spacing w:after="0"/>
              <w:rPr>
                <w:sz w:val="20"/>
                <w:szCs w:val="20"/>
                <w:color w:val="auto"/>
              </w:rPr>
            </w:pPr>
            <w:r>
              <w:rPr>
                <w:rFonts w:ascii="Arial" w:cs="Arial" w:eastAsia="Arial" w:hAnsi="Arial"/>
                <w:sz w:val="18"/>
                <w:szCs w:val="18"/>
                <w:color w:val="auto"/>
              </w:rPr>
              <w:t>Certain Lazard fee and transaction statistics are set forth below:</w:t>
            </w: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34"/>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M&amp;A and Other Advisory</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top 10 clients (a)</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Number of M&amp;A transactions completed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values greater than $500 million (b)</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2016, 2015 or 2014.</w:t>
      </w:r>
    </w:p>
    <w:p>
      <w:pPr>
        <w:spacing w:after="0" w:line="72" w:lineRule="exact"/>
        <w:rPr>
          <w:rFonts w:ascii="Arial" w:cs="Arial" w:eastAsia="Arial" w:hAnsi="Arial"/>
          <w:sz w:val="16"/>
          <w:szCs w:val="16"/>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Dealogic as of January 6, 2017.</w:t>
      </w:r>
    </w:p>
    <w:p>
      <w:pPr>
        <w:spacing w:after="0" w:line="225"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23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Financial Advisory net revenue increased $21 million, or 2%, as compared to 2015. Total Strategic Advisory net revenue, representing fees from our M&amp;A and Other Advisory and Capital Raising businesses, decreased $75 million, or 6%, and Restructuring revenue increased $96 million, or 91%, as compared to 2015.</w:t>
      </w:r>
    </w:p>
    <w:p>
      <w:pPr>
        <w:spacing w:after="0" w:line="18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M&amp;A and Other Advisory revenue decreased $73 million, or 7%, and Capital Raising revenue decreased $1 million, or 2%, as compared to 2015. The decrease in M&amp;A and Other Advisory fee revenue primarily reflected a lower level of closings, and a decrease in the average transaction fee with respect to completed transactions involving fees greater than $1 million, as compared to 2015. Clients which in the aggregate represented a significant portion of our M&amp;A and Other Advisory revenue in 2016 included Anheuser-Busch InBev, ARM Holdings, Columbia Pipeline Group, Pepco, Starwood Hotels &amp; Resorts, Tyco and Xerox.</w:t>
      </w:r>
    </w:p>
    <w:p>
      <w:pPr>
        <w:spacing w:after="0" w:line="188"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Restructuring revenue in 2016 primarily reflected a higher level of activity in the U.S. energy sector in 2016. Clients which in the aggregate represented a significant portion of our Restructuring revenue in 2016 included Pacific Exploration &amp; Production, Peabody Energy, Seventy Seven Energy, The Official Committee of Unsecured Creditors of Energy Future Holdings and Vantage Drilling.</w:t>
      </w:r>
    </w:p>
    <w:p>
      <w:pPr>
        <w:spacing w:after="0" w:line="181" w:lineRule="exact"/>
        <w:rPr>
          <w:sz w:val="20"/>
          <w:szCs w:val="20"/>
          <w:color w:val="auto"/>
        </w:rPr>
      </w:pPr>
    </w:p>
    <w:p>
      <w:pPr>
        <w:ind w:right="900" w:firstLine="598"/>
        <w:spacing w:after="0" w:line="277" w:lineRule="auto"/>
        <w:rPr>
          <w:sz w:val="20"/>
          <w:szCs w:val="20"/>
          <w:color w:val="auto"/>
        </w:rPr>
      </w:pPr>
      <w:r>
        <w:rPr>
          <w:rFonts w:ascii="Arial" w:cs="Arial" w:eastAsia="Arial" w:hAnsi="Arial"/>
          <w:sz w:val="18"/>
          <w:szCs w:val="18"/>
          <w:color w:val="auto"/>
        </w:rPr>
        <w:t>Operating expenses increased $11 million, or 1%, as compared to 2015, primarily due to an increase in amortization of deferred incentive compensation and, in 2016, amortization and other acquisition-related costs.</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Financial Advisory operating income was $284 million, an increase of $10 million, or 4%, as compared to operating income of $274 million in 2015 and, as a percentage of net revenue, was 21.8%, as compared to 21.4%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Financial Advisory net revenue increased $73 million, or 6%, as compared to 2014. Total Strategic Advisory net revenue, representing fees from our M&amp;A and Other Advisory and Capital Raising businesses, increased $82 million, or 7%, and Restructuring revenue decreased $9 million, or 8%, as compared to 2014.</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M&amp;A and Other Advisory revenue increased $93 million, or 9%, while Capital Raising revenue decreased $12 million, or 14%, as compared to 2014. The increase in M&amp;A and Other Advisory revenue was primarily due to an increase in the average transaction fee with respect to completed transactions involving fees greater than $1 million as compared to 2014. Our major clients, which in the aggregate represented a significant portion of our M&amp;A and Other Advisory revenue in 2015, included AT&amp;T, D.E. Master Blenders 1753, General Electric Company, GlaxoSmithKline, Heinz, Pfizer, Reynolds American, RockTenn, Rockwood, Toll Holdings, UCB and Ukraine Ministry of Finance.</w:t>
      </w:r>
    </w:p>
    <w:p>
      <w:pPr>
        <w:spacing w:after="0" w:line="188"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Restructuring revenue in 2015 was generally in line with the continued industry-wide low level of corporate restructuring activity. Our major clients, which in the aggregate represented a significant portion of our Restructuring revenue in 2015, included Chassix, Dendreon, Hercules Offshore, Millennium Health and RadioShack.</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Operating expenses increased $28 million, or 3%, as compared to 2014, primarily due to an increase in compensation and benefits expense.</w:t>
      </w:r>
    </w:p>
    <w:p>
      <w:pPr>
        <w:spacing w:after="0" w:line="23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Financial Advisory operating income was $274 million, an increase of $45 million, or 20%, as compared to operating income of $229 million in 2014 and, as a percentage of net revenue, was 21.4%, as compared to 19.0% in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43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5"/>
              </w:rPr>
              <w:t>2015 (a)</w:t>
            </w: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 (a)</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48,459</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30,567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186,380</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150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 Certain prior period amounts have been reclassified to conform to the current period presentation.</w:t>
      </w:r>
    </w:p>
    <w:p>
      <w:pPr>
        <w:spacing w:after="0" w:line="22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Total AUM at December 31, 2016 was $198 billion, an increase of $12 billion, or 6%, as compared to total AUM of $186 billion at December 31, 2015, due to market appreciation and net inflows, partially offset by adverse foreign exchange movements. Average AUM for the year ended December 31, 2016 decreased $1 billion, or 1%, as compared to 2015.</w:t>
      </w:r>
    </w:p>
    <w:p>
      <w:pPr>
        <w:spacing w:after="0" w:line="181"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As of December 31,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December 31, 2016, approximately 12% of our AUM was managed on behalf of individual client relationships, which are principally with family offices and individuals, compared to approximately 11% at December 31, 2015.</w:t>
      </w:r>
    </w:p>
    <w:p>
      <w:pPr>
        <w:spacing w:after="0" w:line="154"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2016, AUM with foreign currency exposure represented approximately 70% of our total AUM, as compared to 72% at December 31, 2015.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ind w:left="600"/>
        <w:spacing w:after="0"/>
        <w:rPr>
          <w:sz w:val="20"/>
          <w:szCs w:val="20"/>
          <w:color w:val="auto"/>
        </w:rPr>
      </w:pPr>
      <w:r>
        <w:rPr>
          <w:rFonts w:ascii="Arial" w:cs="Arial" w:eastAsia="Arial" w:hAnsi="Arial"/>
          <w:sz w:val="18"/>
          <w:szCs w:val="18"/>
          <w:color w:val="auto"/>
        </w:rPr>
        <w:t>The following table is a summary of changes in AUM by asset class for the years ended December 31, 2016,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(30,931)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Multi-Regional, Emerging Markets and Global equity platforms, and outflows in the Fixed Income asset class were primarily attributable to the Emerging Markets and Multi-Regional platforms.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2015</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(31,660)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(1,399)</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2014</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154,062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(25,419)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10,465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(9,263)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(2,939)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93"/>
        <w:spacing w:after="0" w:line="277" w:lineRule="auto"/>
        <w:rPr>
          <w:sz w:val="20"/>
          <w:szCs w:val="20"/>
          <w:color w:val="auto"/>
        </w:rPr>
      </w:pPr>
      <w:r>
        <w:rPr>
          <w:rFonts w:ascii="Arial" w:cs="Arial" w:eastAsia="Arial" w:hAnsi="Arial"/>
          <w:sz w:val="18"/>
          <w:szCs w:val="18"/>
          <w:color w:val="auto"/>
        </w:rPr>
        <w:t>As of February 16, 2017, AUM was $209.0 billion, an $11.1 billion increase since December 31, 2016. The increase in AUM was due to market appreciation of $7.7 billion, net inflows of $0.8 billion and foreign exchange appreciation of $2.6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340" w:firstLine="598"/>
        <w:spacing w:after="0" w:line="277" w:lineRule="auto"/>
        <w:rPr>
          <w:sz w:val="20"/>
          <w:szCs w:val="20"/>
          <w:color w:val="auto"/>
        </w:rPr>
      </w:pPr>
      <w:r>
        <w:rPr>
          <w:rFonts w:ascii="Arial" w:cs="Arial" w:eastAsia="Arial" w:hAnsi="Arial"/>
          <w:sz w:val="18"/>
          <w:szCs w:val="18"/>
          <w:color w:val="auto"/>
        </w:rPr>
        <w:t>Average AUM for the years ended December 31, 2016, 2015 and 2014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158,747</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159,216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160,455</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194,808</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195,987</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966,797</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1,000,018</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1,018,772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Incentive Fees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68,929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1,051,316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1,134,595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281,579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374,307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385,250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top ten clients accounted for 21%, 21% and 24% of our total AUM at December 31, 2016, 2015 and 2014,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Asset Management net revenue decreased $60 million, or 5%, as compared to 2015. Management fees decreased $33 million, or 3%, as compared to 2015, primarily due to lower average AUM and a change in the mix of AUM. Incentive fees decreased $9 million, or 38%, as compared to 2015. Other revenue decreased $17 million, or 20%, as compared to 2015, principally due to a $24 million gain in 2015 on the disposal of the Company’s Australian private equity business (which relates primarily to the realization of carried interest at fair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160" w:firstLine="598"/>
        <w:spacing w:after="0" w:line="277" w:lineRule="auto"/>
        <w:rPr>
          <w:sz w:val="20"/>
          <w:szCs w:val="20"/>
          <w:color w:val="auto"/>
        </w:rPr>
      </w:pPr>
      <w:r>
        <w:rPr>
          <w:rFonts w:ascii="Arial" w:cs="Arial" w:eastAsia="Arial" w:hAnsi="Arial"/>
          <w:sz w:val="18"/>
          <w:szCs w:val="18"/>
          <w:color w:val="auto"/>
        </w:rPr>
        <w:t>Operating expenses increased $33 million, or 4%, as compared to 2015, primarily due to the change in the fair value of the contingent consideration associated with the Edgewater business acquisition.</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$282 million, a decrease of $93 million, or 25%, as compared to operating income of $374 million in 2015 and, as a percentage of net revenue, was 26.8%, as compared to 33.7%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Asset Management net revenue decreased $23 million, or 2%, as compared to 2014. Management fees decreased $19 million, or 2%, as compared to 2014, primarily due to slightly lower average AUM and a slight change in the mix of assets. Incentive fees decreased $27 million, or 52%, as compared to 2014, primarily due to incentive fees related to traditional investment products. Other revenue increased $22 million, or 34%, as compared to 2014, primarily due to a $24 million gain on disposal of the Company’s Australian private equity business (which related primarily to the realization of carried interest at fair value).</w:t>
      </w:r>
    </w:p>
    <w:p>
      <w:pPr>
        <w:spacing w:after="0" w:line="188"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Operating expenses decreased $13 million, or 2%, as compared to 2014, primarily due to decreases in (i) compensation and benefits expense related to a decrease in discretionary compensation and (ii) non-compensation expense related to fund administration and outsourced services.</w:t>
      </w:r>
    </w:p>
    <w:p>
      <w:pPr>
        <w:spacing w:after="0" w:line="124"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$374 million, a decrease of $11 million as compared to operating income of $385 million in 2014 and, as a percentage of net revenue, was 33.7%, as compared to 34.0%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(49,458)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(50,968)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(62,565)</w:t>
            </w:r>
          </w:p>
        </w:tc>
      </w:tr>
      <w:tr>
        <w:trPr>
          <w:trHeight w:val="223"/>
        </w:trPr>
        <w:tc>
          <w:tcPr>
            <w:tcW w:w="43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 (Expense)</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17,729</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(40,882)</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627,593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53,956</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(664,718)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jc w:val="both"/>
        <w:ind w:left="600" w:hanging="592"/>
        <w:spacing w:after="0" w:line="26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in 2016, $3,148 relating to the redemption of the remaining portion of the Company’s 2017 Notes, (ii) in 2015, (a) $60,219 relating to the redemption of a significant portion of the Company’s 2017 Notes and (b) $547,691 relating to the provision pursuant to the tax receivable agreement, and (iii) in 2014, $18,307 relating to the provision pursuant to the tax receivable agreement.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decreased $2 million, or 4%, as compared to 2015</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Other revenue increased $16 million as compared to 2015, primarily due to the gain on the acquisition of MBA Lazard (which resulted from the increase in the fair value of the Company’s investment in MBA Lazard prior to the acquisition) as well as gains attributable to investments held in connection with LFI.</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Operating expenses decreased $598 million as compared to 2015. Operating expenses included, in 2016, a charge of $3 million relating to the redemption of the remaining portion of the Company’s 2017 Notes, and, in 2015, (i) a charge of $60 million related to the redemption of a significant portion of the Company’s 2017 Notes and (ii)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280"/>
        <w:spacing w:after="0" w:line="264" w:lineRule="auto"/>
        <w:rPr>
          <w:sz w:val="20"/>
          <w:szCs w:val="20"/>
          <w:color w:val="auto"/>
        </w:rPr>
      </w:pPr>
      <w:r>
        <w:rPr>
          <w:rFonts w:ascii="Arial" w:cs="Arial" w:eastAsia="Arial" w:hAnsi="Arial"/>
          <w:sz w:val="18"/>
          <w:szCs w:val="18"/>
          <w:color w:val="auto"/>
        </w:rPr>
        <w:t>charge of $548 million related to the provision pursuant to the tax receivable agreement (see Note 18 of Notes to Consolidated Financial Statements). Excluding the impact of such charges, operating expenses increased $6 million compared to 2015, primarily due to an increase in amortization of deferred incentive compensation, including an increase in amortization pertaining to LFI.</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Net interest expense decreased $11 million, or 18%, as compared to 2014, primarily due to the redemption of $450 million of the 2017 Notes and the issuance of $400 million aggregate principal amount of 3.75% senior notes due 2025 (the “2025 Notes”).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revenue decreased $7 million, or 40%, as compared to 2014, primarily due to investment losses recorded in connection with LFI.</w:t>
      </w:r>
    </w:p>
    <w:p>
      <w:pPr>
        <w:spacing w:after="0" w:line="225" w:lineRule="exact"/>
        <w:rPr>
          <w:sz w:val="20"/>
          <w:szCs w:val="20"/>
          <w:color w:val="auto"/>
        </w:rPr>
      </w:pPr>
    </w:p>
    <w:p>
      <w:pPr>
        <w:ind w:right="260" w:firstLine="598"/>
        <w:spacing w:after="0" w:line="279" w:lineRule="auto"/>
        <w:rPr>
          <w:sz w:val="20"/>
          <w:szCs w:val="20"/>
          <w:color w:val="auto"/>
        </w:rPr>
      </w:pPr>
      <w:r>
        <w:rPr>
          <w:rFonts w:ascii="Arial" w:cs="Arial" w:eastAsia="Arial" w:hAnsi="Arial"/>
          <w:sz w:val="17"/>
          <w:szCs w:val="17"/>
          <w:color w:val="auto"/>
        </w:rPr>
        <w:t>Operating expenses increased $574 million as compared to 2014, including (i) in 2015, a charge of $60 million related to the redemption of a significant portion of the Company’s 2017 Notes and (ii) in 2015 and 2014, charges of $548 million and $18 million, respectively, relating to the provision pursuant to the tax receivable agreement (see Note 14 of Notes to Consolidated Financial Statements). Excluding the impact of such charges, operating expenses decreased $16 million, or 45%, compared to 2014, primarily due to decreased compensation and benefits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 in 2016, by the issuance of the 2027 Notes and the redemption of the remaining balance of the 2017 Notes, and (ii) in 2015,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78"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2014, the Company made cash payments, including severance payments associated with certain staff reductions. The Company also paid a special dividend in 2016 and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w w:val="94"/>
              </w:rPr>
              <w:t>Adjustments to reconcile net income to net cash provided by operating activities (a)</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(68.7)</w:t>
            </w:r>
          </w:p>
        </w:tc>
      </w:tr>
      <w:tr>
        <w:trPr>
          <w:trHeight w:val="223"/>
        </w:trPr>
        <w:tc>
          <w:tcPr>
            <w:tcW w:w="240" w:type="dxa"/>
            <w:vAlign w:val="bottom"/>
            <w:tcBorders>
              <w:bottom w:val="single" w:sz="8" w:color="CFF0FC"/>
            </w:tcBorders>
          </w:tcPr>
          <w:p>
            <w:pPr>
              <w:spacing w:after="0"/>
              <w:rPr>
                <w:sz w:val="19"/>
                <w:szCs w:val="19"/>
                <w:color w:val="auto"/>
              </w:rPr>
            </w:pPr>
          </w:p>
        </w:tc>
        <w:tc>
          <w:tcPr>
            <w:tcW w:w="6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Financing activities (c)</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(487.0)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(435.4)</w:t>
            </w: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(55.4)</w:t>
            </w: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28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6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1,158.8</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1,132.1</w:t>
            </w: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Consists of the following:</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5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4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Amortization of deferred expenses and stock units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80" w:type="dxa"/>
            <w:vAlign w:val="bottom"/>
          </w:tcPr>
          <w:p>
            <w:pPr>
              <w:spacing w:after="0"/>
              <w:rPr>
                <w:sz w:val="19"/>
                <w:szCs w:val="19"/>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(1,100.8)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Amortization and other acquisition-related costs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Provision pursuant to tax receivable agreement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Gain on acquisition of portion of business already owned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Gain on disposal of subsidiaries</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464.4</w:t>
            </w:r>
          </w:p>
        </w:tc>
        <w:tc>
          <w:tcPr>
            <w:tcW w:w="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(158.2)</w:t>
            </w:r>
          </w:p>
        </w:tc>
        <w:tc>
          <w:tcPr>
            <w:tcW w:w="4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370.6</w:t>
            </w:r>
          </w:p>
        </w:tc>
        <w:tc>
          <w:tcPr>
            <w:tcW w:w="80" w:type="dxa"/>
            <w:vAlign w:val="bottom"/>
            <w:shd w:val="clear" w:color="auto" w:fill="CFF0FC"/>
          </w:tcPr>
          <w:p>
            <w:pPr>
              <w:spacing w:after="0"/>
              <w:rPr>
                <w:sz w:val="19"/>
                <w:szCs w:val="19"/>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49" w:lineRule="exact"/>
        <w:rPr>
          <w:rFonts w:ascii="Arial" w:cs="Arial" w:eastAsia="Arial" w:hAnsi="Arial"/>
          <w:sz w:val="18"/>
          <w:szCs w:val="18"/>
          <w:color w:val="auto"/>
        </w:rPr>
      </w:pPr>
    </w:p>
    <w:p>
      <w:pPr>
        <w:ind w:left="600" w:right="40" w:hanging="592"/>
        <w:spacing w:after="0" w:line="276"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performance-based restricted stock units (“PRSUs”), Class A common stock dividends and distributions to noncontrolling interest holders, activity relating to borrowings (including, in 2016 and 2015, the redemption of the Company’s 2017 Notes and issuance of the 2027 Notes and the 2025 Notes), in 2016, payments made under the tax receivable agreement, and in 2015, payments made relating to the partial extinguishment of our obligations under the tax receivable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9" w:name="page60"/>
    <w:bookmarkEnd w:id="59"/>
    <w:p>
      <w:pPr>
        <w:ind w:right="6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year ended December 31, 2016, as reflected on the consolidated statements of financial condition, “deposits and other customer payables” decreased as compared to December 31, 2015. In the same period, interest-bearing deposits recorded in “investments” also decreased, this being partially offset by an increase in “deposits with banks and short-term investments”.</w:t>
      </w:r>
    </w:p>
    <w:p>
      <w:pPr>
        <w:spacing w:after="0" w:line="19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consolidated statements of operations.</w:t>
      </w:r>
    </w:p>
    <w:p>
      <w:pPr>
        <w:spacing w:after="0" w:line="17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2016, Lazard had approximately $1.2 billion of cash, with such amount including approximately $464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jc w:val="both"/>
        <w:ind w:right="28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2016, Lazard had approximately $179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$21 million (at December 31, 2016 exchange rates).</w:t>
      </w:r>
    </w:p>
    <w:p>
      <w:pPr>
        <w:spacing w:after="0" w:line="187" w:lineRule="exact"/>
        <w:rPr>
          <w:sz w:val="20"/>
          <w:szCs w:val="20"/>
          <w:color w:val="auto"/>
        </w:rPr>
      </w:pPr>
    </w:p>
    <w:p>
      <w:pPr>
        <w:ind w:right="340" w:firstLine="59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The table below sets forth our corporate indebtedness as of December 31, 2016 and 2015. The agreements with respect to this indebtedness are discussed in more detail in our consolidated financial statements and related notes included elsewhere in this Form 10-K. The table, as of December 31, 2015, reflects the retrospective application of new disclosure guidance on debt issuance costs. See Note 3 of 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2017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3"/>
        <w:spacing w:after="0" w:line="264" w:lineRule="auto"/>
        <w:rPr>
          <w:sz w:val="20"/>
          <w:szCs w:val="20"/>
          <w:color w:val="auto"/>
        </w:rPr>
      </w:pPr>
      <w:r>
        <w:rPr>
          <w:rFonts w:ascii="Arial" w:cs="Arial" w:eastAsia="Arial" w:hAnsi="Arial"/>
          <w:sz w:val="18"/>
          <w:szCs w:val="18"/>
          <w:color w:val="auto"/>
        </w:rPr>
        <w:t>During November 2016, Lazard Group completed an offering of the 2027 Notes. Lazard Group used a portion of the net proceeds of the 2027 Notes to redeem or otherwise retire the remaining $98 million of 2017 Notes, which, including the recognition of unamortized issuance costs, resulted in a loss on debt extinguishment in connection with the redemption of such 2017 Notes of approximately $3 million.</w:t>
      </w:r>
    </w:p>
    <w:p>
      <w:pPr>
        <w:spacing w:after="0" w:line="181" w:lineRule="exact"/>
        <w:rPr>
          <w:sz w:val="20"/>
          <w:szCs w:val="20"/>
          <w:color w:val="auto"/>
        </w:rPr>
      </w:pPr>
    </w:p>
    <w:p>
      <w:pPr>
        <w:jc w:val="both"/>
        <w:ind w:right="80" w:firstLine="598"/>
        <w:spacing w:after="0" w:line="286" w:lineRule="auto"/>
        <w:rPr>
          <w:sz w:val="20"/>
          <w:szCs w:val="20"/>
          <w:color w:val="auto"/>
        </w:rPr>
      </w:pPr>
      <w:r>
        <w:rPr>
          <w:rFonts w:ascii="Arial" w:cs="Arial" w:eastAsia="Arial" w:hAnsi="Arial"/>
          <w:sz w:val="17"/>
          <w:szCs w:val="17"/>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6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2016, Lazard Group was in compliance with such ratios, with its Consolidated Leverage Ratio being 1.32 to 1.00 and its Consolidated Interest Coverage Ratio being 19.68 to 1.00. In any event, no amounts were outstanding under the Amended and Restated Credit Agreement as of December 31, 2016.</w:t>
      </w:r>
    </w:p>
    <w:p>
      <w:pPr>
        <w:spacing w:after="0" w:line="19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At December 31, 2016, total stockholders’ equity was $1,294 million, as compared to $1,367 million and $770 million at December 31, 2015 and 2014, respectively, including $1,236 million, $1,313 million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$707 million attributable to Lazard Ltd on the respective dates. The net activity in stockholders’ equity during the years ended December 31, 2016 and 2015 is reflected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8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520" w:type="dxa"/>
            <w:vAlign w:val="bottom"/>
            <w:gridSpan w:val="3"/>
          </w:tcPr>
          <w:p>
            <w:pPr>
              <w:ind w:left="580"/>
              <w:spacing w:after="0"/>
              <w:rPr>
                <w:sz w:val="20"/>
                <w:szCs w:val="20"/>
                <w:color w:val="auto"/>
              </w:rPr>
            </w:pPr>
            <w:r>
              <w:rPr>
                <w:rFonts w:ascii="Arial" w:cs="Arial" w:eastAsia="Arial" w:hAnsi="Arial"/>
                <w:sz w:val="18"/>
                <w:szCs w:val="18"/>
                <w:color w:val="auto"/>
              </w:rPr>
              <w:t>Stockholders’ Equity - Beginning of Year</w:t>
            </w:r>
          </w:p>
        </w:tc>
        <w:tc>
          <w:tcPr>
            <w:tcW w:w="20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20"/>
                <w:szCs w:val="20"/>
                <w:color w:val="auto"/>
              </w:rPr>
            </w:pP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(decrease) due to:</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58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 of Class A common stock</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w:t>
            </w:r>
          </w:p>
        </w:tc>
      </w:tr>
      <w:tr>
        <w:trPr>
          <w:trHeight w:val="230"/>
        </w:trPr>
        <w:tc>
          <w:tcPr>
            <w:tcW w:w="58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30"/>
        </w:trPr>
        <w:tc>
          <w:tcPr>
            <w:tcW w:w="580" w:type="dxa"/>
            <w:vAlign w:val="bottom"/>
          </w:tcPr>
          <w:p>
            <w:pPr>
              <w:spacing w:after="0"/>
              <w:rPr>
                <w:sz w:val="19"/>
                <w:szCs w:val="19"/>
                <w:color w:val="auto"/>
              </w:rPr>
            </w:pPr>
          </w:p>
        </w:tc>
        <w:tc>
          <w:tcPr>
            <w:tcW w:w="5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Class A common stock dividends</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w:t>
            </w:r>
          </w:p>
        </w:tc>
      </w:tr>
      <w:tr>
        <w:trPr>
          <w:trHeight w:val="230"/>
        </w:trPr>
        <w:tc>
          <w:tcPr>
            <w:tcW w:w="58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Class A common stock issuable related to business acquisitions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Distributions to noncontrolling interests, net</w:t>
            </w:r>
          </w:p>
        </w:tc>
        <w:tc>
          <w:tcPr>
            <w:tcW w:w="1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580" w:type="dxa"/>
            <w:vAlign w:val="bottom"/>
          </w:tcPr>
          <w:p>
            <w:pPr>
              <w:spacing w:after="0"/>
              <w:rPr>
                <w:sz w:val="19"/>
                <w:szCs w:val="19"/>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Other - net</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80" w:type="dxa"/>
            <w:vAlign w:val="bottom"/>
          </w:tcPr>
          <w:p>
            <w:pPr>
              <w:spacing w:after="0"/>
              <w:rPr>
                <w:sz w:val="19"/>
                <w:szCs w:val="19"/>
                <w:color w:val="auto"/>
              </w:rPr>
            </w:pPr>
          </w:p>
        </w:tc>
        <w:tc>
          <w:tcPr>
            <w:tcW w:w="5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Stockholders’ Equity - End of year</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2014</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4,114,206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On November 1, 2016, the Board of Directors of Lazard authorized the repurchase of up to $236 million of additional shares of Class A common stock, which authorization will expire on December 31, 2018. As of December 31, 2016, a total of $355 million of share repurchase authorization remained available under the Company’s share repurchase program, $119 million of which will expire on December 31, 2017 and $236 million of which will expire on December 31, 2018.</w:t>
      </w:r>
    </w:p>
    <w:p>
      <w:pPr>
        <w:spacing w:after="0" w:line="18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During the year ended December 31, 2016,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On February 1, 2017, the Board of Directors of Lazard declared a quarterly dividend of $0.38 per share, and a special dividend of $1.20 per share, on our Class A common stock. The quarterly dividend and the special dividend are payable on February 24, 2017, to stockholders of record on February 13, 2017.</w:t>
      </w:r>
    </w:p>
    <w:p>
      <w:pPr>
        <w:spacing w:after="0" w:line="18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See Notes 13 and 14 of Notes to Consolidated Financial Statements for additional information regarding Lazard’s stockholders’ equity and incentive plans,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19 of Notes to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1,524,076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$45,643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828,158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75,996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2,368,774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137,683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232,912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1,301,179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49" w:lineRule="exact"/>
        <w:rPr>
          <w:rFonts w:ascii="Arial" w:cs="Arial" w:eastAsia="Arial" w:hAnsi="Arial"/>
          <w:sz w:val="18"/>
          <w:szCs w:val="18"/>
          <w:color w:val="auto"/>
        </w:rPr>
      </w:pPr>
    </w:p>
    <w:p>
      <w:pPr>
        <w:jc w:val="both"/>
        <w:ind w:left="600" w:right="60" w:hanging="592"/>
        <w:spacing w:after="0" w:line="281"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$6,886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2" w:lineRule="exact"/>
        <w:rPr>
          <w:rFonts w:ascii="Arial" w:cs="Arial" w:eastAsia="Arial" w:hAnsi="Arial"/>
          <w:sz w:val="17"/>
          <w:szCs w:val="17"/>
          <w:color w:val="auto"/>
        </w:rPr>
      </w:pPr>
    </w:p>
    <w:p>
      <w:pPr>
        <w:ind w:left="600" w:right="140" w:hanging="592"/>
        <w:spacing w:after="0" w:line="291"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December 31, 2016, a tax receivable agreement obligation of $513,610 was recorded on the consolidated statements of financial condition, of which the Company currently expects that approximately $700 will be paid within the next 12 months. See “Critical Accounting Policies and Estimates— Income Taxes” below. See also Notes 12, 14, 15, 16 and 18 of Notes to Consolidated Financial Statements regarding information in connection with commitments, incentive plans, employee benefit plans, income taxes and tax receivable agreement obligations,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6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4" w:name="page65"/>
    <w:bookmarkEnd w:id="64"/>
    <w:p>
      <w:pPr>
        <w:ind w:right="460"/>
        <w:spacing w:after="0" w:line="277" w:lineRule="auto"/>
        <w:rPr>
          <w:sz w:val="20"/>
          <w:szCs w:val="20"/>
          <w:color w:val="auto"/>
        </w:rPr>
      </w:pPr>
      <w:r>
        <w:rPr>
          <w:rFonts w:ascii="Arial" w:cs="Arial" w:eastAsia="Arial" w:hAnsi="Arial"/>
          <w:sz w:val="18"/>
          <w:szCs w:val="18"/>
          <w:color w:val="auto"/>
        </w:rPr>
        <w:t>judgment is required in determining our provision for income taxes, our deferred tax assets and liabilities, any valuation allowance recorded against our deferred tax assets and our unrecognized tax benefits.</w:t>
      </w:r>
    </w:p>
    <w:p>
      <w:pPr>
        <w:spacing w:after="0" w:line="170"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$1.23 billion with such amount partially offset by a valuation allowance of approximately $70 million (as described below).</w:t>
      </w:r>
    </w:p>
    <w:p>
      <w:pPr>
        <w:spacing w:after="0" w:line="187"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2016.</w:t>
      </w:r>
    </w:p>
    <w:p>
      <w:pPr>
        <w:spacing w:after="0" w:line="173"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As of December 31, 2014, the Company had a valuation allowance on substantially all of our deferred tax assets at that time. Certain of our tax-paying entities at which we have historically recorded significant valuation allowances were profitable on a cumulative basis for the three year period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5" w:name="page66"/>
    <w:bookmarkEnd w:id="65"/>
    <w:p>
      <w:pPr>
        <w:ind w:right="100"/>
        <w:spacing w:after="0" w:line="277" w:lineRule="auto"/>
        <w:rPr>
          <w:sz w:val="20"/>
          <w:szCs w:val="20"/>
          <w:color w:val="auto"/>
        </w:rPr>
      </w:pPr>
      <w:r>
        <w:rPr>
          <w:rFonts w:ascii="Arial" w:cs="Arial" w:eastAsia="Arial" w:hAnsi="Arial"/>
          <w:sz w:val="18"/>
          <w:szCs w:val="18"/>
          <w:color w:val="auto"/>
        </w:rPr>
        <w:t>be able to realize deferred tax assets. Accordingly, during the period ended June 30, 2015, we released substantially all of the valuation allowance against the deferred tax assets held by these entities.</w:t>
      </w:r>
    </w:p>
    <w:p>
      <w:pPr>
        <w:spacing w:after="0" w:line="170"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As a result, during the year ended December 31, 2015, we recorded a deferred tax benefit of approximately $878 million. We also recorded a separate deferred tax benefit of $378 million that reflected the tax deductibility of payments under the tax receivable agreement. In addition, we recorded a deferred tax expense of approximately $161 million relating to the reduction of a deferred tax asset as a result of the partial extinguishment of our tax 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58"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As a result of the release of our valuation allowance during 2015, our effective tax rate in the 2016 period is significantly higher than our effective tax rate for the year ended December 31, 2014. We do not expect that this increase in our effective tax rate resulting from the reduction in the valuation allowance will impact the amount of cash income taxes we will be required to pay to taxing authorities. However, as described below, payments under the Amended and Restated Tax Receivable Agreement may be required.</w:t>
      </w:r>
    </w:p>
    <w:p>
      <w:pPr>
        <w:spacing w:after="0" w:line="18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 and Note 16 of Notes to Consolidated Financial Statements for additional information related to income taxes.</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In addition, in the third quarter of 2015, we purchased a portion of our obligation relating to the Amended and Restated Tax Receivable Agreement, which had the effect of reducing such liability. See Note 18 of Notes to Consolidated Financial Statements for additional information regarding the Amended and Restated Tax Receivable Agreement.</w:t>
      </w:r>
    </w:p>
    <w:p>
      <w:pPr>
        <w:spacing w:after="0" w:line="193"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58"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December 31, 2016 and 2015 was $514 million and $524 million, respectively, and is recorded in “tax receivable agreement obligation” on the consolidated statements of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20" w:type="dxa"/>
            <w:vAlign w:val="bottom"/>
            <w:gridSpan w:val="3"/>
            <w:vMerge w:val="restart"/>
          </w:tcPr>
          <w:p>
            <w:pPr>
              <w:ind w:left="1140"/>
              <w:spacing w:after="0"/>
              <w:rPr>
                <w:sz w:val="20"/>
                <w:szCs w:val="20"/>
                <w:color w:val="auto"/>
              </w:rPr>
            </w:pPr>
            <w:r>
              <w:rPr>
                <w:rFonts w:ascii="Arial" w:cs="Arial" w:eastAsia="Arial" w:hAnsi="Arial"/>
                <w:sz w:val="18"/>
                <w:szCs w:val="18"/>
                <w:color w:val="auto"/>
              </w:rPr>
              <w:t>Seed investments by asset class:</w:t>
            </w: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20" w:type="dxa"/>
            <w:vAlign w:val="bottom"/>
            <w:gridSpan w:val="3"/>
            <w:vMerge w:val="continue"/>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 (a)</w:t>
            </w:r>
          </w:p>
        </w:tc>
        <w:tc>
          <w:tcPr>
            <w:tcW w:w="17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99,669</w:t>
            </w:r>
          </w:p>
        </w:tc>
        <w:tc>
          <w:tcPr>
            <w:tcW w:w="6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Fixed income</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16,406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Alternative investments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18,172</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Total seed investments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134,247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investments owned:</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Private equity (b)</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96,089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Interest-bearing deposits (c)</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Fixed income and other</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investments owned</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119,453</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253,700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Add:</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Equity method (d)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consolidated, not owned (e)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26,332</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LFI (f)</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541,911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2016 and 2015, seed investments in directly owned equity securities were invested as follows:</w:t>
      </w:r>
    </w:p>
    <w:p>
      <w:pPr>
        <w:spacing w:after="0" w:line="12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r>
      <w:tr>
        <w:trPr>
          <w:trHeight w:val="223"/>
        </w:trPr>
        <w:tc>
          <w:tcPr>
            <w:tcW w:w="5360" w:type="dxa"/>
            <w:vAlign w:val="bottom"/>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 w:lineRule="exact"/>
        <w:rPr>
          <w:sz w:val="20"/>
          <w:szCs w:val="20"/>
          <w:color w:val="auto"/>
        </w:rPr>
      </w:pPr>
    </w:p>
    <w:p>
      <w:pPr>
        <w:ind w:left="600" w:right="80" w:hanging="592"/>
        <w:spacing w:after="0" w:line="290"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$34 million and $30 million as of December 31, 2016 and 2015, respectively.</w:t>
      </w:r>
    </w:p>
    <w:p>
      <w:pPr>
        <w:ind w:left="600" w:right="80" w:hanging="592"/>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ind w:left="600"/>
        <w:spacing w:after="0" w:line="274" w:lineRule="auto"/>
        <w:rPr>
          <w:sz w:val="20"/>
          <w:szCs w:val="20"/>
          <w:color w:val="auto"/>
        </w:rPr>
      </w:pPr>
      <w:r>
        <w:rPr>
          <w:rFonts w:ascii="Arial" w:cs="Arial" w:eastAsia="Arial" w:hAnsi="Arial"/>
          <w:sz w:val="18"/>
          <w:szCs w:val="18"/>
          <w:color w:val="auto"/>
        </w:rPr>
        <w:t>Interest-bearing deposits generally provide positive yields when held to maturity, while also generally allowing immediate penalty-free withdrawal at any time (with less or no interest earned in such case).</w:t>
      </w:r>
    </w:p>
    <w:p>
      <w:pPr>
        <w:ind w:left="600" w:hanging="59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49" w:lineRule="exact"/>
        <w:rPr>
          <w:rFonts w:ascii="Arial" w:cs="Arial" w:eastAsia="Arial" w:hAnsi="Arial"/>
          <w:sz w:val="18"/>
          <w:szCs w:val="18"/>
          <w:color w:val="auto"/>
        </w:rPr>
      </w:pPr>
    </w:p>
    <w:p>
      <w:pPr>
        <w:ind w:left="600" w:right="100" w:hanging="592"/>
        <w:spacing w:after="0" w:line="264"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5" w:lineRule="exact"/>
        <w:rPr>
          <w:rFonts w:ascii="Arial" w:cs="Arial" w:eastAsia="Arial" w:hAnsi="Arial"/>
          <w:sz w:val="18"/>
          <w:szCs w:val="18"/>
          <w:color w:val="auto"/>
        </w:rPr>
      </w:pPr>
    </w:p>
    <w:p>
      <w:pPr>
        <w:ind w:left="600" w:right="120" w:hanging="592"/>
        <w:spacing w:after="0" w:line="259"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At December 31, 2016 and 2015, total investments with a fair value of $459 million and $478 million, respectively, included $130 million and $123 million, respectively, or 28% and 26%, respectively, of investments that were classified using NAV or its equivalent as a practical expedient. See Notes 5 and 6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December 31, 2016 and 2015, the Company held seed investments of approximately $134 million and $157 million, respectively. Seed investments held in entities in which the Company maintained a controlling interest were $41 million in six entities as of December 31, 2016, as compared to $60 million in twelve entities as of December 31, 2015.</w:t>
      </w:r>
    </w:p>
    <w:p>
      <w:pPr>
        <w:spacing w:after="0" w:line="181"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During the year ended December 31, 2016, the Company did not consolidate or deconsolidate any seed investment entities. As such, 100% of the recorded balance of seed investments as of December 31, 2016 represented the Company’s economic interest in the seed investments. See “—Consolidation of Variable Interest Entities” below for more information on the Company’s policy regarding the consolidation of seed investment entities.</w:t>
      </w:r>
    </w:p>
    <w:p>
      <w:pPr>
        <w:spacing w:after="0" w:line="14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8" w:name="page69"/>
    <w:bookmarkEnd w:id="68"/>
    <w:p>
      <w:pPr>
        <w:ind w:left="30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400" w:hanging="598"/>
        <w:spacing w:after="0" w:line="312" w:lineRule="auto"/>
        <w:tabs>
          <w:tab w:leader="none" w:pos="1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right="60" w:hanging="598"/>
        <w:spacing w:after="0" w:line="25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ind w:right="180" w:firstLine="598"/>
        <w:spacing w:after="0" w:line="297" w:lineRule="auto"/>
        <w:rPr>
          <w:sz w:val="20"/>
          <w:szCs w:val="20"/>
          <w:color w:val="auto"/>
        </w:rPr>
      </w:pPr>
      <w:r>
        <w:rPr>
          <w:rFonts w:ascii="Arial" w:cs="Arial" w:eastAsia="Arial" w:hAnsi="Arial"/>
          <w:sz w:val="16"/>
          <w:szCs w:val="16"/>
          <w:color w:val="auto"/>
        </w:rPr>
        <w:t>Equity Market Price Risk—At December 31, 2016 and 2015, the Company’s exposure to equity market price risk in its investment portfolio, which primarily relates to investments in equity securities, equity funds and hedge funds, was approximately $110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$1.8 million in the carrying value of such investments as of December 31, 2016 and 2015, respectively, including the effect of the hedging transactions.</w:t>
      </w:r>
    </w:p>
    <w:p>
      <w:pPr>
        <w:spacing w:after="0" w:line="15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Interest Rate/Credit Spread Risk—At December 31, 2016 and 2015, the Company’s exposure to interest rate and credit spread risk in its investment portfolio related to investments in debt securities or funds which invest primarily in debt securities was $53 million and $50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$0.8 million in the carrying value of such investments as of December 31, 2016 and 2015, respectively, including the effect of the hedging transactions.</w:t>
      </w:r>
    </w:p>
    <w:p>
      <w:pPr>
        <w:spacing w:after="0" w:line="158"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Foreign Exchange Rate Risk—At both December 31, 2016 and 2015, the Company’s exposure to foreign exchange rate risk in its investment portfolio, which primarily relates to investments in foreign currency denominated equity and debt securities, was $64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$1.7 million and $1.0 million in the carrying value of such investments as of December 31, 2016 and 2015, respectively, including the effect of the hedging transactions.</w:t>
      </w:r>
    </w:p>
    <w:p>
      <w:pPr>
        <w:spacing w:after="0" w:line="158"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2016 and 2015, the Company’s exposure to changes in fair value of such investments was approximately $96 million and $84 million, respectively. The Company estimates that a hypothetical 10% adverse change in fair value would result in a decrease of approximately $9.6 million and $8.4 million in the carrying value of such investments as of December 31, 2016 and 2015,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allowance by estimating the probability of loss based on our analysis of the client’s creditworthiness, among other things, and specifically provide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exposures where we determine the receivables are impaired. At December 31, 2016, total receivables amounted to $638 million, net of an allowance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doubtful accounts of $16 million. As of that date, Financial Advisory and Asset Management fees and customer receivables comprised 88% and 12% of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receivables, respectively. At December 31, 2015, total receivables amounted to $497 million, net of an allowance for doubtful accounts of $13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date, Financial Advisory and Asset Management fees and customer receivables comprised 85% and 15% of total receivables, respectively.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2015, the Company had receivables past due or deemed uncollectible of approximately $22 million and $20 million, respectively. See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“Critical Accounting Policies and Estimates—Revenue Recognition” above and Note 4 of Notes to Consolidated Financial Statements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receivables.</w:t>
      </w:r>
    </w:p>
    <w:p>
      <w:pPr>
        <w:spacing w:after="0" w:line="21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2016 and 2015, customer receivables included $51 million and $38 million of LFB loans, respectively,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December 31, 2016 and 2015, respectively, and derivative liabilities, excluding the derivative liability arising from the Company’s obligation pertaining to LFI and other similar deferred compensation arrangements, amounted to $12 million and $2 million at such respective dates.</w:t>
      </w:r>
    </w:p>
    <w:p>
      <w:pPr>
        <w:spacing w:after="0" w:line="173"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$170 million and $194 million at December 31, 2016 and 2015,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2016,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47" w:lineRule="exact"/>
        <w:rPr>
          <w:sz w:val="20"/>
          <w:szCs w:val="20"/>
          <w:color w:val="auto"/>
        </w:rPr>
      </w:pPr>
    </w:p>
    <w:p>
      <w:pPr>
        <w:jc w:val="both"/>
        <w:ind w:right="20" w:firstLine="598"/>
        <w:spacing w:after="0" w:line="288" w:lineRule="auto"/>
        <w:rPr>
          <w:sz w:val="20"/>
          <w:szCs w:val="20"/>
          <w:color w:val="auto"/>
        </w:rPr>
      </w:pPr>
      <w:r>
        <w:rPr>
          <w:rFonts w:ascii="Arial" w:cs="Arial" w:eastAsia="Arial" w:hAnsi="Arial"/>
          <w:sz w:val="16"/>
          <w:szCs w:val="16"/>
          <w:color w:val="auto"/>
        </w:rPr>
        <w:t>As of December 31, 2016, the Company’s cash and cash equivalents totaled approximately $1.2 billion.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60" w:firstLine="8"/>
        <w:spacing w:after="0" w:line="323"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1" w:name="page72"/>
    <w:bookmarkEnd w:id="71"/>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00" w:type="dxa"/>
            <w:vAlign w:val="bottom"/>
            <w:gridSpan w:val="16"/>
          </w:tcPr>
          <w:p>
            <w:pPr>
              <w:ind w:left="4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91"/>
        </w:trPr>
        <w:tc>
          <w:tcPr>
            <w:tcW w:w="44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Report On Internal Control Over Financial Reporting</w:t>
              </w:r>
            </w:hyperlink>
          </w:p>
        </w:tc>
        <w:tc>
          <w:tcPr>
            <w:tcW w:w="546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Reports of Independent Registered Public Accounting Firm</w:t>
              </w:r>
            </w:hyperlink>
          </w:p>
        </w:tc>
        <w:tc>
          <w:tcPr>
            <w:tcW w:w="6120" w:type="dxa"/>
            <w:vAlign w:val="bottom"/>
            <w:gridSpan w:val="1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18"/>
        </w:trPr>
        <w:tc>
          <w:tcPr>
            <w:tcW w:w="44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2016, 2015 and 2014</w:t>
              </w:r>
            </w:hyperlink>
          </w:p>
        </w:tc>
        <w:tc>
          <w:tcPr>
            <w:tcW w:w="860" w:type="dxa"/>
            <w:vAlign w:val="bottom"/>
            <w:tcBorders>
              <w:top w:val="single" w:sz="8" w:color="0000EE"/>
            </w:tcBorders>
            <w:gridSpan w:val="2"/>
          </w:tcPr>
          <w:p>
            <w:pPr>
              <w:spacing w:after="0"/>
              <w:rPr>
                <w:sz w:val="24"/>
                <w:szCs w:val="24"/>
                <w:color w:val="auto"/>
              </w:rPr>
            </w:pPr>
          </w:p>
        </w:tc>
        <w:tc>
          <w:tcPr>
            <w:tcW w:w="264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318"/>
        </w:trPr>
        <w:tc>
          <w:tcPr>
            <w:tcW w:w="4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5280" w:type="dxa"/>
            <w:vAlign w:val="bottom"/>
            <w:tcBorders>
              <w:top w:val="single" w:sz="8" w:color="0000EE"/>
            </w:tcBorders>
            <w:gridSpan w:val="11"/>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318"/>
        </w:trPr>
        <w:tc>
          <w:tcPr>
            <w:tcW w:w="282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133">
              <w:r>
                <w:rPr>
                  <w:rFonts w:ascii="Arial" w:cs="Arial" w:eastAsia="Arial" w:hAnsi="Arial"/>
                  <w:sz w:val="18"/>
                  <w:szCs w:val="18"/>
                  <w:b w:val="1"/>
                  <w:bCs w:val="1"/>
                  <w:color w:val="0000EE"/>
                  <w:w w:val="91"/>
                </w:rPr>
                <w:t>Supplemental Financial Information</w:t>
              </w:r>
            </w:hyperlink>
          </w:p>
        </w:tc>
        <w:tc>
          <w:tcPr>
            <w:tcW w:w="8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Quarterly Results</w:t>
              </w:r>
            </w:hyperlink>
          </w:p>
        </w:tc>
        <w:tc>
          <w:tcPr>
            <w:tcW w:w="914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358"/>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4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Condensed Statements of Financial Condition as of December 31, 2016 and 2015</w:t>
              </w:r>
            </w:hyperlink>
          </w:p>
        </w:tc>
        <w:tc>
          <w:tcPr>
            <w:tcW w:w="454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Condensed Statements of Operations for the years ended December 31, 2016, 2015 and 2014</w:t>
              </w:r>
            </w:hyperlink>
          </w:p>
        </w:tc>
        <w:tc>
          <w:tcPr>
            <w:tcW w:w="37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Condensed Statements of Comprehensive Income for the years ended December 31, 2016, 2015 and 2014</w:t>
              </w:r>
            </w:hyperlink>
          </w:p>
        </w:tc>
        <w:tc>
          <w:tcPr>
            <w:tcW w:w="278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Cash Flows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1"/>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Notes to Condensed Financial Statements</w:t>
              </w:r>
            </w:hyperlink>
          </w:p>
        </w:tc>
        <w:tc>
          <w:tcPr>
            <w:tcW w:w="366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gridSpan w:val="3"/>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2016.</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2016, as stated in their report which appears under “Report of Independent Registered Public Accounting Firm.”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Lazard Ltd:</w:t>
      </w:r>
    </w:p>
    <w:p>
      <w:pPr>
        <w:spacing w:after="0" w:line="225"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Lazard Ltd and subsidiaries (the “Company”) as of December 31, 2016,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2016 of the Company, and our report dated February 24, 2017, expressed an unqualified opinion on those consolidated financial statements and financial statement schedule.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Lazard Ltd:</w:t>
      </w:r>
    </w:p>
    <w:p>
      <w:pPr>
        <w:spacing w:after="0" w:line="225"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2016 and 2015, and the related consolidated statements of operations, comprehensive income, cash flows, and changes in stockholders’ equity for each of the three years in the period ended December 31, 2016.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5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Ltd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24, 2017, expressed an unqualified opinion on the Company’s internal control over financial reporting.</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6" w:name="page77"/>
    <w:bookmarkEnd w:id="7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1,158,785</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1,132,083</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34,948</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$16,386 and $12,882</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Fees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564,291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423,817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497,213</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541,911</w:t>
            </w:r>
          </w:p>
        </w:tc>
        <w:tc>
          <w:tcPr>
            <w:tcW w:w="120" w:type="dxa"/>
            <w:vAlign w:val="bottom"/>
            <w:shd w:val="clear" w:color="auto" w:fill="CFF0FC"/>
          </w:tcPr>
          <w:p>
            <w:pPr>
              <w:spacing w:after="0"/>
              <w:rPr>
                <w:sz w:val="19"/>
                <w:szCs w:val="19"/>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$286,001</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and $265,506 at December 31, 2016 and 2015,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209,021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207,165</w:t>
            </w:r>
          </w:p>
        </w:tc>
        <w:tc>
          <w:tcPr>
            <w:tcW w:w="120" w:type="dxa"/>
            <w:vAlign w:val="bottom"/>
          </w:tcPr>
          <w:p>
            <w:pPr>
              <w:spacing w:after="0"/>
              <w:rPr>
                <w:sz w:val="20"/>
                <w:szCs w:val="20"/>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$60,080 and $57,561 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1,075,777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1,130,595</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217,022</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4,477,774</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Deposits and other customer payables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472,283</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1,188,600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receivable agreement obligation</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3,262,695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- 0 and 7,921 shares issued and outstanding at December 31,</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640"/>
              <w:spacing w:after="0"/>
              <w:rPr>
                <w:sz w:val="20"/>
                <w:szCs w:val="20"/>
                <w:color w:val="auto"/>
              </w:rPr>
            </w:pPr>
            <w:r>
              <w:rPr>
                <w:rFonts w:ascii="Arial" w:cs="Arial" w:eastAsia="Arial" w:hAnsi="Arial"/>
                <w:sz w:val="18"/>
                <w:szCs w:val="18"/>
                <w:color w:val="auto"/>
              </w:rPr>
              <w:t>129,766,091 shares issued at December 31, 2016 and 2015,</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(314,222)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(234,356)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(7,628,786 and</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4,253,381 shares 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(273,506)</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(177,249)</w:t>
            </w:r>
          </w:p>
        </w:tc>
        <w:tc>
          <w:tcPr>
            <w:tcW w:w="0" w:type="dxa"/>
            <w:vAlign w:val="bottom"/>
          </w:tcPr>
          <w:p>
            <w:pPr>
              <w:spacing w:after="0"/>
              <w:rPr>
                <w:sz w:val="1"/>
                <w:szCs w:val="1"/>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1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1,235,987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4,477,774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1,298,364</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1,276,096</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1,201,424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998,887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2,383,663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2,404,767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2,333,371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2,300,447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1,340,543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1,319,746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35,247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pursuant to tax receivable agreement</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1,815,910</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2,370,228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517,461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(1,009,552)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3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3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4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ATTRIBUTABLE TO LAZARD LTD CLASS A</w:t>
            </w: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w:t>
            </w: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260"/>
              <w:spacing w:after="0"/>
              <w:rPr>
                <w:sz w:val="20"/>
                <w:szCs w:val="20"/>
                <w:color w:val="auto"/>
              </w:rPr>
            </w:pPr>
            <w:r>
              <w:rPr>
                <w:rFonts w:ascii="Arial" w:cs="Arial" w:eastAsia="Arial" w:hAnsi="Arial"/>
                <w:sz w:val="18"/>
                <w:szCs w:val="18"/>
                <w:b w:val="1"/>
                <w:bCs w:val="1"/>
                <w:color w:val="auto"/>
              </w:rPr>
              <w:t>WEIGHTED AVERAGE SHARES OF</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380"/>
              <w:spacing w:after="0"/>
              <w:rPr>
                <w:sz w:val="20"/>
                <w:szCs w:val="20"/>
                <w:color w:val="auto"/>
              </w:rPr>
            </w:pPr>
            <w:r>
              <w:rPr>
                <w:rFonts w:ascii="Arial" w:cs="Arial" w:eastAsia="Arial" w:hAnsi="Arial"/>
                <w:sz w:val="18"/>
                <w:szCs w:val="18"/>
                <w:b w:val="1"/>
                <w:bCs w:val="1"/>
                <w:color w:val="auto"/>
              </w:rPr>
              <w:t>COMMON STOCK OUTSTANDING:</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124,770,401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125,366,272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122,351,836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132,633,630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133,244,546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133,813,123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 PER SHARE OF COMMON</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STOCK:</w:t>
            </w: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50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23"/>
                <w:szCs w:val="23"/>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DIVIDENDS DECLARED PER SHARE OF</w:t>
            </w: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380"/>
              <w:spacing w:after="0"/>
              <w:rPr>
                <w:sz w:val="20"/>
                <w:szCs w:val="20"/>
                <w:color w:val="auto"/>
              </w:rPr>
            </w:pPr>
            <w:r>
              <w:rPr>
                <w:rFonts w:ascii="Arial" w:cs="Arial" w:eastAsia="Arial" w:hAnsi="Arial"/>
                <w:sz w:val="18"/>
                <w:szCs w:val="18"/>
                <w:b w:val="1"/>
                <w:bCs w:val="1"/>
                <w:color w:val="auto"/>
              </w:rPr>
              <w:t>COMMON STOCK</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0"/>
                <w:szCs w:val="20"/>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992,932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434,063</w:t>
            </w:r>
          </w:p>
        </w:tc>
        <w:tc>
          <w:tcPr>
            <w:tcW w:w="120" w:type="dxa"/>
            <w:vAlign w:val="bottom"/>
            <w:shd w:val="clear" w:color="auto" w:fill="CFF0FC"/>
          </w:tcPr>
          <w:p>
            <w:pPr>
              <w:spacing w:after="0"/>
              <w:rPr>
                <w:sz w:val="19"/>
                <w:szCs w:val="19"/>
                <w:color w:val="auto"/>
              </w:rPr>
            </w:pPr>
          </w:p>
        </w:tc>
      </w:tr>
      <w:tr>
        <w:trPr>
          <w:trHeight w:val="205"/>
        </w:trPr>
        <w:tc>
          <w:tcPr>
            <w:tcW w:w="67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(51,182)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(49,971)</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2"/>
              </w:rPr>
              <w:t>Actuarial gain (loss) (net of tax expense (benefit) of $(5,205), $5,644 and $(9,045) for</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the years ended December 31, 2016, 2015 and 2014, respectively)</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(24,473)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(21,983)</w:t>
            </w:r>
          </w:p>
        </w:tc>
      </w:tr>
      <w:tr>
        <w:trPr>
          <w:trHeight w:val="215"/>
        </w:trPr>
        <w:tc>
          <w:tcPr>
            <w:tcW w:w="6780" w:type="dxa"/>
            <w:vAlign w:val="bottom"/>
          </w:tcPr>
          <w:p>
            <w:pPr>
              <w:ind w:left="500"/>
              <w:spacing w:after="0"/>
              <w:rPr>
                <w:sz w:val="20"/>
                <w:szCs w:val="20"/>
                <w:color w:val="auto"/>
              </w:rPr>
            </w:pPr>
            <w:r>
              <w:rPr>
                <w:rFonts w:ascii="Arial" w:cs="Arial" w:eastAsia="Arial" w:hAnsi="Arial"/>
                <w:sz w:val="18"/>
                <w:szCs w:val="18"/>
                <w:color w:val="auto"/>
                <w:w w:val="95"/>
              </w:rPr>
              <w:t>Adjustment for items reclassified to earnings (net of tax expense of $1,757, $1,507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w w:val="94"/>
              </w:rPr>
              <w:t>and $1,923 for the years ended December 31, 2016, 2015, and 2014, respectively)</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(67,205)</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959,342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366,858</w:t>
            </w:r>
          </w:p>
        </w:tc>
        <w:tc>
          <w:tcPr>
            <w:tcW w:w="120" w:type="dxa"/>
            <w:vAlign w:val="bottom"/>
          </w:tcPr>
          <w:p>
            <w:pPr>
              <w:spacing w:after="0"/>
              <w:rPr>
                <w:sz w:val="19"/>
                <w:szCs w:val="19"/>
                <w:color w:val="auto"/>
              </w:rPr>
            </w:pPr>
          </w:p>
        </w:tc>
      </w:tr>
      <w:tr>
        <w:trPr>
          <w:trHeight w:val="211"/>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FF0FC"/>
          </w:tcPr>
          <w:p>
            <w:pPr>
              <w:spacing w:after="0"/>
              <w:rPr>
                <w:sz w:val="20"/>
                <w:szCs w:val="20"/>
                <w:color w:val="auto"/>
              </w:rPr>
            </w:pPr>
          </w:p>
        </w:tc>
      </w:tr>
      <w:tr>
        <w:trPr>
          <w:trHeight w:val="205"/>
        </w:trPr>
        <w:tc>
          <w:tcPr>
            <w:tcW w:w="678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307,832</w:t>
            </w:r>
          </w:p>
        </w:tc>
        <w:tc>
          <w:tcPr>
            <w:tcW w:w="10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952,783</w:t>
            </w:r>
          </w:p>
        </w:tc>
        <w:tc>
          <w:tcPr>
            <w:tcW w:w="24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360,073</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2016</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7"/>
              <w:spacing w:after="0" w:line="143" w:lineRule="exact"/>
              <w:rPr>
                <w:sz w:val="20"/>
                <w:szCs w:val="20"/>
                <w:color w:val="auto"/>
              </w:rPr>
            </w:pPr>
            <w:r>
              <w:rPr>
                <w:rFonts w:ascii="Arial" w:cs="Arial" w:eastAsia="Arial" w:hAnsi="Arial"/>
                <w:sz w:val="13"/>
                <w:szCs w:val="13"/>
                <w:b w:val="1"/>
                <w:bCs w:val="1"/>
                <w:color w:val="auto"/>
              </w:rPr>
              <w:t>2015</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7"/>
              <w:spacing w:after="0" w:line="143"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393,692</w:t>
            </w:r>
          </w:p>
        </w:tc>
        <w:tc>
          <w:tcPr>
            <w:tcW w:w="1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992,932</w:t>
            </w:r>
          </w:p>
        </w:tc>
        <w:tc>
          <w:tcPr>
            <w:tcW w:w="30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434,063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7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Adjustments to reconcile net income to net cash provided by (used in)</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Depreciation and amortization of property</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33,264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32,785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34,464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expenses and share-based incentive compensation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341,825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320,472</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295,830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Amortization and other acquisition-related costs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35,247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5,821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tax provision (benefit)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63,660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(1,100,785)</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Provision pursuant to tax receivable agreement</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547,691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18,307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of debt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60,219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Gain on acquisition of portion of business already owned</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(12,668)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on disposal of subsidiaries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(24,388)</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(Increase) decrease in operating assets: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Deposits with banks and short-term investments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(44,278)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(207,373)</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740" w:type="dxa"/>
            <w:vAlign w:val="bottom"/>
          </w:tcPr>
          <w:p>
            <w:pPr>
              <w:ind w:left="500"/>
              <w:spacing w:after="0" w:line="134" w:lineRule="exact"/>
              <w:rPr>
                <w:sz w:val="20"/>
                <w:szCs w:val="20"/>
                <w:color w:val="auto"/>
              </w:rPr>
            </w:pPr>
            <w:r>
              <w:rPr>
                <w:rFonts w:ascii="Arial" w:cs="Arial" w:eastAsia="Arial" w:hAnsi="Arial"/>
                <w:sz w:val="13"/>
                <w:szCs w:val="13"/>
                <w:color w:val="auto"/>
              </w:rPr>
              <w:t>Cash deposited with clearing organizations and other segregated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600"/>
              <w:spacing w:after="0"/>
              <w:rPr>
                <w:sz w:val="20"/>
                <w:szCs w:val="20"/>
                <w:color w:val="auto"/>
              </w:rPr>
            </w:pPr>
            <w:r>
              <w:rPr>
                <w:rFonts w:ascii="Arial" w:cs="Arial" w:eastAsia="Arial" w:hAnsi="Arial"/>
                <w:sz w:val="13"/>
                <w:szCs w:val="13"/>
                <w:color w:val="auto"/>
              </w:rPr>
              <w:t>cash</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6,909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15,656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Receivables-net</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(156,129)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33,145</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(76,200)</w:t>
            </w: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Investments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71,552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64,159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(159,107)</w:t>
            </w: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(55,611)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(90,138)</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(111,588)</w:t>
            </w:r>
          </w:p>
        </w:tc>
        <w:tc>
          <w:tcPr>
            <w:tcW w:w="0" w:type="dxa"/>
            <w:vAlign w:val="bottom"/>
          </w:tcPr>
          <w:p>
            <w:pPr>
              <w:spacing w:after="0"/>
              <w:rPr>
                <w:sz w:val="1"/>
                <w:szCs w:val="1"/>
                <w:color w:val="auto"/>
              </w:rPr>
            </w:pP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Increase (decrease) in operating liabilities: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Deposits and other payables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(17,095)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225,008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Accrued compensation and benefits and other liabilities</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(61,087)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20,839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179,232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Borders>
              <w:top w:val="single" w:sz="8" w:color="CFF0FC"/>
            </w:tcBorders>
            <w:shd w:val="clear" w:color="auto" w:fill="CFF0FC"/>
          </w:tcPr>
          <w:p>
            <w:pPr>
              <w:ind w:left="74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601,287</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887,296</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736,017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Additions to property</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(38,749)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(26,629)</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(22,184)</w:t>
            </w:r>
          </w:p>
        </w:tc>
        <w:tc>
          <w:tcPr>
            <w:tcW w:w="0" w:type="dxa"/>
            <w:vAlign w:val="bottom"/>
          </w:tcPr>
          <w:p>
            <w:pPr>
              <w:spacing w:after="0"/>
              <w:rPr>
                <w:sz w:val="1"/>
                <w:szCs w:val="1"/>
                <w:color w:val="auto"/>
              </w:rPr>
            </w:pPr>
          </w:p>
        </w:tc>
      </w:tr>
      <w:tr>
        <w:trPr>
          <w:trHeight w:val="149"/>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Disposals of property</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shd w:val="clear" w:color="auto" w:fill="CFF0FC"/>
          </w:tcPr>
          <w:p>
            <w:pPr>
              <w:ind w:left="740"/>
              <w:spacing w:after="0" w:line="143" w:lineRule="exact"/>
              <w:rPr>
                <w:sz w:val="20"/>
                <w:szCs w:val="20"/>
                <w:color w:val="auto"/>
              </w:rPr>
            </w:pPr>
            <w:r>
              <w:rPr>
                <w:rFonts w:ascii="Arial" w:cs="Arial" w:eastAsia="Arial" w:hAnsi="Arial"/>
                <w:sz w:val="13"/>
                <w:szCs w:val="13"/>
                <w:color w:val="auto"/>
              </w:rPr>
              <w:t>Net cash used in investing activities</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(37,653)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(25,952)</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(20,099)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Contributions from noncontrolling interests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Issuance of senior debt, net of expenses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296,757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396,272</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Excess tax benefits from share-based incentive compensation</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13,300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financing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60"/>
              <w:spacing w:after="0"/>
              <w:rPr>
                <w:sz w:val="20"/>
                <w:szCs w:val="20"/>
                <w:color w:val="auto"/>
              </w:rPr>
            </w:pPr>
            <w:r>
              <w:rPr>
                <w:rFonts w:ascii="Arial" w:cs="Arial" w:eastAsia="Arial" w:hAnsi="Arial"/>
                <w:sz w:val="13"/>
                <w:szCs w:val="13"/>
                <w:color w:val="auto"/>
              </w:rPr>
              <w:t>Payments for:</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Senior debt</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(101,441)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(509,098)</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Capital lease obligations</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(1,826)</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(2,171)</w:t>
            </w: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Distributions to noncontrolling interests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(2,111)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(16,296)</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(13,458)</w:t>
            </w: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Payments under tax receivable agreement</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(10,086)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(1,276)</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Partial extinguishment of tax receivable agreement obligation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(42,222)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Purchase of Class A common stock</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(300,217)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(172,772)</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(192,657)</w:t>
            </w: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Class A common stock dividends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(336,138)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(290,684)</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(146,241)</w:t>
            </w:r>
          </w:p>
        </w:tc>
        <w:tc>
          <w:tcPr>
            <w:tcW w:w="0" w:type="dxa"/>
            <w:vAlign w:val="bottom"/>
          </w:tcPr>
          <w:p>
            <w:pPr>
              <w:spacing w:after="0"/>
              <w:rPr>
                <w:sz w:val="1"/>
                <w:szCs w:val="1"/>
                <w:color w:val="auto"/>
              </w:rPr>
            </w:pPr>
          </w:p>
        </w:tc>
      </w:tr>
      <w:tr>
        <w:trPr>
          <w:trHeight w:val="149"/>
        </w:trPr>
        <w:tc>
          <w:tcPr>
            <w:tcW w:w="6740" w:type="dxa"/>
            <w:vAlign w:val="bottom"/>
          </w:tcPr>
          <w:p>
            <w:pPr>
              <w:ind w:left="500"/>
              <w:spacing w:after="0"/>
              <w:rPr>
                <w:sz w:val="20"/>
                <w:szCs w:val="20"/>
                <w:color w:val="auto"/>
              </w:rPr>
            </w:pPr>
            <w:r>
              <w:rPr>
                <w:rFonts w:ascii="Arial" w:cs="Arial" w:eastAsia="Arial" w:hAnsi="Arial"/>
                <w:sz w:val="13"/>
                <w:szCs w:val="13"/>
                <w:color w:val="auto"/>
              </w:rPr>
              <w:t>Settlement of vested share-based incentive compensation</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(56,078)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(120,116)</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(85,442)</w:t>
            </w: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financing activities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(4,667)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(2,361)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(2,081)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FF0FC"/>
            </w:tcBorders>
          </w:tcPr>
          <w:p>
            <w:pPr>
              <w:ind w:left="740"/>
              <w:spacing w:after="0" w:line="143" w:lineRule="exact"/>
              <w:rPr>
                <w:sz w:val="20"/>
                <w:szCs w:val="20"/>
                <w:color w:val="auto"/>
              </w:rPr>
            </w:pPr>
            <w:r>
              <w:rPr>
                <w:rFonts w:ascii="Arial" w:cs="Arial" w:eastAsia="Arial" w:hAnsi="Arial"/>
                <w:sz w:val="13"/>
                <w:szCs w:val="13"/>
                <w:color w:val="auto"/>
              </w:rPr>
              <w:t>Net cash used in financing activities</w:t>
            </w:r>
          </w:p>
        </w:tc>
        <w:tc>
          <w:tcPr>
            <w:tcW w:w="8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(486,952)</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(746,804)</w:t>
            </w:r>
          </w:p>
        </w:tc>
        <w:tc>
          <w:tcPr>
            <w:tcW w:w="3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(435,369)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EFFECT OF EXCHANGE RATE CHANGES ON CASH</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(49,980)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(49,037)</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(55,451)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line="143" w:lineRule="exact"/>
              <w:rPr>
                <w:sz w:val="20"/>
                <w:szCs w:val="20"/>
                <w:color w:val="auto"/>
              </w:rPr>
            </w:pPr>
            <w:r>
              <w:rPr>
                <w:rFonts w:ascii="Arial" w:cs="Arial" w:eastAsia="Arial" w:hAnsi="Arial"/>
                <w:sz w:val="13"/>
                <w:szCs w:val="13"/>
                <w:b w:val="1"/>
                <w:bCs w:val="1"/>
                <w:color w:val="auto"/>
              </w:rPr>
              <w:t>NET INCREASE IN CASH AND CASH EQUIVALENTS</w:t>
            </w:r>
          </w:p>
        </w:tc>
        <w:tc>
          <w:tcPr>
            <w:tcW w:w="8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26,702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65,503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225,098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AND CASH EQUIVALENTS—January 1</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6"/>
              </w:rPr>
              <w:t>1,132,083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1,066,580</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841,482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line="143" w:lineRule="exact"/>
              <w:rPr>
                <w:sz w:val="20"/>
                <w:szCs w:val="20"/>
                <w:color w:val="auto"/>
              </w:rPr>
            </w:pPr>
            <w:r>
              <w:rPr>
                <w:rFonts w:ascii="Arial" w:cs="Arial" w:eastAsia="Arial" w:hAnsi="Arial"/>
                <w:sz w:val="13"/>
                <w:szCs w:val="13"/>
                <w:b w:val="1"/>
                <w:bCs w:val="1"/>
                <w:color w:val="auto"/>
              </w:rPr>
              <w:t>CASH AND CASH EQUIVALENTS—December 31</w:t>
            </w:r>
          </w:p>
        </w:tc>
        <w:tc>
          <w:tcPr>
            <w:tcW w:w="800" w:type="dxa"/>
            <w:vAlign w:val="bottom"/>
            <w:tcBorders>
              <w:bottom w:val="single" w:sz="8" w:color="auto"/>
            </w:tcBorders>
          </w:tcPr>
          <w:p>
            <w:pPr>
              <w:jc w:val="right"/>
              <w:ind w:right="657"/>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1,158,785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1,132,083</w:t>
            </w:r>
          </w:p>
        </w:tc>
        <w:tc>
          <w:tcPr>
            <w:tcW w:w="300" w:type="dxa"/>
            <w:vAlign w:val="bottom"/>
          </w:tcPr>
          <w:p>
            <w:pPr>
              <w:spacing w:after="0"/>
              <w:rPr>
                <w:sz w:val="12"/>
                <w:szCs w:val="12"/>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1,066,580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DISCLOSURES OF CASH FLOW</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74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740" w:type="dxa"/>
            <w:vAlign w:val="bottom"/>
          </w:tcPr>
          <w:p>
            <w:pPr>
              <w:ind w:left="100"/>
              <w:spacing w:after="0"/>
              <w:rPr>
                <w:sz w:val="20"/>
                <w:szCs w:val="20"/>
                <w:color w:val="auto"/>
              </w:rPr>
            </w:pPr>
            <w:r>
              <w:rPr>
                <w:rFonts w:ascii="Arial" w:cs="Arial" w:eastAsia="Arial" w:hAnsi="Arial"/>
                <w:sz w:val="13"/>
                <w:szCs w:val="13"/>
                <w:b w:val="1"/>
                <w:bCs w:val="1"/>
                <w:color w:val="auto"/>
              </w:rPr>
              <w:t>INFORMATION:</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paid during the year for:</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FF0FC"/>
            </w:tcBorders>
          </w:tcPr>
          <w:p>
            <w:pPr>
              <w:ind w:left="300"/>
              <w:spacing w:after="0"/>
              <w:rPr>
                <w:sz w:val="20"/>
                <w:szCs w:val="20"/>
                <w:color w:val="auto"/>
              </w:rPr>
            </w:pPr>
            <w:r>
              <w:rPr>
                <w:rFonts w:ascii="Arial" w:cs="Arial" w:eastAsia="Arial" w:hAnsi="Arial"/>
                <w:sz w:val="13"/>
                <w:szCs w:val="13"/>
                <w:color w:val="auto"/>
              </w:rPr>
              <w:t>Interest</w:t>
            </w:r>
          </w:p>
        </w:tc>
        <w:tc>
          <w:tcPr>
            <w:tcW w:w="8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46,262</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45,359</w:t>
            </w:r>
          </w:p>
        </w:tc>
        <w:tc>
          <w:tcPr>
            <w:tcW w:w="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40" w:type="dxa"/>
            <w:vAlign w:val="bottom"/>
            <w:tcBorders>
              <w:bottom w:val="single" w:sz="8" w:color="CFF0FC"/>
            </w:tcBorders>
            <w:shd w:val="clear" w:color="auto" w:fill="CFF0FC"/>
          </w:tcPr>
          <w:p>
            <w:pPr>
              <w:ind w:left="300"/>
              <w:spacing w:after="0" w:line="129" w:lineRule="exact"/>
              <w:rPr>
                <w:sz w:val="20"/>
                <w:szCs w:val="20"/>
                <w:color w:val="auto"/>
              </w:rPr>
            </w:pPr>
            <w:r>
              <w:rPr>
                <w:rFonts w:ascii="Arial" w:cs="Arial" w:eastAsia="Arial" w:hAnsi="Arial"/>
                <w:sz w:val="13"/>
                <w:szCs w:val="13"/>
                <w:color w:val="auto"/>
              </w:rPr>
              <w:t>Income taxes, net of refunds</w:t>
            </w:r>
          </w:p>
        </w:tc>
        <w:tc>
          <w:tcPr>
            <w:tcW w:w="800" w:type="dxa"/>
            <w:vAlign w:val="bottom"/>
            <w:tcBorders>
              <w:bottom w:val="single" w:sz="8" w:color="auto"/>
            </w:tcBorders>
            <w:shd w:val="clear" w:color="auto" w:fill="CFF0FC"/>
          </w:tcPr>
          <w:p>
            <w:pPr>
              <w:jc w:val="right"/>
              <w:ind w:right="65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72,420</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60,716</w:t>
            </w: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49,235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99"/>
              <w:spacing w:after="0" w:line="135" w:lineRule="exact"/>
              <w:rPr>
                <w:sz w:val="20"/>
                <w:szCs w:val="20"/>
                <w:color w:val="auto"/>
              </w:rPr>
            </w:pPr>
            <w:r>
              <w:rPr>
                <w:rFonts w:ascii="Arial" w:cs="Arial" w:eastAsia="Arial" w:hAnsi="Arial"/>
                <w:sz w:val="13"/>
                <w:szCs w:val="13"/>
                <w:b w:val="1"/>
                <w:bCs w:val="1"/>
                <w:color w:val="auto"/>
                <w:w w:val="92"/>
              </w:rPr>
              <w:t>Other</w:t>
            </w:r>
          </w:p>
        </w:tc>
        <w:tc>
          <w:tcPr>
            <w:tcW w:w="1040" w:type="dxa"/>
            <w:vAlign w:val="bottom"/>
            <w:gridSpan w:val="4"/>
          </w:tcPr>
          <w:p>
            <w:pPr>
              <w:jc w:val="center"/>
              <w:ind w:left="472"/>
              <w:spacing w:after="0" w:line="135" w:lineRule="exact"/>
              <w:rPr>
                <w:sz w:val="20"/>
                <w:szCs w:val="20"/>
                <w:color w:val="auto"/>
              </w:rPr>
            </w:pPr>
            <w:r>
              <w:rPr>
                <w:rFonts w:ascii="Arial" w:cs="Arial" w:eastAsia="Arial" w:hAnsi="Arial"/>
                <w:sz w:val="13"/>
                <w:szCs w:val="13"/>
                <w:b w:val="1"/>
                <w:bCs w:val="1"/>
                <w:color w:val="auto"/>
                <w:w w:val="87"/>
              </w:rPr>
              <w:t>Class A</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40" w:type="dxa"/>
            <w:vAlign w:val="bottom"/>
          </w:tcPr>
          <w:p>
            <w:pPr>
              <w:spacing w:after="0"/>
              <w:rPr>
                <w:sz w:val="12"/>
                <w:szCs w:val="12"/>
                <w:color w:val="auto"/>
              </w:rPr>
            </w:pPr>
          </w:p>
        </w:tc>
        <w:tc>
          <w:tcPr>
            <w:tcW w:w="680" w:type="dxa"/>
            <w:vAlign w:val="bottom"/>
            <w:gridSpan w:val="3"/>
          </w:tcPr>
          <w:p>
            <w:pPr>
              <w:ind w:left="240"/>
              <w:spacing w:after="0"/>
              <w:rPr>
                <w:sz w:val="20"/>
                <w:szCs w:val="20"/>
                <w:color w:val="auto"/>
              </w:rPr>
            </w:pPr>
            <w:r>
              <w:rPr>
                <w:rFonts w:ascii="Arial" w:cs="Arial" w:eastAsia="Arial" w:hAnsi="Arial"/>
                <w:sz w:val="13"/>
                <w:szCs w:val="13"/>
                <w:b w:val="1"/>
                <w:bCs w:val="1"/>
                <w:color w:val="auto"/>
                <w:w w:val="80"/>
              </w:rPr>
              <w:t>Series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59"/>
              <w:spacing w:after="0"/>
              <w:rPr>
                <w:sz w:val="20"/>
                <w:szCs w:val="20"/>
                <w:color w:val="auto"/>
              </w:rPr>
            </w:pPr>
            <w:r>
              <w:rPr>
                <w:rFonts w:ascii="Arial" w:cs="Arial" w:eastAsia="Arial" w:hAnsi="Arial"/>
                <w:sz w:val="13"/>
                <w:szCs w:val="13"/>
                <w:b w:val="1"/>
                <w:bCs w:val="1"/>
                <w:color w:val="auto"/>
                <w:w w:val="86"/>
              </w:rPr>
              <w:t>Comprehensive</w:t>
            </w:r>
          </w:p>
        </w:tc>
        <w:tc>
          <w:tcPr>
            <w:tcW w:w="1680" w:type="dxa"/>
            <w:vAlign w:val="bottom"/>
            <w:gridSpan w:val="6"/>
          </w:tcPr>
          <w:p>
            <w:pPr>
              <w:jc w:val="center"/>
              <w:ind w:right="59"/>
              <w:spacing w:after="0"/>
              <w:rPr>
                <w:sz w:val="20"/>
                <w:szCs w:val="20"/>
                <w:color w:val="auto"/>
              </w:rPr>
            </w:pPr>
            <w:r>
              <w:rPr>
                <w:rFonts w:ascii="Arial" w:cs="Arial" w:eastAsia="Arial" w:hAnsi="Arial"/>
                <w:sz w:val="13"/>
                <w:szCs w:val="13"/>
                <w:b w:val="1"/>
                <w:bCs w:val="1"/>
                <w:color w:val="auto"/>
                <w:w w:val="85"/>
              </w:rPr>
              <w:t>Common Stock</w:t>
            </w:r>
          </w:p>
        </w:tc>
        <w:tc>
          <w:tcPr>
            <w:tcW w:w="4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Lazard Ltd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3"/>
        </w:trPr>
        <w:tc>
          <w:tcPr>
            <w:tcW w:w="2240" w:type="dxa"/>
            <w:vAlign w:val="bottom"/>
          </w:tcPr>
          <w:p>
            <w:pPr>
              <w:spacing w:after="0"/>
              <w:rPr>
                <w:sz w:val="13"/>
                <w:szCs w:val="13"/>
                <w:color w:val="auto"/>
              </w:rPr>
            </w:pPr>
          </w:p>
        </w:tc>
        <w:tc>
          <w:tcPr>
            <w:tcW w:w="1020" w:type="dxa"/>
            <w:vAlign w:val="bottom"/>
            <w:gridSpan w:val="5"/>
          </w:tcPr>
          <w:p>
            <w:pPr>
              <w:ind w:left="20"/>
              <w:spacing w:after="0"/>
              <w:rPr>
                <w:sz w:val="20"/>
                <w:szCs w:val="20"/>
                <w:color w:val="auto"/>
              </w:rPr>
            </w:pPr>
            <w:r>
              <w:rPr>
                <w:rFonts w:ascii="Arial" w:cs="Arial" w:eastAsia="Arial" w:hAnsi="Arial"/>
                <w:sz w:val="13"/>
                <w:szCs w:val="13"/>
                <w:b w:val="1"/>
                <w:bCs w:val="1"/>
                <w:color w:val="auto"/>
              </w:rPr>
              <w:t>Preferred Stock</w:t>
            </w:r>
          </w:p>
        </w:tc>
        <w:tc>
          <w:tcPr>
            <w:tcW w:w="134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7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8"/>
              </w:rPr>
              <w:t>Retained</w:t>
            </w:r>
          </w:p>
        </w:tc>
        <w:tc>
          <w:tcPr>
            <w:tcW w:w="40" w:type="dxa"/>
            <w:vAlign w:val="bottom"/>
          </w:tcPr>
          <w:p>
            <w:pPr>
              <w:spacing w:after="0"/>
              <w:rPr>
                <w:sz w:val="13"/>
                <w:szCs w:val="13"/>
                <w:color w:val="auto"/>
              </w:rPr>
            </w:pPr>
          </w:p>
        </w:tc>
        <w:tc>
          <w:tcPr>
            <w:tcW w:w="98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7"/>
              </w:rPr>
              <w:t>Income (Loss),</w:t>
            </w:r>
          </w:p>
        </w:tc>
        <w:tc>
          <w:tcPr>
            <w:tcW w:w="1680" w:type="dxa"/>
            <w:vAlign w:val="bottom"/>
            <w:gridSpan w:val="6"/>
          </w:tcPr>
          <w:p>
            <w:pPr>
              <w:jc w:val="center"/>
              <w:ind w:right="59"/>
              <w:spacing w:after="0"/>
              <w:rPr>
                <w:sz w:val="20"/>
                <w:szCs w:val="20"/>
                <w:color w:val="auto"/>
              </w:rPr>
            </w:pPr>
            <w:r>
              <w:rPr>
                <w:rFonts w:ascii="Arial" w:cs="Arial" w:eastAsia="Arial" w:hAnsi="Arial"/>
                <w:sz w:val="13"/>
                <w:szCs w:val="13"/>
                <w:b w:val="1"/>
                <w:bCs w:val="1"/>
                <w:color w:val="auto"/>
                <w:w w:val="88"/>
              </w:rPr>
              <w:t>Held By Subsidiaries</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Stockholders’</w:t>
            </w: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w w:val="99"/>
              </w:rPr>
              <w:t>Noncontrolling</w:t>
            </w: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w w:val="90"/>
              </w:rPr>
              <w:t>Stockholders’</w:t>
            </w:r>
          </w:p>
        </w:tc>
      </w:tr>
      <w:tr>
        <w:trPr>
          <w:trHeight w:val="142"/>
        </w:trPr>
        <w:tc>
          <w:tcPr>
            <w:tcW w:w="2240" w:type="dxa"/>
            <w:vAlign w:val="bottom"/>
          </w:tcPr>
          <w:p>
            <w:pPr>
              <w:spacing w:after="0"/>
              <w:rPr>
                <w:sz w:val="12"/>
                <w:szCs w:val="12"/>
                <w:color w:val="auto"/>
              </w:rPr>
            </w:pPr>
          </w:p>
        </w:tc>
        <w:tc>
          <w:tcPr>
            <w:tcW w:w="5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91"/>
              <w:spacing w:after="0" w:line="143"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ind w:right="72"/>
              <w:spacing w:after="0" w:line="143" w:lineRule="exact"/>
              <w:rPr>
                <w:sz w:val="20"/>
                <w:szCs w:val="20"/>
                <w:color w:val="auto"/>
              </w:rPr>
            </w:pPr>
            <w:r>
              <w:rPr>
                <w:rFonts w:ascii="Arial" w:cs="Arial" w:eastAsia="Arial" w:hAnsi="Arial"/>
                <w:sz w:val="13"/>
                <w:szCs w:val="13"/>
                <w:b w:val="1"/>
                <w:bCs w:val="1"/>
                <w:color w:val="auto"/>
              </w:rPr>
              <w:t>Shares (*)</w:t>
            </w:r>
          </w:p>
        </w:tc>
        <w:tc>
          <w:tcPr>
            <w:tcW w:w="540" w:type="dxa"/>
            <w:vAlign w:val="bottom"/>
            <w:tcBorders>
              <w:top w:val="single" w:sz="8" w:color="auto"/>
            </w:tcBorders>
            <w:gridSpan w:val="2"/>
          </w:tcPr>
          <w:p>
            <w:pPr>
              <w:jc w:val="right"/>
              <w:ind w:right="128"/>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2"/>
              </w:rPr>
              <w:t>Capital</w:t>
            </w:r>
          </w:p>
        </w:tc>
        <w:tc>
          <w:tcPr>
            <w:tcW w:w="720" w:type="dxa"/>
            <w:vAlign w:val="bottom"/>
            <w:gridSpan w:val="3"/>
          </w:tcPr>
          <w:p>
            <w:pPr>
              <w:jc w:val="right"/>
              <w:ind w:right="160"/>
              <w:spacing w:after="0" w:line="143" w:lineRule="exact"/>
              <w:rPr>
                <w:sz w:val="20"/>
                <w:szCs w:val="20"/>
                <w:color w:val="auto"/>
              </w:rPr>
            </w:pPr>
            <w:r>
              <w:rPr>
                <w:rFonts w:ascii="Arial" w:cs="Arial" w:eastAsia="Arial" w:hAnsi="Arial"/>
                <w:sz w:val="13"/>
                <w:szCs w:val="13"/>
                <w:b w:val="1"/>
                <w:bCs w:val="1"/>
                <w:color w:val="auto"/>
                <w:w w:val="96"/>
              </w:rPr>
              <w:t>Earnings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99"/>
              <w:spacing w:after="0" w:line="143" w:lineRule="exact"/>
              <w:rPr>
                <w:sz w:val="20"/>
                <w:szCs w:val="20"/>
                <w:color w:val="auto"/>
              </w:rPr>
            </w:pPr>
            <w:r>
              <w:rPr>
                <w:rFonts w:ascii="Arial" w:cs="Arial" w:eastAsia="Arial" w:hAnsi="Arial"/>
                <w:sz w:val="13"/>
                <w:szCs w:val="13"/>
                <w:b w:val="1"/>
                <w:bCs w:val="1"/>
                <w:color w:val="auto"/>
                <w:w w:val="89"/>
              </w:rPr>
              <w:t>Net of Tax</w:t>
            </w:r>
          </w:p>
        </w:tc>
        <w:tc>
          <w:tcPr>
            <w:tcW w:w="780" w:type="dxa"/>
            <w:vAlign w:val="bottom"/>
            <w:tcBorders>
              <w:top w:val="single" w:sz="8" w:color="auto"/>
            </w:tcBorders>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90"/>
              <w:spacing w:after="0" w:line="143"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92"/>
              </w:rPr>
              <w:t>Interests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2014</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129,056,082</w:t>
            </w:r>
          </w:p>
        </w:tc>
        <w:tc>
          <w:tcPr>
            <w:tcW w:w="10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5"/>
              </w:rPr>
              <w:t>$ 1,291</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737,899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203,236</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(133,004)</w:t>
            </w:r>
          </w:p>
        </w:tc>
        <w:tc>
          <w:tcPr>
            <w:tcW w:w="1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8,317,065</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0"/>
              </w:rPr>
              <w:t>(249,213)</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560,209</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69,789</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629,998</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427,277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427,277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6,786</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434,063</w:t>
            </w:r>
          </w:p>
        </w:tc>
        <w:tc>
          <w:tcPr>
            <w:tcW w:w="60" w:type="dxa"/>
            <w:vAlign w:val="bottom"/>
            <w:shd w:val="clear" w:color="auto" w:fill="CFF0FC"/>
          </w:tcPr>
          <w:p>
            <w:pPr>
              <w:spacing w:after="0"/>
              <w:rPr>
                <w:sz w:val="14"/>
                <w:szCs w:val="14"/>
                <w:color w:val="auto"/>
              </w:rPr>
            </w:pPr>
          </w:p>
        </w:tc>
      </w:tr>
      <w:tr>
        <w:trPr>
          <w:trHeight w:val="143"/>
        </w:trPr>
        <w:tc>
          <w:tcPr>
            <w:tcW w:w="2240" w:type="dxa"/>
            <w:vAlign w:val="bottom"/>
          </w:tcPr>
          <w:p>
            <w:pPr>
              <w:ind w:left="260"/>
              <w:spacing w:after="0" w:line="143" w:lineRule="exact"/>
              <w:rPr>
                <w:sz w:val="20"/>
                <w:szCs w:val="20"/>
                <w:color w:val="auto"/>
              </w:rPr>
            </w:pPr>
            <w:r>
              <w:rPr>
                <w:rFonts w:ascii="Arial" w:cs="Arial" w:eastAsia="Arial" w:hAnsi="Arial"/>
                <w:sz w:val="14"/>
                <w:szCs w:val="14"/>
                <w:color w:val="auto"/>
              </w:rPr>
              <w:t>Other comprehensive loss - net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40" w:type="dxa"/>
            <w:vAlign w:val="bottom"/>
          </w:tcPr>
          <w:p>
            <w:pPr>
              <w:ind w:left="260"/>
              <w:spacing w:after="0"/>
              <w:rPr>
                <w:sz w:val="20"/>
                <w:szCs w:val="20"/>
                <w:color w:val="auto"/>
              </w:rPr>
            </w:pPr>
            <w:r>
              <w:rPr>
                <w:rFonts w:ascii="Arial" w:cs="Arial" w:eastAsia="Arial" w:hAnsi="Arial"/>
                <w:sz w:val="14"/>
                <w:szCs w:val="14"/>
                <w:color w:val="auto"/>
              </w:rPr>
              <w:t>of tax</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(67,204)</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(67,204)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(67,205)</w:t>
            </w: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incentive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60" w:type="dxa"/>
            <w:vAlign w:val="bottom"/>
            <w:shd w:val="clear" w:color="auto" w:fill="CFF0FC"/>
          </w:tcPr>
          <w:p>
            <w:pPr>
              <w:spacing w:after="0"/>
              <w:rPr>
                <w:sz w:val="14"/>
                <w:szCs w:val="14"/>
                <w:color w:val="auto"/>
              </w:rPr>
            </w:pP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(19,617)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(2,081)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(2,081)</w:t>
            </w:r>
          </w:p>
        </w:tc>
      </w:tr>
      <w:tr>
        <w:trPr>
          <w:trHeight w:val="162"/>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Class A common stock dividends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93"/>
              </w:rPr>
              <w:t>(146,241)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(146,241)</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(146,241)</w:t>
            </w:r>
          </w:p>
        </w:tc>
      </w:tr>
      <w:tr>
        <w:trPr>
          <w:trHeight w:val="162"/>
        </w:trPr>
        <w:tc>
          <w:tcPr>
            <w:tcW w:w="2240" w:type="dxa"/>
            <w:vAlign w:val="bottom"/>
          </w:tcPr>
          <w:p>
            <w:pPr>
              <w:spacing w:after="0"/>
              <w:rPr>
                <w:sz w:val="20"/>
                <w:szCs w:val="20"/>
                <w:color w:val="auto"/>
              </w:rPr>
            </w:pPr>
            <w:r>
              <w:rPr>
                <w:rFonts w:ascii="Arial" w:cs="Arial" w:eastAsia="Arial" w:hAnsi="Arial"/>
                <w:sz w:val="14"/>
                <w:szCs w:val="14"/>
                <w:color w:val="auto"/>
              </w:rPr>
              <w:t>Purchase of Class A common stock</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4,114,206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6"/>
              </w:rPr>
              <w:t>(192,657)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(192,657)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(192,657)</w:t>
            </w: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7"/>
              </w:rPr>
              <w:t>Delivery of Class A common stock in</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incentive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 related tax</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benefit</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$4,783</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(258,798)</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(4,923,252)</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178,139</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(80,659)</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(80,659)</w:t>
            </w:r>
          </w:p>
        </w:tc>
      </w:tr>
      <w:tr>
        <w:trPr>
          <w:trHeight w:val="143"/>
        </w:trPr>
        <w:tc>
          <w:tcPr>
            <w:tcW w:w="2240" w:type="dxa"/>
            <w:vAlign w:val="bottom"/>
          </w:tcPr>
          <w:p>
            <w:pPr>
              <w:spacing w:after="0" w:line="143" w:lineRule="exact"/>
              <w:rPr>
                <w:sz w:val="20"/>
                <w:szCs w:val="20"/>
                <w:color w:val="auto"/>
              </w:rPr>
            </w:pPr>
            <w:r>
              <w:rPr>
                <w:rFonts w:ascii="Arial" w:cs="Arial" w:eastAsia="Arial" w:hAnsi="Arial"/>
                <w:sz w:val="14"/>
                <w:szCs w:val="14"/>
                <w:color w:val="auto"/>
              </w:rPr>
              <w:t>Class A common stock issued in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exchange for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40" w:type="dxa"/>
            <w:vAlign w:val="bottom"/>
          </w:tcPr>
          <w:p>
            <w:pPr>
              <w:ind w:left="120"/>
              <w:spacing w:after="0" w:line="149" w:lineRule="exact"/>
              <w:rPr>
                <w:sz w:val="20"/>
                <w:szCs w:val="20"/>
                <w:color w:val="auto"/>
              </w:rPr>
            </w:pPr>
            <w:r>
              <w:rPr>
                <w:rFonts w:ascii="Arial" w:cs="Arial" w:eastAsia="Arial" w:hAnsi="Arial"/>
                <w:sz w:val="14"/>
                <w:szCs w:val="14"/>
                <w:color w:val="auto"/>
              </w:rPr>
              <w:t>Lazard Group common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membership interests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710,009</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equity</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43"/>
        </w:trPr>
        <w:tc>
          <w:tcPr>
            <w:tcW w:w="2240" w:type="dxa"/>
            <w:vAlign w:val="bottom"/>
          </w:tcPr>
          <w:p>
            <w:pPr>
              <w:ind w:left="260"/>
              <w:spacing w:after="0" w:line="143" w:lineRule="exact"/>
              <w:rPr>
                <w:sz w:val="20"/>
                <w:szCs w:val="20"/>
                <w:color w:val="auto"/>
              </w:rPr>
            </w:pPr>
            <w:r>
              <w:rPr>
                <w:rFonts w:ascii="Arial" w:cs="Arial" w:eastAsia="Arial" w:hAnsi="Arial"/>
                <w:sz w:val="14"/>
                <w:szCs w:val="14"/>
                <w:color w:val="auto"/>
              </w:rPr>
              <w:t>Delivery of Class A common</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40" w:type="dxa"/>
            <w:vAlign w:val="bottom"/>
          </w:tcPr>
          <w:p>
            <w:pPr>
              <w:ind w:left="260"/>
              <w:spacing w:after="0"/>
              <w:rPr>
                <w:sz w:val="20"/>
                <w:szCs w:val="20"/>
                <w:color w:val="auto"/>
              </w:rPr>
            </w:pPr>
            <w:r>
              <w:rPr>
                <w:rFonts w:ascii="Arial" w:cs="Arial" w:eastAsia="Arial" w:hAnsi="Arial"/>
                <w:sz w:val="14"/>
                <w:szCs w:val="14"/>
                <w:color w:val="auto"/>
              </w:rPr>
              <w:t>stock</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(57,274)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2,488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43"/>
        </w:trPr>
        <w:tc>
          <w:tcPr>
            <w:tcW w:w="22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9"/>
              </w:rPr>
              <w:t>Class A common stock issuable</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(including related</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60" w:type="dxa"/>
            <w:vAlign w:val="bottom"/>
            <w:shd w:val="clear" w:color="auto" w:fill="CFF0FC"/>
          </w:tcPr>
          <w:p>
            <w:pPr>
              <w:spacing w:after="0"/>
              <w:rPr>
                <w:sz w:val="14"/>
                <w:szCs w:val="14"/>
                <w:color w:val="auto"/>
              </w:rPr>
            </w:pPr>
          </w:p>
        </w:tc>
      </w:tr>
      <w:tr>
        <w:trPr>
          <w:trHeight w:val="143"/>
        </w:trPr>
        <w:tc>
          <w:tcPr>
            <w:tcW w:w="2240" w:type="dxa"/>
            <w:vAlign w:val="bottom"/>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40" w:type="dxa"/>
            <w:vAlign w:val="bottom"/>
          </w:tcPr>
          <w:p>
            <w:pPr>
              <w:spacing w:after="0"/>
              <w:rPr>
                <w:sz w:val="20"/>
                <w:szCs w:val="20"/>
                <w:color w:val="auto"/>
              </w:rPr>
            </w:pPr>
            <w:r>
              <w:rPr>
                <w:rFonts w:ascii="Arial" w:cs="Arial" w:eastAsia="Arial" w:hAnsi="Arial"/>
                <w:sz w:val="14"/>
                <w:szCs w:val="14"/>
                <w:color w:val="auto"/>
              </w:rPr>
              <w:t>interests, net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(11,926)</w:t>
            </w:r>
          </w:p>
        </w:tc>
      </w:tr>
      <w:tr>
        <w:trPr>
          <w:trHeight w:val="143"/>
        </w:trPr>
        <w:tc>
          <w:tcPr>
            <w:tcW w:w="2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relating to</w:t>
            </w: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40" w:type="dxa"/>
            <w:vAlign w:val="bottom"/>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(558)</w:t>
            </w: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(1,335)</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r>
      <w:tr>
        <w:trPr>
          <w:trHeight w:val="156"/>
        </w:trPr>
        <w:tc>
          <w:tcPr>
            <w:tcW w:w="2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2014</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129,766,091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$ 1,298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702,800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464,655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(200,766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7,450,745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(261,243</w:t>
            </w:r>
          </w:p>
        </w:tc>
        <w:tc>
          <w:tcPr>
            <w:tcW w:w="120" w:type="dxa"/>
            <w:vAlign w:val="bottom"/>
            <w:gridSpan w:val="2"/>
          </w:tcPr>
          <w:p>
            <w:pPr>
              <w:jc w:val="right"/>
              <w:ind w:right="17"/>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706,744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63,313</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770,057</w:t>
            </w:r>
          </w:p>
        </w:tc>
        <w:tc>
          <w:tcPr>
            <w:tcW w:w="60" w:type="dxa"/>
            <w:vAlign w:val="bottom"/>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2" w:name="page83"/>
    <w:bookmarkEnd w:id="8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68"/>
              <w:spacing w:after="0"/>
              <w:rPr>
                <w:sz w:val="20"/>
                <w:szCs w:val="20"/>
                <w:color w:val="auto"/>
              </w:rPr>
            </w:pPr>
            <w:r>
              <w:rPr>
                <w:rFonts w:ascii="Arial" w:cs="Arial" w:eastAsia="Arial" w:hAnsi="Arial"/>
                <w:sz w:val="13"/>
                <w:szCs w:val="13"/>
                <w:b w:val="1"/>
                <w:bCs w:val="1"/>
                <w:color w:val="auto"/>
                <w:w w:val="85"/>
              </w:rPr>
              <w:t>Accumulated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48"/>
              <w:spacing w:after="0" w:line="135"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gridSpan w:val="3"/>
          </w:tcPr>
          <w:p>
            <w:pPr>
              <w:jc w:val="center"/>
              <w:ind w:left="472"/>
              <w:spacing w:after="0" w:line="135" w:lineRule="exact"/>
              <w:rPr>
                <w:sz w:val="20"/>
                <w:szCs w:val="20"/>
                <w:color w:val="auto"/>
              </w:rPr>
            </w:pPr>
            <w:r>
              <w:rPr>
                <w:rFonts w:ascii="Arial" w:cs="Arial" w:eastAsia="Arial" w:hAnsi="Arial"/>
                <w:sz w:val="13"/>
                <w:szCs w:val="13"/>
                <w:b w:val="1"/>
                <w:bCs w:val="1"/>
                <w:color w:val="auto"/>
                <w:w w:val="83"/>
              </w:rPr>
              <w:t>Class A</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200" w:type="dxa"/>
            <w:vAlign w:val="bottom"/>
          </w:tcPr>
          <w:p>
            <w:pPr>
              <w:spacing w:after="0"/>
              <w:rPr>
                <w:sz w:val="12"/>
                <w:szCs w:val="12"/>
                <w:color w:val="auto"/>
              </w:rPr>
            </w:pPr>
          </w:p>
        </w:tc>
        <w:tc>
          <w:tcPr>
            <w:tcW w:w="680" w:type="dxa"/>
            <w:vAlign w:val="bottom"/>
            <w:gridSpan w:val="3"/>
          </w:tcPr>
          <w:p>
            <w:pPr>
              <w:ind w:left="240"/>
              <w:spacing w:after="0"/>
              <w:rPr>
                <w:sz w:val="20"/>
                <w:szCs w:val="20"/>
                <w:color w:val="auto"/>
              </w:rPr>
            </w:pPr>
            <w:r>
              <w:rPr>
                <w:rFonts w:ascii="Arial" w:cs="Arial" w:eastAsia="Arial" w:hAnsi="Arial"/>
                <w:sz w:val="13"/>
                <w:szCs w:val="13"/>
                <w:b w:val="1"/>
                <w:bCs w:val="1"/>
                <w:color w:val="auto"/>
                <w:w w:val="80"/>
              </w:rPr>
              <w:t>Series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8"/>
              <w:spacing w:after="0"/>
              <w:rPr>
                <w:sz w:val="20"/>
                <w:szCs w:val="20"/>
                <w:color w:val="auto"/>
              </w:rPr>
            </w:pPr>
            <w:r>
              <w:rPr>
                <w:rFonts w:ascii="Arial" w:cs="Arial" w:eastAsia="Arial" w:hAnsi="Arial"/>
                <w:sz w:val="13"/>
                <w:szCs w:val="13"/>
                <w:b w:val="1"/>
                <w:bCs w:val="1"/>
                <w:color w:val="auto"/>
                <w:w w:val="86"/>
              </w:rPr>
              <w:t>Comprehensive</w:t>
            </w:r>
          </w:p>
        </w:tc>
        <w:tc>
          <w:tcPr>
            <w:tcW w:w="1700" w:type="dxa"/>
            <w:vAlign w:val="bottom"/>
            <w:gridSpan w:val="5"/>
          </w:tcPr>
          <w:p>
            <w:pPr>
              <w:jc w:val="center"/>
              <w:ind w:right="99"/>
              <w:spacing w:after="0"/>
              <w:rPr>
                <w:sz w:val="20"/>
                <w:szCs w:val="20"/>
                <w:color w:val="auto"/>
              </w:rPr>
            </w:pPr>
            <w:r>
              <w:rPr>
                <w:rFonts w:ascii="Arial" w:cs="Arial" w:eastAsia="Arial" w:hAnsi="Arial"/>
                <w:sz w:val="13"/>
                <w:szCs w:val="13"/>
                <w:b w:val="1"/>
                <w:bCs w:val="1"/>
                <w:color w:val="auto"/>
                <w:w w:val="88"/>
              </w:rPr>
              <w:t>Common Stock</w:t>
            </w: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Lazard Ltd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3"/>
        </w:trPr>
        <w:tc>
          <w:tcPr>
            <w:tcW w:w="2200" w:type="dxa"/>
            <w:vAlign w:val="bottom"/>
          </w:tcPr>
          <w:p>
            <w:pPr>
              <w:spacing w:after="0"/>
              <w:rPr>
                <w:sz w:val="13"/>
                <w:szCs w:val="13"/>
                <w:color w:val="auto"/>
              </w:rPr>
            </w:pPr>
          </w:p>
        </w:tc>
        <w:tc>
          <w:tcPr>
            <w:tcW w:w="1020" w:type="dxa"/>
            <w:vAlign w:val="bottom"/>
            <w:gridSpan w:val="5"/>
          </w:tcPr>
          <w:p>
            <w:pPr>
              <w:ind w:left="20"/>
              <w:spacing w:after="0"/>
              <w:rPr>
                <w:sz w:val="20"/>
                <w:szCs w:val="20"/>
                <w:color w:val="auto"/>
              </w:rPr>
            </w:pPr>
            <w:r>
              <w:rPr>
                <w:rFonts w:ascii="Arial" w:cs="Arial" w:eastAsia="Arial" w:hAnsi="Arial"/>
                <w:sz w:val="13"/>
                <w:szCs w:val="13"/>
                <w:b w:val="1"/>
                <w:bCs w:val="1"/>
                <w:color w:val="auto"/>
              </w:rPr>
              <w:t>Preferred Stock</w:t>
            </w:r>
          </w:p>
        </w:tc>
        <w:tc>
          <w:tcPr>
            <w:tcW w:w="1440" w:type="dxa"/>
            <w:vAlign w:val="bottom"/>
            <w:gridSpan w:val="4"/>
          </w:tcPr>
          <w:p>
            <w:pPr>
              <w:ind w:left="2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Retained</w:t>
            </w:r>
          </w:p>
        </w:tc>
        <w:tc>
          <w:tcPr>
            <w:tcW w:w="960" w:type="dxa"/>
            <w:vAlign w:val="bottom"/>
            <w:gridSpan w:val="3"/>
          </w:tcPr>
          <w:p>
            <w:pPr>
              <w:jc w:val="center"/>
              <w:ind w:right="68"/>
              <w:spacing w:after="0"/>
              <w:rPr>
                <w:sz w:val="20"/>
                <w:szCs w:val="20"/>
                <w:color w:val="auto"/>
              </w:rPr>
            </w:pPr>
            <w:r>
              <w:rPr>
                <w:rFonts w:ascii="Arial" w:cs="Arial" w:eastAsia="Arial" w:hAnsi="Arial"/>
                <w:sz w:val="13"/>
                <w:szCs w:val="13"/>
                <w:b w:val="1"/>
                <w:bCs w:val="1"/>
                <w:color w:val="auto"/>
                <w:w w:val="84"/>
              </w:rPr>
              <w:t>Income (Loss),</w:t>
            </w:r>
          </w:p>
        </w:tc>
        <w:tc>
          <w:tcPr>
            <w:tcW w:w="1700" w:type="dxa"/>
            <w:vAlign w:val="bottom"/>
            <w:gridSpan w:val="5"/>
          </w:tcPr>
          <w:p>
            <w:pPr>
              <w:jc w:val="center"/>
              <w:ind w:right="99"/>
              <w:spacing w:after="0"/>
              <w:rPr>
                <w:sz w:val="20"/>
                <w:szCs w:val="20"/>
                <w:color w:val="auto"/>
              </w:rPr>
            </w:pPr>
            <w:r>
              <w:rPr>
                <w:rFonts w:ascii="Arial" w:cs="Arial" w:eastAsia="Arial" w:hAnsi="Arial"/>
                <w:sz w:val="13"/>
                <w:szCs w:val="13"/>
                <w:b w:val="1"/>
                <w:bCs w:val="1"/>
                <w:color w:val="auto"/>
                <w:w w:val="86"/>
              </w:rPr>
              <w:t>Held By Subsidiaries</w:t>
            </w: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7"/>
              </w:rPr>
              <w:t>Noncontrolling</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3"/>
              </w:rPr>
              <w:t>Stockholders’</w:t>
            </w:r>
          </w:p>
        </w:tc>
      </w:tr>
      <w:tr>
        <w:trPr>
          <w:trHeight w:val="142"/>
        </w:trPr>
        <w:tc>
          <w:tcPr>
            <w:tcW w:w="2200" w:type="dxa"/>
            <w:vAlign w:val="bottom"/>
          </w:tcPr>
          <w:p>
            <w:pPr>
              <w:spacing w:after="0"/>
              <w:rPr>
                <w:sz w:val="12"/>
                <w:szCs w:val="12"/>
                <w:color w:val="auto"/>
              </w:rPr>
            </w:pPr>
          </w:p>
        </w:tc>
        <w:tc>
          <w:tcPr>
            <w:tcW w:w="42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ind w:right="91"/>
              <w:spacing w:after="0" w:line="143"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120"/>
              <w:spacing w:after="0" w:line="143" w:lineRule="exact"/>
              <w:rPr>
                <w:sz w:val="20"/>
                <w:szCs w:val="20"/>
                <w:color w:val="auto"/>
              </w:rPr>
            </w:pPr>
            <w:r>
              <w:rPr>
                <w:rFonts w:ascii="Arial" w:cs="Arial" w:eastAsia="Arial" w:hAnsi="Arial"/>
                <w:sz w:val="13"/>
                <w:szCs w:val="13"/>
                <w:b w:val="1"/>
                <w:bCs w:val="1"/>
                <w:color w:val="auto"/>
              </w:rPr>
              <w:t>Shares (*)</w:t>
            </w:r>
          </w:p>
        </w:tc>
        <w:tc>
          <w:tcPr>
            <w:tcW w:w="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3" w:lineRule="exact"/>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2"/>
                <w:szCs w:val="12"/>
                <w:color w:val="auto"/>
              </w:rPr>
            </w:pPr>
          </w:p>
        </w:tc>
        <w:tc>
          <w:tcPr>
            <w:tcW w:w="860" w:type="dxa"/>
            <w:vAlign w:val="bottom"/>
            <w:gridSpan w:val="2"/>
          </w:tcPr>
          <w:p>
            <w:pPr>
              <w:jc w:val="center"/>
              <w:ind w:right="148"/>
              <w:spacing w:after="0" w:line="143" w:lineRule="exact"/>
              <w:rPr>
                <w:sz w:val="20"/>
                <w:szCs w:val="20"/>
                <w:color w:val="auto"/>
              </w:rPr>
            </w:pPr>
            <w:r>
              <w:rPr>
                <w:rFonts w:ascii="Arial" w:cs="Arial" w:eastAsia="Arial" w:hAnsi="Arial"/>
                <w:sz w:val="13"/>
                <w:szCs w:val="13"/>
                <w:b w:val="1"/>
                <w:bCs w:val="1"/>
                <w:color w:val="auto"/>
                <w:w w:val="89"/>
              </w:rPr>
              <w:t>Net of Tax</w:t>
            </w:r>
          </w:p>
        </w:tc>
        <w:tc>
          <w:tcPr>
            <w:tcW w:w="84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90"/>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2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2015</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129,766,091</w:t>
            </w:r>
          </w:p>
        </w:tc>
        <w:tc>
          <w:tcPr>
            <w:tcW w:w="10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89"/>
              </w:rPr>
              <w:t>$ 1,298</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702,800</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464,655</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(200,766)</w:t>
            </w:r>
          </w:p>
        </w:tc>
        <w:tc>
          <w:tcPr>
            <w:tcW w:w="1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7,450,745</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0"/>
              </w:rPr>
              <w:t>(261,243)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706,744</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63,313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770,057</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986,373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986,373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992,932</w:t>
            </w:r>
          </w:p>
        </w:tc>
        <w:tc>
          <w:tcPr>
            <w:tcW w:w="60" w:type="dxa"/>
            <w:vAlign w:val="bottom"/>
            <w:shd w:val="clear" w:color="auto" w:fill="CFF0FC"/>
          </w:tcPr>
          <w:p>
            <w:pPr>
              <w:spacing w:after="0"/>
              <w:rPr>
                <w:sz w:val="14"/>
                <w:szCs w:val="14"/>
                <w:color w:val="auto"/>
              </w:rPr>
            </w:pPr>
          </w:p>
        </w:tc>
      </w:tr>
      <w:tr>
        <w:trPr>
          <w:trHeight w:val="143"/>
        </w:trPr>
        <w:tc>
          <w:tcPr>
            <w:tcW w:w="2200" w:type="dxa"/>
            <w:vAlign w:val="bottom"/>
          </w:tcPr>
          <w:p>
            <w:pPr>
              <w:ind w:left="260"/>
              <w:spacing w:after="0" w:line="143" w:lineRule="exact"/>
              <w:rPr>
                <w:sz w:val="20"/>
                <w:szCs w:val="20"/>
                <w:color w:val="auto"/>
              </w:rPr>
            </w:pPr>
            <w:r>
              <w:rPr>
                <w:rFonts w:ascii="Arial" w:cs="Arial" w:eastAsia="Arial" w:hAnsi="Arial"/>
                <w:sz w:val="14"/>
                <w:szCs w:val="14"/>
                <w:color w:val="auto"/>
                <w:w w:val="98"/>
              </w:rPr>
              <w:t>Other comprehensive loss - net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00" w:type="dxa"/>
            <w:vAlign w:val="bottom"/>
          </w:tcPr>
          <w:p>
            <w:pPr>
              <w:ind w:left="260"/>
              <w:spacing w:after="0"/>
              <w:rPr>
                <w:sz w:val="20"/>
                <w:szCs w:val="20"/>
                <w:color w:val="auto"/>
              </w:rPr>
            </w:pPr>
            <w:r>
              <w:rPr>
                <w:rFonts w:ascii="Arial" w:cs="Arial" w:eastAsia="Arial" w:hAnsi="Arial"/>
                <w:sz w:val="14"/>
                <w:szCs w:val="14"/>
                <w:color w:val="auto"/>
              </w:rPr>
              <w:t>of tax</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(33,590)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(33,590)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(33,590)</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incentive</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60" w:type="dxa"/>
            <w:vAlign w:val="bottom"/>
            <w:shd w:val="clear" w:color="auto" w:fill="CFF0FC"/>
          </w:tcPr>
          <w:p>
            <w:pPr>
              <w:spacing w:after="0"/>
              <w:rPr>
                <w:sz w:val="14"/>
                <w:szCs w:val="14"/>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34,255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(36,616)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(2,361)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(2,361)</w:t>
            </w: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Class A common stock dividends</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(290,684)</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(290,684)</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(290,684)</w:t>
            </w: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w w:val="98"/>
              </w:rPr>
              <w:t>Purchase of Class A common stock</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3,438,789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4"/>
                <w:szCs w:val="14"/>
                <w:color w:val="auto"/>
                <w:w w:val="96"/>
              </w:rPr>
              <w:t>(172,772)</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(172,772)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(172,772)</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Delivery of Class A common stock</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incentive</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 related tax</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benefit</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$13,138</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(362,417)</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(6,608,837)</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255,439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(106,978)</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(106,978)</w:t>
            </w: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Business acquisitions and related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2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Delivery of Class A common</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(1,327)</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(27,316)</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200" w:type="dxa"/>
            <w:vAlign w:val="bottom"/>
          </w:tcPr>
          <w:p>
            <w:pPr>
              <w:spacing w:after="0"/>
              <w:rPr>
                <w:sz w:val="20"/>
                <w:szCs w:val="20"/>
                <w:color w:val="auto"/>
              </w:rPr>
            </w:pPr>
            <w:r>
              <w:rPr>
                <w:rFonts w:ascii="Arial" w:cs="Arial" w:eastAsia="Arial" w:hAnsi="Arial"/>
                <w:sz w:val="14"/>
                <w:szCs w:val="14"/>
                <w:color w:val="auto"/>
              </w:rPr>
              <w:t>interests, net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(16,021)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(16,021)</w:t>
            </w:r>
          </w:p>
        </w:tc>
      </w:tr>
      <w:tr>
        <w:trPr>
          <w:trHeight w:val="156"/>
        </w:trPr>
        <w:tc>
          <w:tcPr>
            <w:tcW w:w="22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2015</w:t>
            </w: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129,766,091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89"/>
              </w:rPr>
              <w:t>$ 1,298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600,034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3"/>
              </w:rPr>
              <w:t>1,123,728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(234,356</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4,253,381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4"/>
              </w:rPr>
              <w:t>(177,249</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1,313,455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53,851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1,367,306</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3" w:name="page84"/>
    <w:bookmarkEnd w:id="8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1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99"/>
              <w:spacing w:after="0" w:line="135" w:lineRule="exact"/>
              <w:rPr>
                <w:sz w:val="20"/>
                <w:szCs w:val="20"/>
                <w:color w:val="auto"/>
              </w:rPr>
            </w:pPr>
            <w:r>
              <w:rPr>
                <w:rFonts w:ascii="Arial" w:cs="Arial" w:eastAsia="Arial" w:hAnsi="Arial"/>
                <w:sz w:val="13"/>
                <w:szCs w:val="13"/>
                <w:b w:val="1"/>
                <w:bCs w:val="1"/>
                <w:color w:val="auto"/>
                <w:w w:val="92"/>
              </w:rPr>
              <w:t>Other</w:t>
            </w:r>
          </w:p>
        </w:tc>
        <w:tc>
          <w:tcPr>
            <w:tcW w:w="980" w:type="dxa"/>
            <w:vAlign w:val="bottom"/>
            <w:gridSpan w:val="3"/>
          </w:tcPr>
          <w:p>
            <w:pPr>
              <w:jc w:val="center"/>
              <w:ind w:left="472"/>
              <w:spacing w:after="0" w:line="135" w:lineRule="exact"/>
              <w:rPr>
                <w:sz w:val="20"/>
                <w:szCs w:val="20"/>
                <w:color w:val="auto"/>
              </w:rPr>
            </w:pPr>
            <w:r>
              <w:rPr>
                <w:rFonts w:ascii="Arial" w:cs="Arial" w:eastAsia="Arial" w:hAnsi="Arial"/>
                <w:sz w:val="13"/>
                <w:szCs w:val="13"/>
                <w:b w:val="1"/>
                <w:bCs w:val="1"/>
                <w:color w:val="auto"/>
                <w:w w:val="83"/>
              </w:rPr>
              <w:t>Class A</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right"/>
              <w:ind w:right="149"/>
              <w:spacing w:after="0"/>
              <w:rPr>
                <w:sz w:val="20"/>
                <w:szCs w:val="20"/>
                <w:color w:val="auto"/>
              </w:rPr>
            </w:pPr>
            <w:r>
              <w:rPr>
                <w:rFonts w:ascii="Arial" w:cs="Arial" w:eastAsia="Arial" w:hAnsi="Arial"/>
                <w:sz w:val="13"/>
                <w:szCs w:val="13"/>
                <w:b w:val="1"/>
                <w:bCs w:val="1"/>
                <w:color w:val="auto"/>
              </w:rPr>
              <w:t>Series 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6"/>
              </w:rPr>
              <w:t>Comprehensive</w:t>
            </w:r>
          </w:p>
        </w:tc>
        <w:tc>
          <w:tcPr>
            <w:tcW w:w="1660" w:type="dxa"/>
            <w:vAlign w:val="bottom"/>
            <w:gridSpan w:val="5"/>
          </w:tcPr>
          <w:p>
            <w:pPr>
              <w:jc w:val="center"/>
              <w:ind w:right="99"/>
              <w:spacing w:after="0"/>
              <w:rPr>
                <w:sz w:val="20"/>
                <w:szCs w:val="20"/>
                <w:color w:val="auto"/>
              </w:rPr>
            </w:pPr>
            <w:r>
              <w:rPr>
                <w:rFonts w:ascii="Arial" w:cs="Arial" w:eastAsia="Arial" w:hAnsi="Arial"/>
                <w:sz w:val="13"/>
                <w:szCs w:val="13"/>
                <w:b w:val="1"/>
                <w:bCs w:val="1"/>
                <w:color w:val="auto"/>
                <w:w w:val="88"/>
              </w:rPr>
              <w:t>Common Stock</w:t>
            </w: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Lazard Ltd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3"/>
        </w:trPr>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Arial" w:cs="Arial" w:eastAsia="Arial" w:hAnsi="Arial"/>
                <w:sz w:val="13"/>
                <w:szCs w:val="13"/>
                <w:b w:val="1"/>
                <w:bCs w:val="1"/>
                <w:color w:val="auto"/>
                <w:w w:val="86"/>
              </w:rPr>
              <w:t>Preferred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ind w:left="2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Retained</w:t>
            </w:r>
          </w:p>
        </w:tc>
        <w:tc>
          <w:tcPr>
            <w:tcW w:w="98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7"/>
              </w:rPr>
              <w:t>Income (Loss),</w:t>
            </w:r>
          </w:p>
        </w:tc>
        <w:tc>
          <w:tcPr>
            <w:tcW w:w="1660" w:type="dxa"/>
            <w:vAlign w:val="bottom"/>
            <w:gridSpan w:val="5"/>
          </w:tcPr>
          <w:p>
            <w:pPr>
              <w:jc w:val="center"/>
              <w:ind w:right="99"/>
              <w:spacing w:after="0"/>
              <w:rPr>
                <w:sz w:val="20"/>
                <w:szCs w:val="20"/>
                <w:color w:val="auto"/>
              </w:rPr>
            </w:pPr>
            <w:r>
              <w:rPr>
                <w:rFonts w:ascii="Arial" w:cs="Arial" w:eastAsia="Arial" w:hAnsi="Arial"/>
                <w:sz w:val="13"/>
                <w:szCs w:val="13"/>
                <w:b w:val="1"/>
                <w:bCs w:val="1"/>
                <w:color w:val="auto"/>
                <w:w w:val="86"/>
              </w:rPr>
              <w:t>Held By Subsidiaries</w:t>
            </w: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7"/>
              </w:rPr>
              <w:t>Noncontrolling</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3"/>
              </w:rPr>
              <w:t>Stockholders’</w:t>
            </w:r>
          </w:p>
        </w:tc>
      </w:tr>
      <w:tr>
        <w:trPr>
          <w:trHeight w:val="142"/>
        </w:trPr>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gridSpan w:val="2"/>
          </w:tcPr>
          <w:p>
            <w:pPr>
              <w:ind w:left="40"/>
              <w:spacing w:after="0" w:line="143" w:lineRule="exact"/>
              <w:rPr>
                <w:sz w:val="20"/>
                <w:szCs w:val="20"/>
                <w:color w:val="auto"/>
              </w:rPr>
            </w:pPr>
            <w:r>
              <w:rPr>
                <w:rFonts w:ascii="Arial" w:cs="Arial" w:eastAsia="Arial" w:hAnsi="Arial"/>
                <w:sz w:val="13"/>
                <w:szCs w:val="13"/>
                <w:b w:val="1"/>
                <w:bCs w:val="1"/>
                <w:color w:val="auto"/>
              </w:rPr>
              <w:t>Shares</w:t>
            </w:r>
          </w:p>
        </w:tc>
        <w:tc>
          <w:tcPr>
            <w:tcW w:w="340" w:type="dxa"/>
            <w:vAlign w:val="bottom"/>
            <w:tcBorders>
              <w:top w:val="single" w:sz="8" w:color="auto"/>
            </w:tcBorders>
            <w:gridSpan w:val="2"/>
          </w:tcPr>
          <w:p>
            <w:pPr>
              <w:jc w:val="right"/>
              <w:ind w:right="49"/>
              <w:spacing w:after="0" w:line="143"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gridSpan w:val="2"/>
          </w:tcPr>
          <w:p>
            <w:pPr>
              <w:ind w:left="140"/>
              <w:spacing w:after="0" w:line="143" w:lineRule="exact"/>
              <w:rPr>
                <w:sz w:val="20"/>
                <w:szCs w:val="20"/>
                <w:color w:val="auto"/>
              </w:rPr>
            </w:pPr>
            <w:r>
              <w:rPr>
                <w:rFonts w:ascii="Arial" w:cs="Arial" w:eastAsia="Arial" w:hAnsi="Arial"/>
                <w:sz w:val="13"/>
                <w:szCs w:val="13"/>
                <w:b w:val="1"/>
                <w:bCs w:val="1"/>
                <w:color w:val="auto"/>
              </w:rPr>
              <w:t>Shares (*)</w:t>
            </w:r>
          </w:p>
        </w:tc>
        <w:tc>
          <w:tcPr>
            <w:tcW w:w="4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2"/>
                <w:szCs w:val="12"/>
                <w:color w:val="auto"/>
              </w:rPr>
            </w:pPr>
          </w:p>
        </w:tc>
        <w:tc>
          <w:tcPr>
            <w:tcW w:w="80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2"/>
                <w:szCs w:val="12"/>
                <w:color w:val="auto"/>
              </w:rPr>
            </w:pPr>
          </w:p>
        </w:tc>
        <w:tc>
          <w:tcPr>
            <w:tcW w:w="880" w:type="dxa"/>
            <w:vAlign w:val="bottom"/>
            <w:gridSpan w:val="2"/>
          </w:tcPr>
          <w:p>
            <w:pPr>
              <w:jc w:val="center"/>
              <w:ind w:right="199"/>
              <w:spacing w:after="0" w:line="143" w:lineRule="exact"/>
              <w:rPr>
                <w:sz w:val="20"/>
                <w:szCs w:val="20"/>
                <w:color w:val="auto"/>
              </w:rPr>
            </w:pPr>
            <w:r>
              <w:rPr>
                <w:rFonts w:ascii="Arial" w:cs="Arial" w:eastAsia="Arial" w:hAnsi="Arial"/>
                <w:sz w:val="13"/>
                <w:szCs w:val="13"/>
                <w:b w:val="1"/>
                <w:bCs w:val="1"/>
                <w:color w:val="auto"/>
                <w:w w:val="89"/>
              </w:rPr>
              <w:t>Net of Tax</w:t>
            </w:r>
          </w:p>
        </w:tc>
        <w:tc>
          <w:tcPr>
            <w:tcW w:w="82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70"/>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18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2016</w:t>
            </w: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b w:val="1"/>
                <w:bCs w:val="1"/>
                <w:color w:val="auto"/>
                <w:w w:val="89"/>
              </w:rPr>
              <w:t>$ 1,298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600,034</w:t>
            </w: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$ 1,123,728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(234,356)</w:t>
            </w:r>
          </w:p>
        </w:tc>
        <w:tc>
          <w:tcPr>
            <w:tcW w:w="1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4,253,381</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0"/>
              </w:rPr>
              <w:t>(177,249)</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1,313,455</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53,851</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1,367,306</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218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18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387,698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387,698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393,692</w:t>
            </w:r>
          </w:p>
        </w:tc>
        <w:tc>
          <w:tcPr>
            <w:tcW w:w="60" w:type="dxa"/>
            <w:vAlign w:val="bottom"/>
            <w:shd w:val="clear" w:color="auto" w:fill="CFF0FC"/>
          </w:tcPr>
          <w:p>
            <w:pPr>
              <w:spacing w:after="0"/>
              <w:rPr>
                <w:sz w:val="14"/>
                <w:szCs w:val="14"/>
                <w:color w:val="auto"/>
              </w:rPr>
            </w:pPr>
          </w:p>
        </w:tc>
      </w:tr>
      <w:tr>
        <w:trPr>
          <w:trHeight w:val="143"/>
        </w:trPr>
        <w:tc>
          <w:tcPr>
            <w:tcW w:w="2180" w:type="dxa"/>
            <w:vAlign w:val="bottom"/>
            <w:gridSpan w:val="2"/>
          </w:tcPr>
          <w:p>
            <w:pPr>
              <w:ind w:left="260"/>
              <w:spacing w:after="0" w:line="143" w:lineRule="exact"/>
              <w:rPr>
                <w:sz w:val="20"/>
                <w:szCs w:val="20"/>
                <w:color w:val="auto"/>
              </w:rPr>
            </w:pPr>
            <w:r>
              <w:rPr>
                <w:rFonts w:ascii="Arial" w:cs="Arial" w:eastAsia="Arial" w:hAnsi="Arial"/>
                <w:sz w:val="14"/>
                <w:szCs w:val="14"/>
                <w:color w:val="auto"/>
                <w:w w:val="97"/>
              </w:rPr>
              <w:t>Other comprehensive loss - net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180" w:type="dxa"/>
            <w:vAlign w:val="bottom"/>
            <w:gridSpan w:val="2"/>
          </w:tcPr>
          <w:p>
            <w:pPr>
              <w:ind w:left="260"/>
              <w:spacing w:after="0"/>
              <w:rPr>
                <w:sz w:val="20"/>
                <w:szCs w:val="20"/>
                <w:color w:val="auto"/>
              </w:rPr>
            </w:pPr>
            <w:r>
              <w:rPr>
                <w:rFonts w:ascii="Arial" w:cs="Arial" w:eastAsia="Arial" w:hAnsi="Arial"/>
                <w:sz w:val="14"/>
                <w:szCs w:val="14"/>
                <w:color w:val="auto"/>
              </w:rPr>
              <w:t>of tax</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(79,866)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(79,866)</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(79,867)</w:t>
            </w:r>
          </w:p>
        </w:tc>
      </w:tr>
      <w:tr>
        <w:trPr>
          <w:trHeight w:val="143"/>
        </w:trPr>
        <w:tc>
          <w:tcPr>
            <w:tcW w:w="21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Settlement of Series A preferred</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(7,921)</w:t>
            </w: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r>
      <w:tr>
        <w:trPr>
          <w:trHeight w:val="143"/>
        </w:trPr>
        <w:tc>
          <w:tcPr>
            <w:tcW w:w="2180" w:type="dxa"/>
            <w:vAlign w:val="bottom"/>
            <w:gridSpan w:val="2"/>
          </w:tcPr>
          <w:p>
            <w:pPr>
              <w:spacing w:after="0" w:line="143" w:lineRule="exact"/>
              <w:rPr>
                <w:sz w:val="20"/>
                <w:szCs w:val="20"/>
                <w:color w:val="auto"/>
              </w:rPr>
            </w:pPr>
            <w:r>
              <w:rPr>
                <w:rFonts w:ascii="Arial" w:cs="Arial" w:eastAsia="Arial" w:hAnsi="Arial"/>
                <w:sz w:val="14"/>
                <w:szCs w:val="14"/>
                <w:color w:val="auto"/>
              </w:rPr>
              <w:t>Amortization of share-based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incentive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180" w:type="dxa"/>
            <w:vAlign w:val="bottom"/>
            <w:gridSpan w:val="2"/>
          </w:tcPr>
          <w:p>
            <w:pPr>
              <w:ind w:left="120"/>
              <w:spacing w:after="0"/>
              <w:rPr>
                <w:sz w:val="20"/>
                <w:szCs w:val="20"/>
                <w:color w:val="auto"/>
              </w:rPr>
            </w:pPr>
            <w:r>
              <w:rPr>
                <w:rFonts w:ascii="Arial" w:cs="Arial" w:eastAsia="Arial" w:hAnsi="Arial"/>
                <w:sz w:val="14"/>
                <w:szCs w:val="14"/>
                <w:color w:val="auto"/>
              </w:rPr>
              <w:t>compensation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261,462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261,462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261,462</w:t>
            </w:r>
          </w:p>
        </w:tc>
        <w:tc>
          <w:tcPr>
            <w:tcW w:w="60" w:type="dxa"/>
            <w:vAlign w:val="bottom"/>
          </w:tcPr>
          <w:p>
            <w:pPr>
              <w:spacing w:after="0"/>
              <w:rPr>
                <w:sz w:val="14"/>
                <w:szCs w:val="14"/>
                <w:color w:val="auto"/>
              </w:rPr>
            </w:pPr>
          </w:p>
        </w:tc>
      </w:tr>
      <w:tr>
        <w:trPr>
          <w:trHeight w:val="162"/>
        </w:trPr>
        <w:tc>
          <w:tcPr>
            <w:tcW w:w="2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Dividend-equivalents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37,284</w:t>
            </w:r>
          </w:p>
        </w:tc>
        <w:tc>
          <w:tcPr>
            <w:tcW w:w="10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(41,102)</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(3,818)</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(3,818)</w:t>
            </w:r>
          </w:p>
        </w:tc>
      </w:tr>
      <w:tr>
        <w:trPr>
          <w:trHeight w:val="162"/>
        </w:trPr>
        <w:tc>
          <w:tcPr>
            <w:tcW w:w="2180" w:type="dxa"/>
            <w:vAlign w:val="bottom"/>
            <w:gridSpan w:val="2"/>
          </w:tcPr>
          <w:p>
            <w:pPr>
              <w:spacing w:after="0"/>
              <w:rPr>
                <w:sz w:val="20"/>
                <w:szCs w:val="20"/>
                <w:color w:val="auto"/>
              </w:rPr>
            </w:pPr>
            <w:r>
              <w:rPr>
                <w:rFonts w:ascii="Arial" w:cs="Arial" w:eastAsia="Arial" w:hAnsi="Arial"/>
                <w:sz w:val="14"/>
                <w:szCs w:val="14"/>
                <w:color w:val="auto"/>
              </w:rPr>
              <w:t>Class A common stock dividends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(336,138)</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(336,138)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(336,138)</w:t>
            </w:r>
          </w:p>
        </w:tc>
      </w:tr>
      <w:tr>
        <w:trPr>
          <w:trHeight w:val="162"/>
        </w:trPr>
        <w:tc>
          <w:tcPr>
            <w:tcW w:w="218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7"/>
              </w:rPr>
              <w:t>Purchase of Class A common stock</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8,551,271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w w:val="96"/>
              </w:rPr>
              <w:t>(300,217)</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(300,217)</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(300,217)</w:t>
            </w:r>
          </w:p>
        </w:tc>
      </w:tr>
      <w:tr>
        <w:trPr>
          <w:trHeight w:val="143"/>
        </w:trPr>
        <w:tc>
          <w:tcPr>
            <w:tcW w:w="2180" w:type="dxa"/>
            <w:vAlign w:val="bottom"/>
            <w:gridSpan w:val="2"/>
          </w:tcPr>
          <w:p>
            <w:pPr>
              <w:spacing w:after="0" w:line="143" w:lineRule="exact"/>
              <w:rPr>
                <w:sz w:val="20"/>
                <w:szCs w:val="20"/>
                <w:color w:val="auto"/>
              </w:rPr>
            </w:pPr>
            <w:r>
              <w:rPr>
                <w:rFonts w:ascii="Arial" w:cs="Arial" w:eastAsia="Arial" w:hAnsi="Arial"/>
                <w:sz w:val="14"/>
                <w:szCs w:val="14"/>
                <w:color w:val="auto"/>
              </w:rPr>
              <w:t>Delivery of Class A common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connection with share-based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incentive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compensation and related tax</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benefit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180" w:type="dxa"/>
            <w:vAlign w:val="bottom"/>
            <w:gridSpan w:val="2"/>
          </w:tcPr>
          <w:p>
            <w:pPr>
              <w:ind w:left="120"/>
              <w:spacing w:after="0"/>
              <w:rPr>
                <w:sz w:val="20"/>
                <w:szCs w:val="20"/>
                <w:color w:val="auto"/>
              </w:rPr>
            </w:pPr>
            <w:r>
              <w:rPr>
                <w:rFonts w:ascii="Arial" w:cs="Arial" w:eastAsia="Arial" w:hAnsi="Arial"/>
                <w:sz w:val="14"/>
                <w:szCs w:val="14"/>
                <w:color w:val="auto"/>
              </w:rPr>
              <w:t>of $448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(224,201)</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(4,235,455)</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168,571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(55,630)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(55,630)</w:t>
            </w:r>
          </w:p>
        </w:tc>
      </w:tr>
      <w:tr>
        <w:trPr>
          <w:trHeight w:val="143"/>
        </w:trPr>
        <w:tc>
          <w:tcPr>
            <w:tcW w:w="21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1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equity</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1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43"/>
        </w:trPr>
        <w:tc>
          <w:tcPr>
            <w:tcW w:w="2180" w:type="dxa"/>
            <w:vAlign w:val="bottom"/>
            <w:gridSpan w:val="2"/>
          </w:tcPr>
          <w:p>
            <w:pPr>
              <w:ind w:left="260"/>
              <w:spacing w:after="0" w:line="143" w:lineRule="exact"/>
              <w:rPr>
                <w:sz w:val="20"/>
                <w:szCs w:val="20"/>
                <w:color w:val="auto"/>
              </w:rPr>
            </w:pPr>
            <w:r>
              <w:rPr>
                <w:rFonts w:ascii="Arial" w:cs="Arial" w:eastAsia="Arial" w:hAnsi="Arial"/>
                <w:sz w:val="14"/>
                <w:szCs w:val="14"/>
                <w:color w:val="auto"/>
                <w:w w:val="96"/>
              </w:rPr>
              <w:t>Class A common stock issuable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1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(including related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180" w:type="dxa"/>
            <w:vAlign w:val="bottom"/>
            <w:gridSpan w:val="2"/>
          </w:tcPr>
          <w:p>
            <w:pPr>
              <w:ind w:left="260"/>
              <w:spacing w:after="0"/>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37,861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37,861</w:t>
            </w:r>
          </w:p>
        </w:tc>
        <w:tc>
          <w:tcPr>
            <w:tcW w:w="60" w:type="dxa"/>
            <w:vAlign w:val="bottom"/>
          </w:tcPr>
          <w:p>
            <w:pPr>
              <w:spacing w:after="0"/>
              <w:rPr>
                <w:sz w:val="14"/>
                <w:szCs w:val="14"/>
                <w:color w:val="auto"/>
              </w:rPr>
            </w:pPr>
          </w:p>
        </w:tc>
      </w:tr>
      <w:tr>
        <w:trPr>
          <w:trHeight w:val="143"/>
        </w:trPr>
        <w:tc>
          <w:tcPr>
            <w:tcW w:w="218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Delivery of Class A common</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180" w:type="dxa"/>
            <w:vAlign w:val="bottom"/>
            <w:gridSpan w:val="2"/>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18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and related tax benefit of</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$1,074</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(33,768)</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(940,411)</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35,389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w:t>
            </w:r>
          </w:p>
        </w:tc>
        <w:tc>
          <w:tcPr>
            <w:tcW w:w="60" w:type="dxa"/>
            <w:vAlign w:val="bottom"/>
            <w:shd w:val="clear" w:color="auto" w:fill="CFF0FC"/>
          </w:tcPr>
          <w:p>
            <w:pPr>
              <w:spacing w:after="0"/>
              <w:rPr>
                <w:sz w:val="14"/>
                <w:szCs w:val="14"/>
                <w:color w:val="auto"/>
              </w:rPr>
            </w:pPr>
          </w:p>
        </w:tc>
      </w:tr>
      <w:tr>
        <w:trPr>
          <w:trHeight w:val="143"/>
        </w:trPr>
        <w:tc>
          <w:tcPr>
            <w:tcW w:w="218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180" w:type="dxa"/>
            <w:vAlign w:val="bottom"/>
            <w:gridSpan w:val="2"/>
          </w:tcPr>
          <w:p>
            <w:pPr>
              <w:spacing w:after="0"/>
              <w:rPr>
                <w:sz w:val="20"/>
                <w:szCs w:val="20"/>
                <w:color w:val="auto"/>
              </w:rPr>
            </w:pPr>
            <w:r>
              <w:rPr>
                <w:rFonts w:ascii="Arial" w:cs="Arial" w:eastAsia="Arial" w:hAnsi="Arial"/>
                <w:sz w:val="14"/>
                <w:szCs w:val="14"/>
                <w:color w:val="auto"/>
              </w:rPr>
              <w:t>interests,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(2,018)</w:t>
            </w:r>
          </w:p>
        </w:tc>
      </w:tr>
      <w:tr>
        <w:trPr>
          <w:trHeight w:val="162"/>
        </w:trPr>
        <w:tc>
          <w:tcPr>
            <w:tcW w:w="21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60" w:type="dxa"/>
            <w:vAlign w:val="bottom"/>
            <w:shd w:val="clear" w:color="auto" w:fill="CFF0FC"/>
          </w:tcPr>
          <w:p>
            <w:pPr>
              <w:spacing w:after="0"/>
              <w:rPr>
                <w:sz w:val="14"/>
                <w:szCs w:val="14"/>
                <w:color w:val="auto"/>
              </w:rPr>
            </w:pPr>
          </w:p>
        </w:tc>
      </w:tr>
      <w:tr>
        <w:trPr>
          <w:trHeight w:val="156"/>
        </w:trPr>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 December 31, 2016</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2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$ 1,298</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688,231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$ 1,134,186</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(314,222</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7,628,786</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(273,506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1,235,987</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57,826</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1,293,813</w:t>
            </w:r>
          </w:p>
        </w:tc>
        <w:tc>
          <w:tcPr>
            <w:tcW w:w="60" w:type="dxa"/>
            <w:vAlign w:val="bottom"/>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9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6" w:lineRule="exact"/>
        <w:rPr>
          <w:sz w:val="20"/>
          <w:szCs w:val="20"/>
          <w:color w:val="auto"/>
        </w:rPr>
      </w:pPr>
    </w:p>
    <w:p>
      <w:pPr>
        <w:ind w:left="4040" w:right="1720" w:hanging="4032"/>
        <w:spacing w:after="0" w:line="606" w:lineRule="auto"/>
        <w:tabs>
          <w:tab w:leader="none" w:pos="4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129,766,091 shares of the Company’s Class A common stock issued at December 31, 2014, 2015 and 2016, respectively. 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54" w:lineRule="exact"/>
        <w:rPr>
          <w:sz w:val="20"/>
          <w:szCs w:val="20"/>
          <w:color w:val="auto"/>
        </w:rPr>
      </w:pPr>
    </w:p>
    <w:p>
      <w:pPr>
        <w:ind w:right="6940" w:firstLine="8"/>
        <w:spacing w:after="0" w:line="375" w:lineRule="auto"/>
        <w:tabs>
          <w:tab w:leader="none" w:pos="419"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firstLine="431"/>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firstLine="431"/>
        <w:spacing w:after="0" w:line="270" w:lineRule="auto"/>
        <w:rPr>
          <w:sz w:val="20"/>
          <w:szCs w:val="20"/>
          <w:color w:val="auto"/>
        </w:rPr>
      </w:pPr>
      <w:r>
        <w:rPr>
          <w:rFonts w:ascii="Arial" w:cs="Arial" w:eastAsia="Arial" w:hAnsi="Arial"/>
          <w:sz w:val="17"/>
          <w:szCs w:val="17"/>
          <w:color w:val="auto"/>
        </w:rPr>
        <w:t>Lazard Ltd indirectly held 100% of all outstanding Lazard Group common membership interests as of December 31, 2016 and 2015. Lazard Ltd, through its control of the managing members of Lazard Group, controls Lazard Group, which is governed by an Amended and Restated Operating Agreement dated as of October 26, 2015, as amended (the “Operating Agreement”).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78" w:lineRule="exact"/>
        <w:rPr>
          <w:sz w:val="20"/>
          <w:szCs w:val="20"/>
          <w:color w:val="auto"/>
        </w:rPr>
      </w:pPr>
    </w:p>
    <w:p>
      <w:pPr>
        <w:ind w:right="480" w:firstLine="431"/>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840" w:right="140" w:hanging="413"/>
        <w:spacing w:after="0" w:line="26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jc w:val="both"/>
        <w:ind w:left="840" w:right="200" w:hanging="413"/>
        <w:spacing w:after="0" w:line="26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60" w:firstLine="431"/>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 Company’s policy is to consolidate entities in which it has a controlling financial interest. The Company consolidates:</w:t>
      </w:r>
    </w:p>
    <w:p>
      <w:pPr>
        <w:spacing w:after="0" w:line="103" w:lineRule="exact"/>
        <w:rPr>
          <w:sz w:val="20"/>
          <w:szCs w:val="20"/>
          <w:color w:val="auto"/>
        </w:rPr>
      </w:pPr>
    </w:p>
    <w:p>
      <w:pPr>
        <w:ind w:left="840" w:hanging="413"/>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840" w:right="320" w:hanging="413"/>
        <w:spacing w:after="0" w:line="277" w:lineRule="auto"/>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obligation to absorb losses of, or receive benefits from, the VIE that could be potentially significant to the VIE.</w:t>
      </w:r>
    </w:p>
    <w:p>
      <w:pPr>
        <w:spacing w:after="0" w:line="22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as a result of the adoption of the new guidance on classification of debt issuance costs and the impact of such guidance on the consolidated statements of financial condition.</w:t>
      </w:r>
    </w:p>
    <w:p>
      <w:pPr>
        <w:spacing w:after="0" w:line="373"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amounted to $(1,153), $1,589 and $131, respectively, for the years ended December 31, 2016, 2015 and 2014,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right="40" w:hanging="598"/>
        <w:spacing w:after="0" w:line="277"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measurement of our tax receivable agreement obligation;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4 for additional information regarding receivables.</w:t>
      </w:r>
    </w:p>
    <w:p>
      <w:pPr>
        <w:spacing w:after="0" w:line="225"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8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5 and 6 for additional information regarding the Company’s investments.</w:t>
      </w:r>
    </w:p>
    <w:p>
      <w:pPr>
        <w:spacing w:after="0" w:line="225"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or, in the case of property under capital leases, the present value of the future minimum lease payments, 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accumulated depreciation and amortization. Buildings represent owned property and amounts recorded pursuant to capital leases (see Notes 8 and 12),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$33,264, $32,785 and $34,464 for the years ended December 31, 2016, 2015 and 2014,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9"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b w:val="1"/>
          <w:bCs w:val="1"/>
          <w:i w:val="1"/>
          <w:iCs w:val="1"/>
          <w:color w:val="auto"/>
        </w:rPr>
        <w:t>Goodwill and Other Intangible Assets—</w:t>
      </w:r>
      <w:r>
        <w:rPr>
          <w:rFonts w:ascii="Arial" w:cs="Arial" w:eastAsia="Arial" w:hAnsi="Arial"/>
          <w:sz w:val="17"/>
          <w:szCs w:val="17"/>
          <w:color w:val="auto"/>
        </w:rPr>
        <w:t>As goodwill has an indefinite life, it is required to be tested for impairment annually or more frequently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completed its annual goodwill review as of November 1, 2016, and determined that no impairment existed.</w:t>
      </w:r>
    </w:p>
    <w:p>
      <w:pPr>
        <w:spacing w:after="0" w:line="22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9 with respect to goodwill and other intangible assets.</w:t>
      </w:r>
    </w:p>
    <w:p>
      <w:pPr>
        <w:spacing w:after="0" w:line="225"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consolidated statements of operations.</w:t>
      </w:r>
    </w:p>
    <w:p>
      <w:pPr>
        <w:spacing w:after="0" w:line="188" w:lineRule="exact"/>
        <w:rPr>
          <w:sz w:val="20"/>
          <w:szCs w:val="20"/>
          <w:color w:val="auto"/>
        </w:rPr>
      </w:pPr>
    </w:p>
    <w:p>
      <w:pPr>
        <w:ind w:right="220" w:firstLine="598"/>
        <w:spacing w:after="0" w:line="272" w:lineRule="auto"/>
        <w:rPr>
          <w:sz w:val="20"/>
          <w:szCs w:val="20"/>
          <w:color w:val="auto"/>
        </w:rPr>
      </w:pPr>
      <w:r>
        <w:rPr>
          <w:rFonts w:ascii="Arial" w:cs="Arial" w:eastAsia="Arial" w:hAnsi="Arial"/>
          <w:sz w:val="17"/>
          <w:szCs w:val="17"/>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Deposits and Other Customer Payables—</w:t>
      </w:r>
      <w:r>
        <w:rPr>
          <w:rFonts w:ascii="Arial" w:cs="Arial" w:eastAsia="Arial" w:hAnsi="Arial"/>
          <w:sz w:val="17"/>
          <w:szCs w:val="17"/>
          <w:color w:val="auto"/>
        </w:rPr>
        <w:t>Principally relates to LFB customer-related demand deposits, both interest-bearing and non-interest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bearing.</w:t>
      </w:r>
    </w:p>
    <w:p>
      <w:pPr>
        <w:spacing w:after="0" w:line="21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ind w:right="300" w:firstLine="598"/>
        <w:spacing w:after="0" w:line="312" w:lineRule="auto"/>
        <w:rPr>
          <w:sz w:val="20"/>
          <w:szCs w:val="20"/>
          <w:color w:val="auto"/>
        </w:rPr>
      </w:pPr>
      <w:r>
        <w:rPr>
          <w:rFonts w:ascii="Arial" w:cs="Arial" w:eastAsia="Arial" w:hAnsi="Arial"/>
          <w:sz w:val="16"/>
          <w:szCs w:val="16"/>
          <w:b w:val="1"/>
          <w:bCs w:val="1"/>
          <w:i w:val="1"/>
          <w:iCs w:val="1"/>
          <w:color w:val="auto"/>
        </w:rPr>
        <w:t>Contingent Consideration Liabilities —</w:t>
      </w:r>
      <w:r>
        <w:rPr>
          <w:rFonts w:ascii="Arial" w:cs="Arial" w:eastAsia="Arial" w:hAnsi="Arial"/>
          <w:sz w:val="16"/>
          <w:szCs w:val="16"/>
          <w:color w:val="auto"/>
        </w:rPr>
        <w:t>The contingent consideration liabilities of businesses acquired in a business combination are initially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at the estimated fair value and any change in the fair value is recognized in “amortization and other acquisition-related costs” in the consolidated statements of operations. The contingent consideration liability is included in “other liabilities” on the consolidated statements of financial condition.</w:t>
      </w:r>
    </w:p>
    <w:p>
      <w:pPr>
        <w:spacing w:after="0" w:line="147" w:lineRule="exact"/>
        <w:rPr>
          <w:sz w:val="20"/>
          <w:szCs w:val="20"/>
          <w:color w:val="auto"/>
        </w:rPr>
      </w:pPr>
    </w:p>
    <w:p>
      <w:pPr>
        <w:ind w:right="240" w:firstLine="598"/>
        <w:spacing w:after="0" w:line="302"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Investment Banking and Other Advisory Fees—</w:t>
      </w:r>
      <w:r>
        <w:rPr>
          <w:rFonts w:ascii="Arial" w:cs="Arial" w:eastAsia="Arial" w:hAnsi="Arial"/>
          <w:sz w:val="16"/>
          <w:szCs w:val="16"/>
          <w:color w:val="auto"/>
        </w:rPr>
        <w:t>Fees for M&amp;A and Other Advisory services and Restructuring advisory services are recorded when</w:t>
      </w:r>
    </w:p>
    <w:p>
      <w:pPr>
        <w:spacing w:after="0" w:line="46"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there is persuasive evidence of an arrangement with a client, (ii) fees are fixed or determinable, (iii) the agreed-upon services have been completed and</w:t>
      </w:r>
    </w:p>
    <w:p>
      <w:pPr>
        <w:spacing w:after="0" w:line="32"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delivered to the client or the transaction or events contemplated in the engagement letter are determined to be substantially completed, which is generally the date the related transactions are consummated and (iv) collection is reasonably assured.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2016, 2015 and 2014 are $16,998, $19,358 and $20,407, respectively.</w:t>
      </w:r>
    </w:p>
    <w:p>
      <w:pPr>
        <w:spacing w:after="0" w:line="19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b w:val="1"/>
          <w:bCs w:val="1"/>
          <w:i w:val="1"/>
          <w:iCs w:val="1"/>
          <w:color w:val="auto"/>
        </w:rPr>
        <w:t>Asset Management Fees—</w:t>
      </w:r>
      <w:r>
        <w:rPr>
          <w:rFonts w:ascii="Arial" w:cs="Arial" w:eastAsia="Arial" w:hAnsi="Arial"/>
          <w:sz w:val="18"/>
          <w:szCs w:val="18"/>
          <w:color w:val="auto"/>
        </w:rPr>
        <w:t>Asset Management fees are derived from fees for investment management and advisory services provided to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recorded on an accrual basis primarily based on a percentage of client assets managed. Fees vary with the type of assets managed, with higher fees earned on equity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alternative investment (such as hedge funds) and private equity funds, and lower fees earned on fixed income and money market products.</w:t>
      </w:r>
    </w:p>
    <w:p>
      <w:pPr>
        <w:spacing w:after="0" w:line="225"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b w:val="1"/>
          <w:bCs w:val="1"/>
          <w:i w:val="1"/>
          <w:iCs w:val="1"/>
          <w:color w:val="auto"/>
        </w:rPr>
        <w:t>Soft Dollar Arrangements—</w:t>
      </w:r>
      <w:r>
        <w:rPr>
          <w:rFonts w:ascii="Arial" w:cs="Arial" w:eastAsia="Arial" w:hAnsi="Arial"/>
          <w:sz w:val="18"/>
          <w:szCs w:val="18"/>
          <w:color w:val="auto"/>
        </w:rPr>
        <w:t>The Company’s Asset Management business obtains research and other services through “soft dollar”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For the year ended December 31, 2016, the Company obtained research and other services through soft dollar arrangements valued at approximately $23,000. If the use of soft dollars is limited or prohibited in the future by regulation, we may have to bear the costs of such research and other services.</w:t>
      </w:r>
    </w:p>
    <w:p>
      <w:pPr>
        <w:spacing w:after="0" w:line="19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color w:val="auto"/>
        </w:rPr>
        <w:t>Charges associated with management-approved cost saving plans or staff reductions can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54"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Lazard Ltd, through its subsidiaries, is subject to U.S. federal income taxes on all of its U.S. operating income, as well as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non-U.S. income attributable to its U.S. subsidiaries. In addition, Lazard Ltd, through its subsidiaries, is subject to state and local taxes on its income apportioned to various state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24"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(benefit) for income taxes”. See Note 16 for additional information relating to income taxes.</w:t>
      </w:r>
    </w:p>
    <w:p>
      <w:pPr>
        <w:spacing w:after="0" w:line="279"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i w:val="1"/>
          <w:iCs w:val="1"/>
          <w:color w:val="auto"/>
        </w:rPr>
        <w:t>Fair Value Measurement</w:t>
      </w:r>
      <w:r>
        <w:rPr>
          <w:rFonts w:ascii="Arial" w:cs="Arial" w:eastAsia="Arial" w:hAnsi="Arial"/>
          <w:sz w:val="17"/>
          <w:szCs w:val="17"/>
          <w:color w:val="auto"/>
        </w:rPr>
        <w:t>—In May 2015, the FASB issued updated guidance for the classification and disclosure of certain investments using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 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recognized debt liability in the balance sheet as a direct deduction from the carrying amount of that debt liability, consistent with debt discounts. The new guidance is effective for financial statements issued for fiscal years beginning after December 15, 2015 and is to be applied on a retrospective basis. The adoption of this guidance by the Company in the first quarter of 2016 resulted in a reclassification as of December 31, 2015 of $8,992 from “other assets” to “senior debt” on our consolidated financial statements and related disclosures.</w:t>
      </w:r>
    </w:p>
    <w:p>
      <w:pPr>
        <w:spacing w:after="0" w:line="188"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—In February 2015, the FASB issued updated guidance for the consolidation of certain legal entities.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The Company adopted this guidance using the modified retrospective method with an effective date of January 1, 2016. The adoption of this guidance did not have a material impact on our consolidated financial statements or related disclosures. In October 2016, the FASB issued updated consolidation guidance specific to interests held through related parties that are under common control. The new guidance requires an entity to consider those interests on a proportionate basis. The Company adopted this guidance retrospectively with an effective date of January 1, 2016, as it is required to coincide with the adoption of the February 2015 guidance. The adoption of this guidance did not have a material impact on our consolidated financial statements or related disclosures.</w:t>
      </w:r>
    </w:p>
    <w:p>
      <w:pPr>
        <w:spacing w:after="0" w:line="182"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i w:val="1"/>
          <w:iCs w:val="1"/>
          <w:color w:val="auto"/>
        </w:rPr>
        <w:t>Intangibles—Goodwill and Other—Internal-Use Software: Customers Accounting for Fees Paid in a Cloud Computing Arrangement</w:t>
      </w:r>
      <w:r>
        <w:rPr>
          <w:rFonts w:ascii="Arial" w:cs="Arial" w:eastAsia="Arial" w:hAnsi="Arial"/>
          <w:sz w:val="17"/>
          <w:szCs w:val="17"/>
          <w:color w:val="auto"/>
        </w:rPr>
        <w:t>—In April 2015,</w:t>
      </w:r>
      <w:r>
        <w:rPr>
          <w:rFonts w:ascii="Arial" w:cs="Arial" w:eastAsia="Arial" w:hAnsi="Arial"/>
          <w:sz w:val="17"/>
          <w:szCs w:val="17"/>
          <w:i w:val="1"/>
          <w:iCs w:val="1"/>
          <w:color w:val="auto"/>
        </w:rPr>
        <w:t xml:space="preserve"> </w:t>
      </w:r>
      <w:r>
        <w:rPr>
          <w:rFonts w:ascii="Arial" w:cs="Arial" w:eastAsia="Arial" w:hAnsi="Arial"/>
          <w:sz w:val="17"/>
          <w:szCs w:val="17"/>
          <w:color w:val="auto"/>
        </w:rPr>
        <w:t>the FASB issued updated guidance providing clarification on whether a cloud computing arrangement that contains a software license should be accounted for as internal-use software. The new guidance is effective for annual and interim periods beginning after December 15, 2015. The adoption of this guidance by the Company in the first quarter of 2016 did not have a material impact on our consolidated financial statements.</w:t>
      </w:r>
    </w:p>
    <w:p>
      <w:pPr>
        <w:spacing w:after="0" w:line="17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—In March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The Company expects that the prospective impact of this new guidance will result in an increase or a decrease to the provision for income taxes for the delivery of stock under share-based payment arrangements, which will likely cause volatility in the effective tax rate and could be material to the consolidated statements of operations and the classification of cash flows in future periods. Additionally, upon adoption of the new guidance, the Company expects that deferred tax assets of $93,634 will be recorded for previously unrecognized excess tax benefits outstanding in the period ended December 31, 2016, with an offsetting adjustment to retained earnings.</w:t>
      </w:r>
    </w:p>
    <w:p>
      <w:pPr>
        <w:spacing w:after="0" w:line="18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Financial Accounting Standards Board (the “FASB”) issued comprehensive new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contracts. The Company also continues to evaluate both the timing of revenue recognition and the presentation of certain contract costs.</w:t>
      </w:r>
    </w:p>
    <w:p>
      <w:pPr>
        <w:spacing w:after="0" w:line="22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7"/>
          <w:szCs w:val="17"/>
          <w:i w:val="1"/>
          <w:iCs w:val="1"/>
          <w:color w:val="auto"/>
        </w:rPr>
        <w:t>Intangibles</w:t>
      </w:r>
      <w:r>
        <w:rPr>
          <w:rFonts w:ascii="Arial" w:cs="Arial" w:eastAsia="Arial" w:hAnsi="Arial"/>
          <w:sz w:val="20"/>
          <w:szCs w:val="20"/>
          <w:color w:val="3C3C3D"/>
        </w:rPr>
        <w:t>—</w:t>
      </w:r>
      <w:r>
        <w:rPr>
          <w:rFonts w:ascii="Arial" w:cs="Arial" w:eastAsia="Arial" w:hAnsi="Arial"/>
          <w:sz w:val="17"/>
          <w:szCs w:val="17"/>
          <w:i w:val="1"/>
          <w:iCs w:val="1"/>
          <w:color w:val="auto"/>
        </w:rPr>
        <w:t>Goodwill and Other: Simplifying the Test for Goodwill Impairment</w:t>
      </w:r>
      <w:r>
        <w:rPr>
          <w:rFonts w:ascii="Arial" w:cs="Arial" w:eastAsia="Arial" w:hAnsi="Arial"/>
          <w:sz w:val="20"/>
          <w:szCs w:val="20"/>
          <w:color w:val="3C3C3D"/>
        </w:rPr>
        <w: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49"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2016, 2015 and 2014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28,777</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(6,551)</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(13,783)</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(17,483)</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Bad debt expense, net of recoveries is included in “investment banking and other advisory fees” on the consolidated statements of operations.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2016 and 2015, the Company had receivables past due or deemed uncollectible of $22,212 and $19,923, respectively.</w:t>
      </w:r>
    </w:p>
    <w:p>
      <w:pPr>
        <w:spacing w:after="0" w:line="23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Of the Company’s fee receivables at December 31, 2016 and 2015, $76,133 and $81,774,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$562,149 and $415,439 at December 31, 2016 and 2015, respectively, approximates fair value.</w:t>
      </w:r>
    </w:p>
    <w:p>
      <w:pPr>
        <w:spacing w:after="0" w:line="279"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2016 and 2015:</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vMerge w:val="continue"/>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Equities</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Funds: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32,441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188,268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386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417,727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method</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459,422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method</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458,744</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Securities sold, not yet purchased, at fair value</w:t>
            </w:r>
          </w:p>
        </w:tc>
        <w:tc>
          <w:tcPr>
            <w:tcW w:w="2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7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$13,080, $37,869 and $128,219, respectively, at December 31, 2016 and $10,996, $31,598 and $156,081, respectively, at December 31, 2015,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consolidated statements of operations for the year ended December 31, 2015.</w:t>
      </w:r>
    </w:p>
    <w:p>
      <w:pPr>
        <w:spacing w:after="0" w:line="166"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During the years ended December 31, 2016, 2015 and 2014, the Company reported in “revenue-other” on its consolidated statements of operations net unrealized investment gains and losses pertaining to “trading” securities still held as of the reporting date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11,816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80" w:firstLine="59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consolidated statements of financial condition. See Note 12.</w:t>
      </w:r>
    </w:p>
    <w:p>
      <w:pPr>
        <w:spacing w:after="0" w:line="165"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The fair value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The following tables present, as of December 31, 2016 and 2015,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354,101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150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49" w:lineRule="exact"/>
        <w:rPr>
          <w:sz w:val="20"/>
          <w:szCs w:val="20"/>
          <w:color w:val="auto"/>
        </w:rPr>
      </w:pPr>
    </w:p>
    <w:p>
      <w:pPr>
        <w:ind w:left="600" w:right="50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14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2016,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 (a)</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32,725</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(30,067)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December 31, 2015 (b)</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Realized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Gains /Losses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Included In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Sales/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Earnings (a)</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5"/>
              </w:rPr>
              <w:t>Year Ended December 31, 2014 (b)</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Purchases/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1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Investments:</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3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ind w:left="260"/>
              <w:spacing w:after="0"/>
              <w:rPr>
                <w:sz w:val="20"/>
                <w:szCs w:val="20"/>
                <w:color w:val="auto"/>
              </w:rPr>
            </w:pPr>
            <w:r>
              <w:rPr>
                <w:rFonts w:ascii="Arial" w:cs="Arial" w:eastAsia="Arial" w:hAnsi="Arial"/>
                <w:sz w:val="18"/>
                <w:szCs w:val="18"/>
                <w:color w:val="auto"/>
                <w:w w:val="91"/>
              </w:rPr>
              <w:t>Total Level 3 Assets</w:t>
            </w:r>
          </w:p>
        </w:tc>
        <w:tc>
          <w:tcPr>
            <w:tcW w:w="29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60" w:type="dxa"/>
            <w:vAlign w:val="bottom"/>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20"/>
              <w:spacing w:after="0"/>
              <w:rPr>
                <w:sz w:val="20"/>
                <w:szCs w:val="20"/>
                <w:color w:val="auto"/>
              </w:rPr>
            </w:pPr>
            <w:r>
              <w:rPr>
                <w:rFonts w:ascii="Arial" w:cs="Arial" w:eastAsia="Arial" w:hAnsi="Arial"/>
                <w:sz w:val="17"/>
                <w:szCs w:val="17"/>
                <w:color w:val="auto"/>
                <w:w w:val="72"/>
              </w:rPr>
              <w:t>(43)</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00" w:hanging="592"/>
        <w:spacing w:after="0" w:line="259"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years ended December 31, 2016, 2015 and 2014 include net unrealized gains of $243, $14 and $19, respectively. Earnings recorded in “amortization and other acquisition-related costs” for the contingent consideration liability for the year ended December 31, 2016 include unrealized losses of $2,658 and realized losses of $30,067 due to the change in the fair value of contingent consideration associated with the Edgewater business acquisition.</w:t>
      </w:r>
    </w:p>
    <w:p>
      <w:pPr>
        <w:spacing w:after="0" w:line="11" w:lineRule="exact"/>
        <w:rPr>
          <w:rFonts w:ascii="Arial" w:cs="Arial" w:eastAsia="Arial" w:hAnsi="Arial"/>
          <w:sz w:val="18"/>
          <w:szCs w:val="18"/>
          <w:color w:val="auto"/>
        </w:rPr>
      </w:pPr>
    </w:p>
    <w:p>
      <w:pPr>
        <w:ind w:left="600" w:right="60" w:hanging="592"/>
        <w:spacing w:after="0" w:line="277"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tables for the years ended December 31, 2015 and 2014 reflect the retrospective application of new disclosure guidance adopted by the Company for investments using NAV or its equivalent as a practical expedient when measuring fair value. See Note 3.</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2016 and 2015.</w:t>
      </w:r>
    </w:p>
    <w:p>
      <w:pPr>
        <w:spacing w:after="0" w:line="170"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2016 and 2015 that are not measured at fair value in the Company’s consolidated statement of financial condition, and excludes certain financial instruments such as equity method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gridSpan w:val="6"/>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Carrying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1,158,785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1,158,785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1,158,785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472,283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472,283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472,283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gridSpan w:val="6"/>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1,132,083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1,132,083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1,132,083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cash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506,665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506,665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506,665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993,999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993,999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225"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2016 and 2015,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2016</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gridSpan w:val="7"/>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Estimated Liquidation Period of</w:t>
            </w:r>
          </w:p>
        </w:tc>
        <w:tc>
          <w:tcPr>
            <w:tcW w:w="2180" w:type="dxa"/>
            <w:vAlign w:val="bottom"/>
            <w:gridSpan w:val="3"/>
          </w:tcPr>
          <w:p>
            <w:pPr>
              <w:jc w:val="right"/>
              <w:ind w:right="685"/>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jc w:val="center"/>
              <w:ind w:left="728"/>
              <w:spacing w:after="0"/>
              <w:rPr>
                <w:sz w:val="20"/>
                <w:szCs w:val="20"/>
                <w:color w:val="auto"/>
              </w:rPr>
            </w:pPr>
            <w:r>
              <w:rPr>
                <w:rFonts w:ascii="Arial" w:cs="Arial" w:eastAsia="Arial" w:hAnsi="Arial"/>
                <w:sz w:val="14"/>
                <w:szCs w:val="14"/>
                <w:b w:val="1"/>
                <w:bCs w:val="1"/>
                <w:color w:val="auto"/>
                <w:w w:val="86"/>
              </w:rPr>
              <w:t>Investments Not Redeemable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2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92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Years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5"/>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6,190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90,824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9,183</w:t>
            </w:r>
          </w:p>
        </w:tc>
        <w:tc>
          <w:tcPr>
            <w:tcW w:w="400" w:type="dxa"/>
            <w:vAlign w:val="bottom"/>
          </w:tcPr>
          <w:p>
            <w:pPr>
              <w:ind w:left="100"/>
              <w:spacing w:after="0"/>
              <w:rPr>
                <w:sz w:val="20"/>
                <w:szCs w:val="20"/>
                <w:color w:val="auto"/>
              </w:rPr>
            </w:pPr>
            <w:r>
              <w:rPr>
                <w:rFonts w:ascii="Arial" w:cs="Arial" w:eastAsia="Arial" w:hAnsi="Arial"/>
                <w:sz w:val="15"/>
                <w:szCs w:val="15"/>
                <w:color w:val="auto"/>
              </w:rPr>
              <w:t>(f)</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100%</w:t>
            </w: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12%</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Mezzanine debt</w:t>
            </w:r>
          </w:p>
        </w:tc>
        <w:tc>
          <w:tcPr>
            <w:tcW w:w="1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31,597</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100%</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129,591</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9,183</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22" w:lineRule="exact"/>
        <w:rPr>
          <w:rFonts w:ascii="Arial" w:cs="Arial" w:eastAsia="Arial" w:hAnsi="Arial"/>
          <w:sz w:val="18"/>
          <w:szCs w:val="18"/>
          <w:color w:val="auto"/>
        </w:rPr>
      </w:pPr>
    </w:p>
    <w:p>
      <w:pPr>
        <w:ind w:left="600" w:right="60" w:hanging="592"/>
        <w:spacing w:after="0" w:line="276"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Estimated Liquidation Period of</w:t>
            </w:r>
          </w:p>
        </w:tc>
        <w:tc>
          <w:tcPr>
            <w:tcW w:w="2200" w:type="dxa"/>
            <w:vAlign w:val="bottom"/>
            <w:gridSpan w:val="3"/>
          </w:tcPr>
          <w:p>
            <w:pPr>
              <w:jc w:val="right"/>
              <w:ind w:right="685"/>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0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00" w:type="dxa"/>
            <w:vAlign w:val="bottom"/>
          </w:tcPr>
          <w:p>
            <w:pPr>
              <w:jc w:val="right"/>
              <w:ind w:right="24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6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60" w:type="dxa"/>
            <w:vAlign w:val="bottom"/>
          </w:tcPr>
          <w:p>
            <w:pPr>
              <w:jc w:val="right"/>
              <w:ind w:right="65"/>
              <w:spacing w:after="0"/>
              <w:rPr>
                <w:sz w:val="20"/>
                <w:szCs w:val="20"/>
                <w:color w:val="auto"/>
              </w:rPr>
            </w:pPr>
            <w:r>
              <w:rPr>
                <w:rFonts w:ascii="Arial" w:cs="Arial" w:eastAsia="Arial" w:hAnsi="Arial"/>
                <w:sz w:val="14"/>
                <w:szCs w:val="14"/>
                <w:b w:val="1"/>
                <w:bCs w:val="1"/>
                <w:color w:val="auto"/>
                <w:w w:val="99"/>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20,410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1,590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6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Equity growth</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67,895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10,242</w:t>
            </w:r>
          </w:p>
        </w:tc>
        <w:tc>
          <w:tcPr>
            <w:tcW w:w="400" w:type="dxa"/>
            <w:vAlign w:val="bottom"/>
          </w:tcPr>
          <w:p>
            <w:pPr>
              <w:ind w:left="120"/>
              <w:spacing w:after="0"/>
              <w:rPr>
                <w:sz w:val="20"/>
                <w:szCs w:val="20"/>
                <w:color w:val="auto"/>
              </w:rPr>
            </w:pPr>
            <w:r>
              <w:rPr>
                <w:rFonts w:ascii="Arial" w:cs="Arial" w:eastAsia="Arial" w:hAnsi="Arial"/>
                <w:sz w:val="15"/>
                <w:szCs w:val="15"/>
                <w:color w:val="auto"/>
              </w:rPr>
              <w:t>(f)</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18%</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Mezzanine debt</w:t>
            </w:r>
          </w:p>
        </w:tc>
        <w:tc>
          <w:tcPr>
            <w:tcW w:w="1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32,324</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122,732</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10,242</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22" w:lineRule="exact"/>
        <w:rPr>
          <w:rFonts w:ascii="Arial" w:cs="Arial" w:eastAsia="Arial" w:hAnsi="Arial"/>
          <w:sz w:val="18"/>
          <w:szCs w:val="18"/>
          <w:color w:val="auto"/>
        </w:rPr>
      </w:pPr>
    </w:p>
    <w:p>
      <w:pPr>
        <w:ind w:left="600" w:right="60" w:hanging="592"/>
        <w:spacing w:after="0" w:line="276"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2016,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96"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table below presents the fair values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14) on the accompanying consolidated statements of financial condition as of December 31,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6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c>
          <w:tcPr>
            <w:tcW w:w="7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30"/>
        </w:trPr>
        <w:tc>
          <w:tcPr>
            <w:tcW w:w="6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0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8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22"/>
                <w:szCs w:val="22"/>
                <w:color w:val="auto"/>
              </w:rPr>
            </w:pPr>
          </w:p>
        </w:tc>
      </w:tr>
      <w:tr>
        <w:trPr>
          <w:trHeight w:val="210"/>
        </w:trPr>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6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6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2,792</w:t>
            </w:r>
          </w:p>
        </w:tc>
        <w:tc>
          <w:tcPr>
            <w:tcW w:w="7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r>
      <w:tr>
        <w:trPr>
          <w:trHeight w:val="230"/>
        </w:trPr>
        <w:tc>
          <w:tcPr>
            <w:tcW w:w="6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170,388</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182,223</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260" w:hanging="592"/>
        <w:spacing w:after="0" w:line="259"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$357 and $9,400 as of December 31, 2016, respectively, and $460 and $958 as of December 31, 2015, respectively, for contracts with the same counterparty under legally enforceable master netting agreements. Such amounts are recorded “net” in “other assets”, with receivables for net cash collateral under such contracts of $16,996 and $9,636 as of December 31, 2016 and 2015, respectively.</w:t>
      </w:r>
    </w:p>
    <w:p>
      <w:pPr>
        <w:spacing w:after="0" w:line="187" w:lineRule="exact"/>
        <w:rPr>
          <w:sz w:val="20"/>
          <w:szCs w:val="20"/>
          <w:color w:val="auto"/>
        </w:rPr>
      </w:pPr>
    </w:p>
    <w:p>
      <w:pPr>
        <w:ind w:right="48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2016, 2015 and 2014,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(4,636)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vMerge w:val="restart"/>
          </w:tcPr>
          <w:p>
            <w:pPr>
              <w:jc w:val="right"/>
              <w:ind w:right="85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2016 and 2015, property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175,810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167,838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495,022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209,021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2016 and 2015 are presented below:</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66"/>
        </w:trPr>
        <w:tc>
          <w:tcPr>
            <w:tcW w:w="54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33"/>
        <w:spacing w:after="0" w:line="277" w:lineRule="auto"/>
        <w:rPr>
          <w:sz w:val="20"/>
          <w:szCs w:val="20"/>
          <w:color w:val="auto"/>
        </w:rPr>
      </w:pPr>
      <w:r>
        <w:rPr>
          <w:rFonts w:ascii="Arial" w:cs="Arial" w:eastAsia="Arial" w:hAnsi="Arial"/>
          <w:sz w:val="18"/>
          <w:szCs w:val="18"/>
          <w:color w:val="auto"/>
        </w:rPr>
        <w:t>At December 31, 2016 and 2015, goodwill of $308,576 and $256,220,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2016, 2015 and 2014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345,453</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Business acquisitions (see Note 12)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(2,275)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(14,641)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(13,283)</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Balance,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373,117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335,402</w:t>
            </w: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2016, 2015 and 2014 are attributable to the Company’s Financial Advisory segment.</w:t>
      </w:r>
    </w:p>
    <w:p>
      <w:pPr>
        <w:spacing w:after="0" w:line="170"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2016, 2015 and 2014, the Company determined that no impairment existed.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2016 and 2015,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Amortization expense of intangible assets, included in “amortization and other acquisition-related costs” in the consolidated statements of operations, for the years ended December 31, 2016, 2015 and 2014 was $2,522, $5,821 and $6,387, respectively. Estimated future amortization expense is as follows:</w:t>
      </w:r>
    </w:p>
    <w:p>
      <w:pPr>
        <w:spacing w:after="0" w:line="1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24% of intangible asset amortization is attributable to a noncontrolling interest.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tax receivables and other taxes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75,703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53,354</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67,376</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57,286</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2016 and 2015:</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124,721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128,496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99,278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109,438</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84,287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83,566</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8,760</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44,475</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28,556</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530,241</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Annual</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92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Rate(b)</w:t>
            </w: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840" w:type="dxa"/>
            <w:vAlign w:val="bottom"/>
            <w:tcBorders>
              <w:top w:val="single" w:sz="8" w:color="CFF0FC"/>
            </w:tcBorders>
            <w:gridSpan w:val="2"/>
            <w:shd w:val="clear" w:color="auto" w:fill="CFF0FC"/>
          </w:tcPr>
          <w:p>
            <w:pPr>
              <w:jc w:val="center"/>
              <w:ind w:right="1420"/>
              <w:spacing w:after="0"/>
              <w:rPr>
                <w:sz w:val="20"/>
                <w:szCs w:val="20"/>
                <w:color w:val="auto"/>
              </w:rPr>
            </w:pPr>
            <w:r>
              <w:rPr>
                <w:rFonts w:ascii="Arial" w:cs="Arial" w:eastAsia="Arial" w:hAnsi="Arial"/>
                <w:sz w:val="18"/>
                <w:szCs w:val="18"/>
                <w:color w:val="auto"/>
                <w:w w:val="91"/>
              </w:rPr>
              <w:t>Lazard Group 2017</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600,000</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6/15/17</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jc w:val="center"/>
              <w:ind w:right="1420"/>
              <w:spacing w:after="0"/>
              <w:rPr>
                <w:sz w:val="20"/>
                <w:szCs w:val="20"/>
                <w:color w:val="auto"/>
              </w:rPr>
            </w:pPr>
            <w:r>
              <w:rPr>
                <w:rFonts w:ascii="Arial" w:cs="Arial" w:eastAsia="Arial" w:hAnsi="Arial"/>
                <w:sz w:val="18"/>
                <w:szCs w:val="18"/>
                <w:color w:val="auto"/>
                <w:w w:val="91"/>
              </w:rPr>
              <w:t>Lazard Group 2020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11/14/20</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496,431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495,509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shd w:val="clear" w:color="auto" w:fill="CFF0FC"/>
          </w:tcPr>
          <w:p>
            <w:pPr>
              <w:jc w:val="center"/>
              <w:ind w:right="1420"/>
              <w:spacing w:after="0"/>
              <w:rPr>
                <w:sz w:val="20"/>
                <w:szCs w:val="20"/>
                <w:color w:val="auto"/>
              </w:rPr>
            </w:pPr>
            <w:r>
              <w:rPr>
                <w:rFonts w:ascii="Arial" w:cs="Arial" w:eastAsia="Arial" w:hAnsi="Arial"/>
                <w:sz w:val="18"/>
                <w:szCs w:val="18"/>
                <w:color w:val="auto"/>
                <w:w w:val="91"/>
              </w:rPr>
              <w:t>Lazard Group 2025</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396,167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395,658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jc w:val="center"/>
              <w:ind w:right="1420"/>
              <w:spacing w:after="0"/>
              <w:rPr>
                <w:sz w:val="20"/>
                <w:szCs w:val="20"/>
                <w:color w:val="auto"/>
              </w:rPr>
            </w:pPr>
            <w:r>
              <w:rPr>
                <w:rFonts w:ascii="Arial" w:cs="Arial" w:eastAsia="Arial" w:hAnsi="Arial"/>
                <w:sz w:val="18"/>
                <w:szCs w:val="18"/>
                <w:color w:val="auto"/>
                <w:w w:val="91"/>
              </w:rPr>
              <w:t>Lazard Group 2027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FF0FC"/>
            </w:tcBorders>
            <w:gridSpan w:val="2"/>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296,002</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1,200,000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1,188,600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998,350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989,358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20" w:hanging="592"/>
        <w:spacing w:after="0" w:line="297" w:lineRule="auto"/>
        <w:tabs>
          <w:tab w:leader="none" w:pos="6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November 2016, Lazard Group completed an offering of $300,000 aggregate principal amount of 3.625% senior notes due 2027 (the “2027 Notes”). Interest on the 2027 Notes is payable semi-annually on March 1 and September 1 of each year, beginning March 1, 2017. Lazard Group used a portion of the net proceeds of the 2027 Notes to redeem or otherwise retire all $98,350 of the 6.85% senior notes due June 2017 (the “2017 Notes”), which, including the recognition of unamortized issuance costs, resulted in a loss on debt extinguishment of $3,148. Such loss on debt extinguishment was recorded in “operating expenses—other” on the consolidated statement of operations for the year ended December 31, 2016.</w:t>
      </w:r>
    </w:p>
    <w:p>
      <w:pPr>
        <w:spacing w:after="0" w:line="158" w:lineRule="exact"/>
        <w:rPr>
          <w:rFonts w:ascii="Arial" w:cs="Arial" w:eastAsia="Arial" w:hAnsi="Arial"/>
          <w:sz w:val="16"/>
          <w:szCs w:val="16"/>
          <w:color w:val="auto"/>
        </w:rPr>
      </w:pPr>
    </w:p>
    <w:p>
      <w:pPr>
        <w:ind w:left="620" w:right="120"/>
        <w:spacing w:after="0" w:line="276" w:lineRule="auto"/>
        <w:rPr>
          <w:rFonts w:ascii="Arial" w:cs="Arial" w:eastAsia="Arial" w:hAnsi="Arial"/>
          <w:sz w:val="16"/>
          <w:szCs w:val="16"/>
          <w:color w:val="auto"/>
        </w:rPr>
      </w:pPr>
      <w:r>
        <w:rPr>
          <w:rFonts w:ascii="Arial" w:cs="Arial" w:eastAsia="Arial" w:hAnsi="Arial"/>
          <w:sz w:val="17"/>
          <w:szCs w:val="17"/>
          <w:color w:val="auto"/>
        </w:rPr>
        <w:t>During February 2015, Lazard Group completed an offering of $400,000 aggregate principal amount of 3.75% senior notes due 2025 (the “2025 Notes”). Interest on the 2025 Notes is payable semi-annually on March 1 and September 1 of each year.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consolidated statement of operations for the year ended December 31, 2015.</w:t>
      </w:r>
    </w:p>
    <w:p>
      <w:pPr>
        <w:spacing w:after="0" w:line="280" w:lineRule="exact"/>
        <w:rPr>
          <w:rFonts w:ascii="Arial" w:cs="Arial" w:eastAsia="Arial" w:hAnsi="Arial"/>
          <w:sz w:val="16"/>
          <w:szCs w:val="16"/>
          <w:color w:val="auto"/>
        </w:rPr>
      </w:pPr>
    </w:p>
    <w:p>
      <w:pPr>
        <w:ind w:left="600" w:right="40" w:hanging="59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the 2025 Notes and the 2027 Notes are 4.43%, 3.87% and 3.76%,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as of December 31, 2015, reflects the retrospective application of new guidance adopted by the Company for debt issuance costs.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1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2016 and 2015, no amounts were outstanding under the Amended and Restated Credit Agreement or the prior revolving credit facility, respectively.</w:t>
      </w:r>
    </w:p>
    <w:p>
      <w:pPr>
        <w:spacing w:after="0" w:line="193"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2016, the Company was in compliance with such provisions. All of the Company’s senior debt obligations are unsecured.</w:t>
      </w:r>
    </w:p>
    <w:p>
      <w:pPr>
        <w:spacing w:after="0" w:line="14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2016 for each of the five years in the period ending December 31, 2021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Company’s senior debt at December 31, 2016 and 2015 is carried at historical amounts. See Note 6 for information regarding the fair value and fair value hierarchy category of the Company’s senior debt.</w:t>
      </w:r>
    </w:p>
    <w:p>
      <w:pPr>
        <w:spacing w:after="0" w:line="17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2016, the Company had approximately $179,000 in unused lines of credit available to it, including the credit facility provided under the Amended and Restated Credit Agreement, and unused lines of credit available to LFB of approximately $21,000 (at December 31, 2016 exchange rates).</w:t>
      </w:r>
    </w:p>
    <w:p>
      <w:pPr>
        <w:spacing w:after="0" w:line="370"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24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2016, 2015 and 2014, aggregate rental expense relating to operating leases amounted to $76,704, $79,549 and $80,773, respectively, and is included in “occupancy and equipment” or “technology and information services” on the consolidated statements of operations, depending on the nature of the underlying asset. The Company also subleases office space under agreements which expire on various dates through 2022. Sublease income from such agreements was $7,858, $9,587 and $11,751 for the years ended December 31, 2016, 2015 and 2014, respectively, which includes sublease income of $1,281 and $3,097, respectively, from an affiliate of LMDC Holdings LLC (“LMDC Holdings”) for the years ended December 2015 and 2014.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Capital lease obligations recorded under sale/leaseback transactions are payable through 2017 at a weighted average interest rate of approximately 6.1%. Such obligations are collateralized primarily by certain buildings with a net book value of approximately $13,538 and $15,121 at December 31, 2016 and 2015, respectively. The net book value of all assets recorded under capital leases aggregated $13,628 and $15,273 at December 31, 2016 and 2015, respectively.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2016, minimum rental commitments under non-cancelable leases, net of sublease income, are approximately as follows:</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26"/>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70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Capital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30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75,996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3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0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amount representing interest</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capital lease commitments</w:t>
            </w: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45,643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lease payments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782,515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With respect to abandoned leased facilities in the U.K., at December 31, 2016 and 2015, the Company has recognized liabilities of $2,819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$6,155, respectively, which are included in “other liabilities” on the consolidated statements of financial condition. Payments toward the liabilities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the remaining term of the leases. Such liabilities are based on the discounted future commitment, net of expected sublease income.</w:t>
      </w:r>
    </w:p>
    <w:p>
      <w:pPr>
        <w:spacing w:after="0" w:line="21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2016, LFB had $3,340 of such indemnifications and held $3,259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b w:val="1"/>
          <w:bCs w:val="1"/>
          <w:i w:val="1"/>
          <w:iCs w:val="1"/>
          <w:color w:val="auto"/>
        </w:rPr>
        <w:t>Certain Business Transactions—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8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were subject to earnout criteria and payable over time. As of December 31, 2016 and 2015, 2,285,714 and 1,371,992 shares, respectively, have been earned and settled because applicable performance thresholds have been satisfied. As of December 31, 2016, the delivery of 913,722 shares of Class A common stock resulted in a non-cash tax benefit of approximately $12,000 recorded in deferred tax assets.</w:t>
      </w:r>
    </w:p>
    <w:p>
      <w:pPr>
        <w:spacing w:after="0" w:line="158"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b w:val="1"/>
          <w:bCs w:val="1"/>
          <w:i w:val="1"/>
          <w:iCs w:val="1"/>
          <w:color w:val="auto"/>
        </w:rPr>
        <w:t>Other Business Acquisitions</w:t>
      </w:r>
      <w:r>
        <w:rPr>
          <w:rFonts w:ascii="Arial" w:cs="Arial" w:eastAsia="Arial" w:hAnsi="Arial"/>
          <w:sz w:val="18"/>
          <w:szCs w:val="18"/>
          <w:color w:val="auto"/>
        </w:rPr>
        <w:t>—For businesses acquired in 2016, consideration consisted of (i) one-time cash payments, 60,817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subject to non-compete provisions and non-contingent interests exchangeable into 206,612 shares of Class A common stock, and (ii) up to 816,492 additional shares of Class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that are subject to certain performance thresholds. As of December 31, 2016, none of the contingent shares had been earned.</w:t>
      </w:r>
    </w:p>
    <w:p>
      <w:pPr>
        <w:spacing w:after="0" w:line="225" w:lineRule="exact"/>
        <w:rPr>
          <w:sz w:val="20"/>
          <w:szCs w:val="20"/>
          <w:color w:val="auto"/>
        </w:rPr>
      </w:pPr>
    </w:p>
    <w:p>
      <w:pPr>
        <w:ind w:right="400" w:firstLine="598"/>
        <w:spacing w:after="0" w:line="312" w:lineRule="auto"/>
        <w:rPr>
          <w:sz w:val="20"/>
          <w:szCs w:val="20"/>
          <w:color w:val="auto"/>
        </w:rPr>
      </w:pPr>
      <w:r>
        <w:rPr>
          <w:rFonts w:ascii="Arial" w:cs="Arial" w:eastAsia="Arial" w:hAnsi="Arial"/>
          <w:sz w:val="16"/>
          <w:szCs w:val="16"/>
          <w:color w:val="auto"/>
        </w:rPr>
        <w:t>For a business acquired in 2012, at December 31, 2012, 170,988 shares of Class A 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2016, LFB and LFNY had no such underwriting commitments.</w:t>
      </w:r>
    </w:p>
    <w:p>
      <w:pPr>
        <w:spacing w:after="0" w:line="18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600" w:hanging="592"/>
        <w:spacing w:after="0"/>
        <w:tabs>
          <w:tab w:leader="none" w:pos="60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year ended December 31, 2014, Lazard Ltd issued 710,009 shares of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common stock in connection with the exchanges of a like number of Lazard Group common membership interests (received from members of LAZ-MD Holdings in exchange for a like number of LAZ-MD Holdings exchangeable interests). See Note 1 for a discussion of the Final Exchange of LAZ-MD Interests.</w:t>
      </w:r>
    </w:p>
    <w:p>
      <w:pPr>
        <w:spacing w:after="0" w:line="18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2016, 2015 and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rPr>
              <w:t>Repurchase</w:t>
            </w:r>
          </w:p>
        </w:tc>
        <w:tc>
          <w:tcPr>
            <w:tcW w:w="3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3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April 2014</w:t>
            </w:r>
          </w:p>
        </w:tc>
        <w:tc>
          <w:tcPr>
            <w:tcW w:w="2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178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78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113,182</w:t>
            </w:r>
          </w:p>
        </w:tc>
        <w:tc>
          <w:tcPr>
            <w:tcW w:w="178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780" w:type="dxa"/>
            <w:vAlign w:val="bottom"/>
            <w:gridSpan w:val="2"/>
            <w:shd w:val="clear" w:color="auto" w:fill="CFF0FC"/>
          </w:tcPr>
          <w:p>
            <w:pPr>
              <w:jc w:val="center"/>
              <w:ind w:left="23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program may vary from quarter to quarter due to a variety of factors. Purchases with respect to such program are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2014</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4,114,206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There were 7,628,786 and 4,253,381 shares of Class A common stock held by our subsidiaries at December 31, 2016 and 2015, respectively. Such shares of Class A common stock are reported, at cost, as “Class A common stock held by subsidiaries” on the accompanying consolidated statements of financial condition.</w:t>
      </w:r>
    </w:p>
    <w:p>
      <w:pPr>
        <w:spacing w:after="0" w:line="18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During 2016, 2015 and 2014,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the estimated amount of such tax. In addition, during the years ended December 31, 2016 and 2014, the Company purchased shares of Class A common stock from an executive officer. The aggregate value of such purchases in 2016, 2015 and 2014 was approximately $4,900, $17,700 and $6,800, respectively.</w:t>
      </w:r>
    </w:p>
    <w:p>
      <w:pPr>
        <w:spacing w:after="0" w:line="173" w:lineRule="exact"/>
        <w:rPr>
          <w:sz w:val="20"/>
          <w:szCs w:val="20"/>
          <w:color w:val="auto"/>
        </w:rPr>
      </w:pPr>
    </w:p>
    <w:p>
      <w:pPr>
        <w:jc w:val="both"/>
        <w:ind w:right="160" w:firstLine="598"/>
        <w:spacing w:after="0" w:line="342" w:lineRule="auto"/>
        <w:rPr>
          <w:sz w:val="20"/>
          <w:szCs w:val="20"/>
          <w:color w:val="auto"/>
        </w:rPr>
      </w:pPr>
      <w:r>
        <w:rPr>
          <w:rFonts w:ascii="Arial" w:cs="Arial" w:eastAsia="Arial" w:hAnsi="Arial"/>
          <w:sz w:val="16"/>
          <w:szCs w:val="16"/>
          <w:color w:val="auto"/>
        </w:rPr>
        <w:t>The shares purchased in the year ended December 31, 2014 included 1,000,000 shares purchased from Natixis S.A. on June 26, 2014 for $50,340 in connection with the sale by Natixis S.A. of its entire investment in the Company’s Class A common stock. The purchase transaction closed on July 1, 2014.</w:t>
      </w:r>
    </w:p>
    <w:p>
      <w:pPr>
        <w:spacing w:after="0" w:line="12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As of December 31, 2016, a total of $355,125 of share repurchase authorization remained available under the Company’s share repurchase program, $119,125 of which will expire on December 31, 2017 and $236,000 of which will expire on December 31, 2018.</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During the year ended December 31, 2016,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240" w:firstLine="598"/>
        <w:spacing w:after="0" w:line="255"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December 31, 2016, no shares of Series A or Series B preferred stock were outstanding. As of December 31, 2015, 7,921 shares of Series A preferred stock were outstanding, and no shares of Series B preferred stock were outstanding. At December 31, 2015, no shares of Series A preferred stock were convertible into shares of Class A common stock on a contingent or a non-contingent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(57,920)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(24,473)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(82,393)</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(82,392)</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2015:</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(51,182)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(39,899)</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(39,899)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(133,562</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(133,004</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(49,971)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(21,983)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(71,954)</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(72,511)</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(200,767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(200,766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reflects adjustments for items reclassified out of AOCI, by component, for the years ended December 31, 2016, 2015 and 2014:</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2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2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2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108</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2"/>
        </w:trPr>
        <w:tc>
          <w:tcPr>
            <w:tcW w:w="1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right="340" w:hanging="592"/>
        <w:spacing w:after="0" w:line="277"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“compensation and benefits” expense on the consolidated statements of operations.</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Lazard Group by LAZ-MD Holdings until May 2014. Following the Final Exchange of LAZ-MD Interests, Lazard Group became a wholly-owned indirect subsidiary of Lazard Ltd.</w:t>
      </w:r>
    </w:p>
    <w:p>
      <w:pPr>
        <w:spacing w:after="0" w:line="18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2016, 2015 and 2014 and noncontrolling interests as of December 31, 2016 and 2015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4100" w:type="dxa"/>
            <w:vAlign w:val="bottom"/>
            <w:tcBorders>
              <w:top w:val="single" w:sz="8" w:color="CFF0FC"/>
            </w:tcBorders>
            <w:shd w:val="clear" w:color="auto" w:fill="CFF0FC"/>
          </w:tcPr>
          <w:p>
            <w:pPr>
              <w:spacing w:after="0"/>
              <w:rPr>
                <w:sz w:val="13"/>
                <w:szCs w:val="13"/>
                <w:color w:val="auto"/>
              </w:rPr>
            </w:pPr>
          </w:p>
        </w:tc>
        <w:tc>
          <w:tcPr>
            <w:tcW w:w="26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ind w:right="175"/>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Edgewater</w:t>
            </w:r>
          </w:p>
        </w:tc>
        <w:tc>
          <w:tcPr>
            <w:tcW w:w="26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6,557</w:t>
            </w:r>
          </w:p>
        </w:tc>
        <w:tc>
          <w:tcPr>
            <w:tcW w:w="2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LAZ-MD Holdings</w:t>
            </w:r>
          </w:p>
        </w:tc>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6,559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b w:val="1"/>
          <w:bCs w:val="1"/>
          <w:i w:val="1"/>
          <w:iCs w:val="1"/>
          <w:color w:val="auto"/>
        </w:rPr>
        <w:t>Dividends Declared, February 1, 2017</w:t>
      </w:r>
      <w:r>
        <w:rPr>
          <w:rFonts w:ascii="Arial" w:cs="Arial" w:eastAsia="Arial" w:hAnsi="Arial"/>
          <w:sz w:val="18"/>
          <w:szCs w:val="18"/>
          <w:color w:val="auto"/>
        </w:rPr>
        <w:t>— On February 1, 2017, the Board of Directors of Lazard declared a quarterly dividend of $0.38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special dividend of $1.20 per share, on our Class A common stock. The quarterly dividend and the special dividend are payable on February 24, 2017, to stockholders of record on February 13, 2017.</w:t>
      </w:r>
    </w:p>
    <w:p>
      <w:pPr>
        <w:spacing w:after="0" w:line="370"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years ended December 31, 2016, 2015 and 2014, is presented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price of Class A common stock at the date of grant. The 2005 Plan expired in the second quarter of 2015, although unvested awards granted under the 2005 Plan remain outstanding and continue to be subject to its terms.</w:t>
      </w:r>
    </w:p>
    <w:p>
      <w:pPr>
        <w:spacing w:after="0" w:line="170"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RSUs</w:t>
            </w:r>
          </w:p>
        </w:tc>
        <w:tc>
          <w:tcPr>
            <w:tcW w:w="2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171,188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166,395</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169,916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16,110</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206,195</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2016, 2015 and 2014,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84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37,284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34,255</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4840" w:type="dxa"/>
            <w:vAlign w:val="bottom"/>
          </w:tcPr>
          <w:p>
            <w:pPr>
              <w:spacing w:after="0"/>
              <w:rPr>
                <w:sz w:val="24"/>
                <w:szCs w:val="24"/>
                <w:color w:val="auto"/>
              </w:rPr>
            </w:pPr>
          </w:p>
        </w:tc>
        <w:tc>
          <w:tcPr>
            <w:tcW w:w="1940" w:type="dxa"/>
            <w:vAlign w:val="bottom"/>
          </w:tcPr>
          <w:p>
            <w:pPr>
              <w:jc w:val="right"/>
              <w:ind w:right="85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Non-executive members of the Board of Directors (“Non-Executive Directors”) receive approximately 55% of their annual compensation for service on the Board of Directors and its committees in the form of DSUs, which resulted in 38,771, 23,961 and 26,360 DSUs granted in connection with annual compensation during the years ended December 31, 2016,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78"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2016, 2015 and 2014, 10,043, 2,482 and 8,433 DSUs, respectively, had been granted pursuant to such Plan.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16,630,009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375,954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3,825,737</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34,793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(344,345)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(6,582,285)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37.80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13,529,116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286,227</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693,714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4,296,386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(469,776)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(7,756,068)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1,085,354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6,878,306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(239,432)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(4,540,394)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RSUs that vested during the years ended December 31, 2016, 2015 and 2014, the Company satisfied its minimum statutory tax withholding requirements in lieu of delivering 1,421,396, 2,249,935 and 1,896,930 shares of Class A common stock during such respective years. Accordingly, 3,118,998, 5,506,133 and 4,685,355 shares of Class A common stock held by the Company were delivered during the years ended December 31, 2016, 2015 and 2014,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As of December 31, 2016, estimated unrecognized RSU compensation expense was approximately $141,947, with such expense expected to be recognized over a weighted average period of approximately 0.8 years subsequent to December 31, 2016.</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575,054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449,911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(13,336)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(281,802)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729,827</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576,886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(547,124)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(819,872)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2016, 2015 and 2014, the Company satisfied its minimum statutory tax withholding requirements in lieu of delivering 141,026, 108,833 and 43,905 shares of Class A common stock during such respective years. Accordingly, 678,846, 438,291 and 237,897 shares of Class A common stock held by the Company were delivered during the years ended December 31, 2016, 2015 and 2014, respectively.</w:t>
      </w:r>
    </w:p>
    <w:p>
      <w:pPr>
        <w:spacing w:after="0" w:line="18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any dividends paid on Class A common stock during the period, which will vest concurrently with the underlying restricted stock award. At December 31, 2016, estimated unrecognized restricted stock expense was approximately $32,154, with such expense to be recognized over a weighted average period of approximately 0.9 years subsequent to December 31, 2016.</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vested was equal to approximately 2.2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the Company has achieved a threshold level of performance with respect to the fiscal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538,237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2014</w:t>
            </w:r>
          </w:p>
        </w:tc>
        <w:tc>
          <w:tcPr>
            <w:tcW w:w="1260" w:type="dxa"/>
            <w:vAlign w:val="bottom"/>
          </w:tcPr>
          <w:p>
            <w:pPr>
              <w:jc w:val="right"/>
              <w:spacing w:after="0"/>
              <w:rPr>
                <w:sz w:val="20"/>
                <w:szCs w:val="20"/>
                <w:color w:val="auto"/>
              </w:rPr>
            </w:pPr>
            <w:r>
              <w:rPr>
                <w:rFonts w:ascii="Arial" w:cs="Arial" w:eastAsia="Arial" w:hAnsi="Arial"/>
                <w:sz w:val="18"/>
                <w:szCs w:val="18"/>
                <w:color w:val="auto"/>
              </w:rPr>
              <w:t>1,347,148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(a)</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(696,499)</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 w:lineRule="exact"/>
        <w:rPr>
          <w:rFonts w:ascii="Arial" w:cs="Arial" w:eastAsia="Arial" w:hAnsi="Arial"/>
          <w:sz w:val="18"/>
          <w:szCs w:val="18"/>
          <w:color w:val="auto"/>
        </w:rPr>
      </w:pPr>
    </w:p>
    <w:p>
      <w:pPr>
        <w:ind w:left="600" w:right="380" w:hanging="592"/>
        <w:spacing w:after="0" w:line="261"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84"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In connection with certain PRSUs that vested during the years ended December 31, 2016 and 2015, the Company satisfied its minimum statutory tax withholding requirements in lieu of issuing 64,169 and 32,086 shares of Class A common stock during such respective years. Accordingly, 352,852 and 664,413 shares of Class A common stock held by the Company were delivered during the years ended December 31, 2016 and 2015, respectively.</w:t>
      </w:r>
    </w:p>
    <w:p>
      <w:pPr>
        <w:spacing w:after="0" w:line="14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2016, the total estimated unrecognized compensation expense was approximately $12,588, and the Company expects to amortize such expense over a weighted-average period of approximately 0.7 years subsequent to December 31, 2016.</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 estimated forfeitures, and is adjusted for changes in fair value primarily related to changes in value of the underlying investments.</w:t>
      </w:r>
    </w:p>
    <w:p>
      <w:pPr>
        <w:spacing w:after="0" w:line="225"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2016 and 2015:</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(77,457)</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(73,340)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(96,223)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(82,736)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2016.</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2016, 2015 and 2014: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82,359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2017</w:t>
      </w:r>
    </w:p>
    <w:p>
      <w:pPr>
        <w:spacing w:after="0" w:line="117"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In February 2017, the Company granted approximately $342,000 of deferred incentive compensation awards (including PRSUs valued at the target payout level)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w:t>
      </w:r>
    </w:p>
    <w:p>
      <w:pPr>
        <w:spacing w:after="0" w:line="154"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The RSUs, restricted Class A common stock and LFI granted each provide for one-third vesting on or around March 1, 2019 and the remaining two-thirds vesting on or around March 2, 2020. The PRSUs granted provide for vesting on or around March 2, 2020,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362" w:lineRule="exact"/>
        <w:rPr>
          <w:sz w:val="20"/>
          <w:szCs w:val="20"/>
          <w:color w:val="auto"/>
        </w:rPr>
      </w:pPr>
    </w:p>
    <w:p>
      <w:pPr>
        <w:ind w:left="600" w:hanging="592"/>
        <w:spacing w:after="0"/>
        <w:tabs>
          <w:tab w:leader="none" w:pos="6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8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Medical Plan—</w:t>
      </w:r>
      <w:r>
        <w:rPr>
          <w:rFonts w:ascii="Arial" w:cs="Arial" w:eastAsia="Arial" w:hAnsi="Arial"/>
          <w:sz w:val="18"/>
          <w:szCs w:val="18"/>
          <w:color w:val="auto"/>
        </w:rPr>
        <w:t>The medical plan was previously amended such that effective January 1, 2005 the plan limited post-retirement medical coverage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former and current employees of the Company that were hired prior to January 1, 2005 and attained the age of 55 on or prior to December 31, 2005, and their dependents. Effective December 31, 2016, the Company will cease offering the medical plan.</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In October 2016, the Company paid participants in the medical plan $2,936 in the aggregate to settle in full the Company’s obligations under the medical plan. The settlement of such obligations resulted in the recognition of a gain of $1,788 that is recorded as a reduction to compensation and benefits expense in the consolidated statements of operations for the year ended December 31, 2016.</w:t>
      </w:r>
    </w:p>
    <w:p>
      <w:pPr>
        <w:spacing w:after="0" w:line="181"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does not expect to make a contribution to the U.S. and U.K. pension plans during the year ending December 31, 2017. The Company expects to contribute approximately $10,000 to the other non-U.S. pension plans during the year ending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694,187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764,169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4,750</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135,164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(22,395)</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(31,904)</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(33,253)</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(99,732)</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(40,464)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obligation at end of year</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718,821</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694,187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656,084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672,576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(29,384)</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(32,321)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(3,289)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(111,211)</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(33,345)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646,119</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656,084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Funded (deficit) at end of year</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(38,103)</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the consolidated statements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financial condition at December 31, 2016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2015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(73,524)</w:t>
            </w: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(58,888)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(4,750)</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(38,103)</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AOCI (excluding tax</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benefits of $33,864 and $30,416 at December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 2016 and 2015, respectively)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Actuarial net loss (gain)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192,855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165,462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192,885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7"/>
              </w:rPr>
              <w:t>22,161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623,958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632,889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646,119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656,084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ind w:left="200"/>
              <w:spacing w:after="0"/>
              <w:rPr>
                <w:sz w:val="20"/>
                <w:szCs w:val="20"/>
                <w:color w:val="auto"/>
              </w:rPr>
            </w:pPr>
            <w:r>
              <w:rPr>
                <w:rFonts w:ascii="Arial" w:cs="Arial" w:eastAsia="Arial" w:hAnsi="Arial"/>
                <w:sz w:val="18"/>
                <w:szCs w:val="18"/>
                <w:color w:val="auto"/>
                <w:w w:val="87"/>
              </w:rPr>
              <w:t>33,868</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32,900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684,953</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661,287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718,821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694,187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7"/>
              </w:rPr>
              <w:t>33,868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684,953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661,287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718,821</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694,187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116</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64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2016,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Pension Plans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Medical Plan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For The Year Ended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(28,301)</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(32,607)</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Settlement gain</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119,287</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Benefits paid</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29,384</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32,321</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28,877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3,289</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$(3,448), $7,151</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$(7,119) during the years ended</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 2015 and 2014,</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51,626</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to earnings</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620"/>
              <w:spacing w:after="0"/>
              <w:rPr>
                <w:sz w:val="20"/>
                <w:szCs w:val="20"/>
                <w:color w:val="auto"/>
              </w:rPr>
            </w:pPr>
            <w:r>
              <w:rPr>
                <w:rFonts w:ascii="Arial" w:cs="Arial" w:eastAsia="Arial" w:hAnsi="Arial"/>
                <w:sz w:val="18"/>
                <w:szCs w:val="18"/>
                <w:color w:val="auto"/>
              </w:rPr>
              <w:t>to earnings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(3,888)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(4,360)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Currency translation and other</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adjustments</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(20,309)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(11,582)</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(10,485)</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Total recognized in AOCI</w:t>
            </w:r>
          </w:p>
        </w:tc>
        <w:tc>
          <w:tcPr>
            <w:tcW w:w="7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amount recognized in total periodic</w:t>
            </w:r>
          </w:p>
        </w:tc>
        <w:tc>
          <w:tcPr>
            <w:tcW w:w="7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cost and AOCI</w:t>
            </w:r>
          </w:p>
        </w:tc>
        <w:tc>
          <w:tcPr>
            <w:tcW w:w="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25,086</w:t>
            </w:r>
          </w:p>
        </w:tc>
        <w:tc>
          <w:tcPr>
            <w:tcW w:w="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(18,403)</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2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2016 that are expected to be recognized as components of net periodic benefit cost (credit) for the year ending December 31,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Pension</w:t>
            </w:r>
          </w:p>
        </w:tc>
        <w:tc>
          <w:tcPr>
            <w:tcW w:w="2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Plans</w:t>
            </w:r>
          </w:p>
        </w:tc>
        <w:tc>
          <w:tcPr>
            <w:tcW w:w="20" w:type="dxa"/>
            <w:vAlign w:val="bottom"/>
          </w:tcPr>
          <w:p>
            <w:pPr>
              <w:spacing w:after="0"/>
              <w:rPr>
                <w:sz w:val="14"/>
                <w:szCs w:val="14"/>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57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61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3660" w:type="dxa"/>
            <w:vAlign w:val="bottom"/>
          </w:tcPr>
          <w:p>
            <w:pPr>
              <w:spacing w:after="0"/>
              <w:rPr>
                <w:sz w:val="24"/>
                <w:szCs w:val="24"/>
                <w:color w:val="auto"/>
              </w:rPr>
            </w:pPr>
          </w:p>
        </w:tc>
        <w:tc>
          <w:tcPr>
            <w:tcW w:w="5740" w:type="dxa"/>
            <w:vAlign w:val="bottom"/>
          </w:tcPr>
          <w:p>
            <w:pPr>
              <w:jc w:val="right"/>
              <w:ind w:right="347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are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Pension Plans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Medical Plan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3"/>
                <w:szCs w:val="13"/>
                <w:color w:val="auto"/>
              </w:rPr>
            </w:pPr>
          </w:p>
        </w:tc>
        <w:tc>
          <w:tcPr>
            <w:tcW w:w="8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209"/>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net periodic benefit cost: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5"/>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4.6%</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Healthcare cost trend rates used to determine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net periodic benefit cost: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Initial</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Ultimate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ultimate trend rate achieved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8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w w:val="98"/>
              </w:rPr>
              <w:t>1% Increase</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1% Decrease</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0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w:t>
            </w:r>
          </w:p>
        </w:tc>
        <w:tc>
          <w:tcPr>
            <w:tcW w:w="22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Obligation</w:t>
            </w:r>
          </w:p>
        </w:tc>
        <w:tc>
          <w:tcPr>
            <w:tcW w:w="29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661</w:t>
            </w:r>
          </w:p>
        </w:tc>
        <w:tc>
          <w:tcPr>
            <w:tcW w:w="9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r>
    </w:tbl>
    <w:p>
      <w:pPr>
        <w:spacing w:after="0" w:line="24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Pension</w:t>
            </w: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Plans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2022-2026</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143,220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2016 and 2015,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3"/>
              <w:spacing w:after="0"/>
              <w:rPr>
                <w:sz w:val="20"/>
                <w:szCs w:val="20"/>
                <w:color w:val="auto"/>
              </w:rPr>
            </w:pPr>
            <w:r>
              <w:rPr>
                <w:rFonts w:ascii="Arial" w:cs="Arial" w:eastAsia="Arial" w:hAnsi="Arial"/>
                <w:sz w:val="14"/>
                <w:szCs w:val="14"/>
                <w:b w:val="1"/>
                <w:bCs w:val="1"/>
                <w:color w:val="auto"/>
                <w:w w:val="90"/>
              </w:rPr>
              <w:t>As of December 31, 2016</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167,981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295,750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4"/>
                <w:szCs w:val="14"/>
                <w:b w:val="1"/>
                <w:bCs w:val="1"/>
                <w:color w:val="auto"/>
                <w:w w:val="90"/>
              </w:rPr>
              <w:t>As of December 31, 2015</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210,897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324,584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332,084</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20" w:hanging="592"/>
        <w:spacing w:after="0" w:line="308"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146"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6"/>
          <w:szCs w:val="16"/>
          <w:color w:val="auto"/>
        </w:rPr>
        <w:t>Included in equity funds are $97,933 and $70,444 as of December 31, 2016 and 2015, respectively, that are invested in funds managed by LAM.</w:t>
      </w:r>
    </w:p>
    <w:p>
      <w:pPr>
        <w:spacing w:after="0" w:line="24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Consistent with the plans’ investment strategies, at December 31, 2016 and 2015, the Company’s U.S. pension plan had 53% and 50%, respectively, of the plans’ assets invested in equity funds in Level 1 and measured at NAV or its equivalent as a practical expedient and 47% and 50%, respectively, invested in Level 1 debt funds. The Company’s non-U.S. pension plans at December 31, 2016 and 2015 had 31% and 37%, respectively, of the plans’ assets invested in equities and equity funds that are primarily Level 1 assets; 62% and 60%, respectively, of the plans’ assets invested in debt and debt funds that are Level 1 assets and measured at NAV or its equivalent as a practical expedient, and 7% and 3%, respectively, of the plans’ assets invested in cash, which is a Level 1 asset, or in alternative investment funds that are primarily measured at NAV.</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78"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$14,454, $12,493 and $11,904 for the years ended December 31, 2016, 2015 and 2014,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7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18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2016, 2015 and 2014,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8,177</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 and local (primarily UBT)</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140"/>
              <w:spacing w:after="0"/>
              <w:rPr>
                <w:sz w:val="20"/>
                <w:szCs w:val="20"/>
                <w:color w:val="auto"/>
              </w:rPr>
            </w:pPr>
            <w:r>
              <w:rPr>
                <w:rFonts w:ascii="Arial" w:cs="Arial" w:eastAsia="Arial" w:hAnsi="Arial"/>
                <w:sz w:val="18"/>
                <w:szCs w:val="18"/>
                <w:color w:val="auto"/>
              </w:rPr>
              <w:t>Deferred:</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(988,900)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Foreign</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(107,925)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1140"/>
              <w:spacing w:after="0"/>
              <w:rPr>
                <w:sz w:val="20"/>
                <w:szCs w:val="20"/>
                <w:color w:val="auto"/>
              </w:rPr>
            </w:pPr>
            <w:r>
              <w:rPr>
                <w:rFonts w:ascii="Arial" w:cs="Arial" w:eastAsia="Arial" w:hAnsi="Arial"/>
                <w:sz w:val="18"/>
                <w:szCs w:val="18"/>
                <w:color w:val="auto"/>
              </w:rPr>
              <w:t>Total deferred</w:t>
            </w:r>
          </w:p>
        </w:tc>
        <w:tc>
          <w:tcPr>
            <w:tcW w:w="19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63,660</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(1,100,785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(1,009,552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900" w:type="dxa"/>
            <w:vAlign w:val="bottom"/>
            <w:vMerge w:val="restart"/>
          </w:tcPr>
          <w:p>
            <w:pPr>
              <w:jc w:val="right"/>
              <w:ind w:right="610"/>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5220" w:type="dxa"/>
            <w:vAlign w:val="bottom"/>
            <w:tcBorders>
              <w:bottom w:val="single" w:sz="8" w:color="CFF0FC"/>
            </w:tcBorders>
            <w:gridSpan w:val="2"/>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35.0%</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Income of noncontrolling interests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source income not subject to U.S.</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income tax</w:t>
            </w: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Foreign taxes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(361.6)</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State and local taxes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Change in U.S. federal valuation allowance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060" w:type="dxa"/>
            <w:vAlign w:val="bottom"/>
          </w:tcPr>
          <w:p>
            <w:pPr>
              <w:jc w:val="right"/>
              <w:spacing w:after="0"/>
              <w:rPr>
                <w:sz w:val="20"/>
                <w:szCs w:val="20"/>
                <w:color w:val="auto"/>
              </w:rPr>
            </w:pPr>
            <w:r>
              <w:rPr>
                <w:rFonts w:ascii="Arial" w:cs="Arial" w:eastAsia="Arial" w:hAnsi="Arial"/>
                <w:sz w:val="18"/>
                <w:szCs w:val="18"/>
                <w:color w:val="auto"/>
              </w:rPr>
              <w:t>5477.0</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1140"/>
              <w:spacing w:after="0"/>
              <w:rPr>
                <w:sz w:val="20"/>
                <w:szCs w:val="20"/>
                <w:color w:val="auto"/>
              </w:rPr>
            </w:pPr>
            <w:r>
              <w:rPr>
                <w:rFonts w:ascii="Arial" w:cs="Arial" w:eastAsia="Arial" w:hAnsi="Arial"/>
                <w:sz w:val="18"/>
                <w:szCs w:val="18"/>
                <w:color w:val="auto"/>
              </w:rPr>
              <w:t>Effective income tax rate (a)</w:t>
            </w: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23.9%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6074.3%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60" w:hanging="592"/>
        <w:spacing w:after="0" w:line="259"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the year ended December 31, 2015, the effective tax rate on “operating income (loss)” includes (i) the significant effect of the release of substantially all of our valuation allowance on deferred tax assets and the recognition of deferred tax assets associated with the recording of the tax receivable agreement obligation, as described below, and (ii) the negative impact on “operating income (loss)” as a result of the provision pursuant to the tax receivable agreement.</w:t>
      </w:r>
    </w:p>
    <w:p>
      <w:pPr>
        <w:spacing w:after="0" w:line="18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See Note 20 regarding “operating income (loss)” by geographic region.</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7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Basis adjustments (a)</w:t>
            </w:r>
          </w:p>
        </w:tc>
        <w:tc>
          <w:tcPr>
            <w:tcW w:w="2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692,430</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727,696</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204,780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285,694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309,811</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1,230,619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1,279,281</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(69,593)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(89,251)</w:t>
            </w:r>
          </w:p>
        </w:tc>
      </w:tr>
      <w:tr>
        <w:trPr>
          <w:trHeight w:val="223"/>
        </w:trPr>
        <w:tc>
          <w:tcPr>
            <w:tcW w:w="5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1,161,026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1,190,030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28,370</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70,539</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1,119,491</w:t>
            </w:r>
          </w:p>
        </w:tc>
        <w:tc>
          <w:tcPr>
            <w:tcW w:w="1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40" w:hanging="59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basis adjustments recorded as of December 31, 2016 and 2015 are primarily the result of additional basis from acquisitions of interests, including the impact of recording the tax receivable agreement obligation during the year ended December 31, 2015.</w:t>
      </w:r>
    </w:p>
    <w:p>
      <w:pPr>
        <w:spacing w:after="0" w:line="184"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2014, the Company had a valuation allowance on substantially all of our deferred tax assets at that time. Certain of our tax-paying entities at which we have historically recorded significant valuation allowances were profitable on a cumulative basis for the three year period ended June 30, 2015. In assessing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93"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As a result, during the year ended December 31, 2015, we recorded a deferred tax benefit of approximately $878,000. In addition, included in basis adjustments, we also recorded (i) a separate deferred tax benefit of approximately $378,000 that reflected the tax deductibility of payments under the tax receivable agreement and (ii) a deferred tax expense of approximately $161,000 relating to the reduction of a deferred tax asset as a result of the partial extinguishment of our tax receivable agreement obligation. See Note 18 for more information regarding our accrual under the tax receivable agreement in the second quarter of 2015 and the partial extinguishment of our tax receivable agreement obligation in the third quarter of 2015.</w:t>
      </w:r>
    </w:p>
    <w:p>
      <w:pPr>
        <w:spacing w:after="0" w:line="173"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$69,593 and $89,251 of deferred tax assets held by these entities as of December 31, 2016 and 2015, respectively.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2016, 2015 and 2014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1,044,152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1,225,305</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Credited to provision for income taxes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(15,981)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(954,487)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(203,051)</w:t>
            </w: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and</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FF0FC"/>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1,044,152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154305</wp:posOffset>
            </wp:positionV>
            <wp:extent cx="7372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63" w:lineRule="exact"/>
        <w:rPr>
          <w:sz w:val="20"/>
          <w:szCs w:val="20"/>
          <w:color w:val="auto"/>
        </w:rPr>
      </w:pPr>
    </w:p>
    <w:p>
      <w:pPr>
        <w:ind w:left="600" w:hanging="592"/>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2016 includes acquisition-related deferred tax assets offset by a valuation allowance in the amount of $2,271.</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$285,694 were recorded at December 31, 2016 primarily relating to:</w:t>
      </w:r>
    </w:p>
    <w:p>
      <w:pPr>
        <w:spacing w:after="0" w:line="62" w:lineRule="exact"/>
        <w:rPr>
          <w:sz w:val="20"/>
          <w:szCs w:val="20"/>
          <w:color w:val="auto"/>
        </w:rPr>
      </w:pPr>
    </w:p>
    <w:p>
      <w:pPr>
        <w:ind w:left="1200" w:hanging="598"/>
        <w:spacing w:after="0"/>
        <w:tabs>
          <w:tab w:leader="none" w:pos="12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indefinite-lived carryforwards (subject to various limitations) of approximately $16,546, in Australia, Hong Kong, Singapore and Spain;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carryforwards of approximately $235,986 in the U.S., which begin expiring in 2029.</w:t>
      </w:r>
    </w:p>
    <w:p>
      <w:pPr>
        <w:spacing w:after="0" w:line="225"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2016 and 2015 of $93,634 and $111,587, respectively, are not included in the deferred tax assets and liabilities table above. The impact of such excess tax deductions will be included in deferred tax assets upon adoption of new accounting guidance (see Note 3).</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4" w:name="page125"/>
    <w:bookmarkEnd w:id="124"/>
    <w:p>
      <w:pPr>
        <w:jc w:val="center"/>
        <w:ind w:right="-19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2012.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reconciliation of the beginning to the ending amount of gross unrecognized tax benefits (excluding interest and penalties)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is as follows: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$13,083, $13,004 and $12,200,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77,280</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(16,191)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$15,392, $13,083 and $13,004,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78,396</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77,280</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w w:val="95"/>
              </w:rPr>
              <w:t>Additional information with respect to unrecognized tax benefits is as follows:</w:t>
            </w: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$15,392,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$13,083 and $13,004,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74,785</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Unrecognized tax benefits that, if recognized, would not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affect the effective tax rate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12,224</w:t>
            </w:r>
          </w:p>
        </w:tc>
        <w:tc>
          <w:tcPr>
            <w:tcW w:w="1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15,578</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$3,143, $3,865 and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$3,177,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$23,000 of unrecognized tax benefits, including interest and penalties recorded at December 31, 2016, may be recognized within 12 months as a result of the lapse of the statute of limitations in various tax jurisdictions.</w:t>
      </w: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2016, 2015 and 2014 are computed as described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inclusion of shares of Class A common stock issuable on a non-contingent basis.</w:t>
      </w:r>
    </w:p>
    <w:p>
      <w:pPr>
        <w:spacing w:after="0" w:line="170"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as in the basic net income per share calculation described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plus, to the extent applicable and dilutive, (i) changes in net income attributable to noncontrolling interests resulting from assumed Class A common stock issuances in connection with share-based incentive compensation and, in 2014, on an “as-if-exchanged” basis, amounts applicable to LAZ-MD Holdings exchangeable interests and (ii) income tax related to (i) above.</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 xml:space="preserve">Denominator </w:t>
      </w:r>
      <w:r>
        <w:rPr>
          <w:rFonts w:ascii="Arial" w:cs="Arial" w:eastAsia="Arial" w:hAnsi="Arial"/>
          <w:sz w:val="18"/>
          <w:szCs w:val="18"/>
          <w:color w:val="auto"/>
        </w:rPr>
        <w:t>—utilizes the weighted average number of shares of Class A common stock outstanding for the respective years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 and, in 2014, LAZ-MD Holdings exchangeable interests, using the “treasury stock” method or the “as-if-exchanged” basis, as applicable.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2016, 2015 and 2014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Adjustments to net income relating to interest expense and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changes to net income attributable to noncontrolling interests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resulting from assumed Class A common stock issuances in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connection with share-based incentive compensation, and,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 2014, exchangable interests, net of tax</w:t>
            </w:r>
          </w:p>
        </w:tc>
        <w:tc>
          <w:tcPr>
            <w:tcW w:w="6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diluted</w:t>
            </w: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124,635,160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125,294,261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121,942,939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Add - adjustment for shares of Class A common stock issuable on</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non-contingent basis</w:t>
            </w:r>
          </w:p>
        </w:tc>
        <w:tc>
          <w:tcPr>
            <w:tcW w:w="6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135,241</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72,011</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124,770,401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125,366,272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122,351,836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Add - dilutive effect, as applicable, of:</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common stock issuable from share-based incentive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compensation and in 2014, exchangable interests</w:t>
            </w:r>
          </w:p>
        </w:tc>
        <w:tc>
          <w:tcPr>
            <w:tcW w:w="6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7,863,229</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7,878,274</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11,461,287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6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132,633,630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133,244,546</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133,813,123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00" w:right="9220" w:hanging="292"/>
        <w:spacing w:after="0" w:line="397" w:lineRule="auto"/>
        <w:tabs>
          <w:tab w:leader="none" w:pos="595" w:val="left"/>
        </w:tabs>
        <w:numPr>
          <w:ilvl w:val="0"/>
          <w:numId w:val="8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$516,667, 534,752 and $532,415 for the years ended December 31, 2016, 2015 and 2014, respectively, and are included in “asset management fees” on the consolidated statements of operations. Of such amounts, $49,944 and $42,002 remained as receivables at December 31, 2016 and 2015, respectively, and are included in “fees receivable” on the consolidated statements of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60" w:firstLine="59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firstLine="8"/>
        <w:spacing w:after="0" w:line="270" w:lineRule="auto"/>
        <w:tabs>
          <w:tab w:leader="none" w:pos="2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approximately 45% (following the July 2015 purchase described below)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79"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As described in Note 16,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81"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the “provision (benefit) for income taxes”.</w:t>
      </w:r>
    </w:p>
    <w:p>
      <w:pPr>
        <w:spacing w:after="0" w:line="158"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89"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For the years ended December 31, 2015 and 2014, the Company recorded a “provision (benefit) pursuant to tax receivable agreement” on the consolidated statements of operations of $547,691 and $18,307, respectively. The cumulative liability relating to our obligations under the Amended and Restated Tax Receivable Agreement as of December 31, 2016 and 2015 was $513,610 and $523,962, respectively, and is recorded in “tax receivable agreement obligation” on the consolidated statements of financial condition. The balance at December 31, 2016 reflects a payment made under the Amended and Restated Tax Receivable Agreement in the first quarter of 2016 of $10,086.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 and other related parties.</w:t>
      </w:r>
    </w:p>
    <w:p>
      <w:pPr>
        <w:spacing w:after="0" w:line="360" w:lineRule="exact"/>
        <w:rPr>
          <w:sz w:val="20"/>
          <w:szCs w:val="20"/>
          <w:color w:val="auto"/>
        </w:rPr>
      </w:pPr>
    </w:p>
    <w:p>
      <w:pPr>
        <w:ind w:left="600" w:hanging="592"/>
        <w:spacing w:after="0"/>
        <w:tabs>
          <w:tab w:leader="none" w:pos="60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40" w:firstLine="59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2016, LFNY’s regulatory net capital was $182,571, which exceeded the minimum requirement by $176,352. LFNY’s aggregate indebtedness to net capital ratio was 0.51:1 as of December 31, 2016.</w:t>
      </w:r>
    </w:p>
    <w:p>
      <w:pPr>
        <w:spacing w:after="0" w:line="198"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2016, the aggregate regulatory net capital of the U.K. Subsidiaries was $125,426, which exceeded the minimum requirement by $109,581.</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December 31, 2016, the consolidated regulatory net capital of CFLF was $131,227, which exceeded the minimum requirement set for regulatory capital levels by $94,318.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2016, the regulatory net capital of the combined European regulated group was $159,102, which exceeded the minimum requirement set for regulatory capital levels by $84,949.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2016, for those subsidiaries with regulatory capital requirements, their aggregate net capital was $123,351, which exceeded the minimum required capital by $98,902.</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2016, each of these subsidiaries individually was in compliance with its regulatory capital requirements.</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2016, 2015 and 2014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40" w:hanging="598"/>
        <w:spacing w:after="0" w:line="308" w:lineRule="auto"/>
        <w:tabs>
          <w:tab w:leader="none" w:pos="12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the years ended December 31, 2016, 2015 and 2014, no individual client constituted more than 10% of the net revenue of any of the Company’s business segments.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1,279,628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1,206,734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1,017,055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1,005,837</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977,681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283,989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907,035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763,374</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1,051,316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1,111,105</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1,134,595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374,307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645,653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640,034</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627,593</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(664,718)</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 (c)</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3,003,820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3,074,366</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1,951,369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2,333,371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2,353,608</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2,300,447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2,370,228</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1,780,982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 (c)</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4,477,774</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3,325,329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25,416</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34,464</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hanging="592"/>
        <w:spacing w:after="0" w:line="277"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Operating expenses include $547,691 and $18,307 for the years ended December 31, 2015 and 2014, respectively, recorded for the provision pursuant to the tax receivable agreement. See Note 18 for information regarding the tax receivable agreement obligation.</w:t>
      </w:r>
    </w:p>
    <w:p>
      <w:pPr>
        <w:spacing w:after="0" w:line="278" w:lineRule="exact"/>
        <w:rPr>
          <w:rFonts w:ascii="Arial" w:cs="Arial" w:eastAsia="Arial" w:hAnsi="Arial"/>
          <w:sz w:val="18"/>
          <w:szCs w:val="18"/>
          <w:color w:val="auto"/>
        </w:rPr>
      </w:pPr>
    </w:p>
    <w:p>
      <w:pPr>
        <w:ind w:left="600" w:right="40" w:hanging="592"/>
        <w:spacing w:after="0" w:line="277" w:lineRule="auto"/>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of December 31, 2015 and 2014, reflects the retrospective application of new guidance adopted by the Company on classification of debt issuance costs. See Note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gridSpan w:val="9"/>
          </w:tcPr>
          <w:p>
            <w:pPr>
              <w:ind w:left="42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1,373,439</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1,310,577</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1,308,220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311,028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2,333,371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2,353,608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2,300,447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580"/>
              <w:spacing w:after="0"/>
              <w:rPr>
                <w:sz w:val="20"/>
                <w:szCs w:val="20"/>
                <w:color w:val="auto"/>
              </w:rPr>
            </w:pPr>
            <w:r>
              <w:rPr>
                <w:rFonts w:ascii="Arial" w:cs="Arial" w:eastAsia="Arial" w:hAnsi="Arial"/>
                <w:sz w:val="18"/>
                <w:szCs w:val="18"/>
                <w:color w:val="auto"/>
              </w:rPr>
              <w:t>Operating Income (Loss):</w:t>
            </w: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States (a)</w:t>
            </w:r>
          </w:p>
        </w:tc>
        <w:tc>
          <w:tcPr>
            <w:tcW w:w="2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332,643</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(259,344)</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517,461</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519,465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States (b)</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2,967,380</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2,800,691</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1,833,975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899,738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(b)</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4,477,774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3,325,329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80" w:hanging="440"/>
        <w:spacing w:after="0" w:line="308" w:lineRule="auto"/>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Operating income (loss) includes $547,691 and $18,307 for the years ended December 31, 2015 and 2014, respectively, recorded for the provision pursuant to the tax receivable agreement. See Note 18 for information regarding the tax receivable agreement obligation.</w:t>
      </w:r>
    </w:p>
    <w:p>
      <w:pPr>
        <w:spacing w:after="0" w:line="146" w:lineRule="exact"/>
        <w:rPr>
          <w:rFonts w:ascii="Arial" w:cs="Arial" w:eastAsia="Arial" w:hAnsi="Arial"/>
          <w:sz w:val="17"/>
          <w:szCs w:val="17"/>
          <w:color w:val="auto"/>
        </w:rPr>
      </w:pPr>
    </w:p>
    <w:p>
      <w:pPr>
        <w:ind w:left="880" w:right="420" w:hanging="440"/>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December 31, 2015 and 2014, reflects the retrospective application of new guidance adopted by the Company on classification of debt issuance costs. See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2016 and 2015.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2016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498,218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534,680</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2,333,371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459,916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534,709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1,815,910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98,377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113,236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148,992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156,856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81,364</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112,536</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127,982</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0.61</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1640"/>
              <w:spacing w:after="0"/>
              <w:rPr>
                <w:sz w:val="20"/>
                <w:szCs w:val="20"/>
                <w:color w:val="auto"/>
              </w:rPr>
            </w:pPr>
            <w:r>
              <w:rPr>
                <w:rFonts w:ascii="Arial" w:cs="Arial" w:eastAsia="Arial" w:hAnsi="Arial"/>
                <w:sz w:val="14"/>
                <w:szCs w:val="14"/>
                <w:b w:val="1"/>
                <w:bCs w:val="1"/>
                <w:color w:val="auto"/>
                <w:w w:val="95"/>
              </w:rPr>
              <w:t>2015 Fiscal Quarter</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First (a)</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Second (b)</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Third (b)</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Fourth (b)</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gridSpan w:val="8"/>
          </w:tcPr>
          <w:p>
            <w:pPr>
              <w:jc w:val="right"/>
              <w:ind w:right="880"/>
              <w:spacing w:after="0" w:line="155" w:lineRule="exact"/>
              <w:rPr>
                <w:sz w:val="20"/>
                <w:szCs w:val="20"/>
                <w:color w:val="auto"/>
              </w:rPr>
            </w:pPr>
            <w:r>
              <w:rPr>
                <w:rFonts w:ascii="Arial" w:cs="Arial" w:eastAsia="Arial" w:hAnsi="Arial"/>
                <w:sz w:val="14"/>
                <w:szCs w:val="14"/>
                <w:b w:val="1"/>
                <w:bCs w:val="1"/>
                <w:color w:val="auto"/>
              </w:rPr>
              <w:t>(dollars in thousands, except per share data)</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577,749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573,518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2,353,608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503,086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1,410,468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2,370,228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(801,376</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570,744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139,349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62,646</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375,155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399,790</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15now getting5,341</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(loss) attributable to</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Lazard Ltd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55,953</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398,521</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157,786</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11 for information regarding the debt refinancing.</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18 for information regarding the provision pursuant to the tax receivable agreement.</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3" w:name="page134"/>
    <w:bookmarkEnd w:id="133"/>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2016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34" w:name="page135"/>
    <w:bookmarkEnd w:id="134"/>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right="40" w:firstLine="598"/>
        <w:spacing w:after="0" w:line="28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2017 annual general meeting of shareholders, which will be held in April 2017, and is incorporated herein by reference.</w:t>
      </w:r>
    </w:p>
    <w:p>
      <w:pPr>
        <w:ind w:right="840"/>
        <w:spacing w:after="0" w:line="261" w:lineRule="auto"/>
        <w:rPr>
          <w:sz w:val="20"/>
          <w:szCs w:val="20"/>
          <w:color w:val="auto"/>
        </w:rPr>
      </w:pPr>
      <w:r>
        <w:rPr>
          <w:rFonts w:ascii="Arial" w:cs="Arial" w:eastAsia="Arial" w:hAnsi="Arial"/>
          <w:sz w:val="18"/>
          <w:szCs w:val="18"/>
          <w:color w:val="auto"/>
        </w:rPr>
        <w:t>Information regarding our executive officers is included in Part I of this Annual Report on Form 10-K under the caption “Executive Officers of the Registrant.”</w:t>
      </w:r>
    </w:p>
    <w:p>
      <w:pPr>
        <w:spacing w:after="0" w:line="184"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and Compliance” in Lazard Ltd’s definitive proxy statement for its 2017 annual general meeting of shareholders, and is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2017 annual general meeting of shareholders, which will be held in April 2017, and is incorporated herein by reference.</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Information regarding security ownership of certain beneficial owners and management and related shareholder matters will be presented in Lazard Ltd’s definitive proxy statement for its 2017 annual general meeting of shareholders, which will be held in April 2017,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The following table provides information as of December 31, 2016 regarding securities issued under our 2005 Equity Incentive Plan and 2008 Incentive Compensation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2"/>
                <w:szCs w:val="12"/>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Weighted-Average</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4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4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42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Reflected in the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42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Warrants and Rights</w:t>
            </w: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Second Column)</w:t>
            </w:r>
          </w:p>
        </w:tc>
        <w:tc>
          <w:tcPr>
            <w:tcW w:w="0" w:type="dxa"/>
            <w:vAlign w:val="bottom"/>
          </w:tcPr>
          <w:p>
            <w:pPr>
              <w:spacing w:after="0"/>
              <w:rPr>
                <w:sz w:val="1"/>
                <w:szCs w:val="1"/>
                <w:color w:val="auto"/>
              </w:rPr>
            </w:pPr>
          </w:p>
        </w:tc>
      </w:tr>
      <w:tr>
        <w:trPr>
          <w:trHeight w:val="209"/>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12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2"/>
              </w:rPr>
              <w:t>2008 Incentive</w:t>
            </w: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plans approved by</w:t>
            </w:r>
          </w:p>
        </w:tc>
        <w:tc>
          <w:tcPr>
            <w:tcW w:w="1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Compensation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15,187,879</w:t>
            </w:r>
          </w:p>
        </w:tc>
        <w:tc>
          <w:tcPr>
            <w:tcW w:w="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23,741,948</w:t>
            </w: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Equity compensation</w:t>
            </w:r>
          </w:p>
        </w:tc>
        <w:tc>
          <w:tcPr>
            <w:tcW w:w="1220" w:type="dxa"/>
            <w:vAlign w:val="bottom"/>
          </w:tcPr>
          <w:p>
            <w:pPr>
              <w:ind w:left="120"/>
              <w:spacing w:after="0"/>
              <w:rPr>
                <w:sz w:val="20"/>
                <w:szCs w:val="20"/>
                <w:color w:val="auto"/>
              </w:rPr>
            </w:pPr>
            <w:r>
              <w:rPr>
                <w:rFonts w:ascii="Arial" w:cs="Arial" w:eastAsia="Arial" w:hAnsi="Arial"/>
                <w:sz w:val="18"/>
                <w:szCs w:val="18"/>
                <w:color w:val="auto"/>
              </w:rPr>
              <w:t>2005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plans not approved by</w:t>
            </w:r>
          </w:p>
        </w:tc>
        <w:tc>
          <w:tcPr>
            <w:tcW w:w="1220" w:type="dxa"/>
            <w:vAlign w:val="bottom"/>
          </w:tcPr>
          <w:p>
            <w:pPr>
              <w:ind w:left="120"/>
              <w:spacing w:after="0"/>
              <w:rPr>
                <w:sz w:val="20"/>
                <w:szCs w:val="20"/>
                <w:color w:val="auto"/>
              </w:rPr>
            </w:pPr>
            <w:r>
              <w:rPr>
                <w:rFonts w:ascii="Arial" w:cs="Arial" w:eastAsia="Arial" w:hAnsi="Arial"/>
                <w:sz w:val="18"/>
                <w:szCs w:val="18"/>
                <w:color w:val="auto"/>
              </w:rPr>
              <w:t>Incentive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220" w:type="dxa"/>
            <w:vAlign w:val="bottom"/>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32,810</w:t>
            </w:r>
          </w:p>
        </w:tc>
        <w:tc>
          <w:tcPr>
            <w:tcW w:w="42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15,220,689</w:t>
            </w:r>
          </w:p>
        </w:tc>
        <w:tc>
          <w:tcPr>
            <w:tcW w:w="420" w:type="dxa"/>
            <w:vAlign w:val="bottom"/>
            <w:tcBorders>
              <w:top w:val="single" w:sz="8" w:color="CFF0FC"/>
              <w:bottom w:val="single" w:sz="8" w:color="CFF0FC"/>
            </w:tcBorders>
            <w:shd w:val="clear" w:color="auto" w:fill="CFF0FC"/>
          </w:tcPr>
          <w:p>
            <w:pPr>
              <w:jc w:val="right"/>
              <w:ind w:right="63"/>
              <w:spacing w:after="0"/>
              <w:rPr>
                <w:sz w:val="20"/>
                <w:szCs w:val="20"/>
                <w:color w:val="auto"/>
              </w:rPr>
            </w:pPr>
            <w:r>
              <w:rPr>
                <w:rFonts w:ascii="Arial" w:cs="Arial" w:eastAsia="Arial" w:hAnsi="Arial"/>
                <w:sz w:val="15"/>
                <w:szCs w:val="15"/>
                <w:color w:val="auto"/>
              </w:rPr>
              <w:t>(3)</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23,741,948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20" w:hanging="592"/>
        <w:spacing w:after="0" w:line="259" w:lineRule="auto"/>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 shares subject to outstanding awards under the 2008 Incentive Compensation Plan may not exceed 30% of the aggregate number of then-outstanding shares of Lazard Ltd Class A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5" w:name="page136"/>
    <w:bookmarkEnd w:id="135"/>
    <w:p>
      <w:pPr>
        <w:ind w:left="600" w:hanging="592"/>
        <w:spacing w:after="0" w:line="264"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2005 Equity Incentive Plan was established prior to our equity public offering in May 2005 and, as a result, did not require approval by security holders. The 2005 Equity Incentive Plan expired in the second quarter of 2015, although awards granted under the 2005 Equity Incentive Plan remain outstanding and continue to be subject to its terms.</w:t>
      </w:r>
    </w:p>
    <w:p>
      <w:pPr>
        <w:spacing w:after="0" w:line="73" w:lineRule="exact"/>
        <w:rPr>
          <w:rFonts w:ascii="Arial" w:cs="Arial" w:eastAsia="Arial" w:hAnsi="Arial"/>
          <w:sz w:val="18"/>
          <w:szCs w:val="18"/>
          <w:color w:val="auto"/>
        </w:rPr>
      </w:pPr>
    </w:p>
    <w:p>
      <w:pPr>
        <w:jc w:val="both"/>
        <w:ind w:left="600" w:right="80" w:hanging="592"/>
        <w:spacing w:after="0" w:line="264"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outstanding stock unit awards, after giving effect to forfeitures, as of December 31, 2016. As of that date, the only grants made under the 2008 Incentive Compensation Plan and 2005 Equity Incentive Plan have been in the form of stock unit awards and restricted stock awards. See Note 14 of Notes to Consolidated Financial Statements for a description of the plans.</w:t>
      </w:r>
    </w:p>
    <w:p>
      <w:pPr>
        <w:spacing w:after="0" w:line="73" w:lineRule="exact"/>
        <w:rPr>
          <w:rFonts w:ascii="Arial" w:cs="Arial" w:eastAsia="Arial" w:hAnsi="Arial"/>
          <w:sz w:val="18"/>
          <w:szCs w:val="18"/>
          <w:color w:val="auto"/>
        </w:rPr>
      </w:pPr>
    </w:p>
    <w:p>
      <w:pPr>
        <w:ind w:left="600" w:hanging="592"/>
        <w:spacing w:after="0" w:line="257"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restricted stock unit awarded under our 2008 Incentive Compensation Plan and 2005 Equity Incentive Plan was granted at no cost to the persons receiving them and represents the contingent right to receive the equivalent number of shares of Lazard Ltd Class A common stock. Performance– based restricted stock units awarded represent the contingent right to receive Class A common stock based on the achievement of performance criteria, and the number of shares of Class A common stock that ultimately may be received generally can range from zero to two times the target number.</w:t>
      </w:r>
    </w:p>
    <w:p>
      <w:pPr>
        <w:spacing w:after="0" w:line="80" w:lineRule="exact"/>
        <w:rPr>
          <w:rFonts w:ascii="Arial" w:cs="Arial" w:eastAsia="Arial" w:hAnsi="Arial"/>
          <w:sz w:val="18"/>
          <w:szCs w:val="18"/>
          <w:color w:val="auto"/>
        </w:rPr>
      </w:pPr>
    </w:p>
    <w:p>
      <w:pPr>
        <w:ind w:left="600" w:right="100" w:hanging="592"/>
        <w:spacing w:after="0" w:line="277" w:lineRule="auto"/>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Gives effect to the number of securities remaining available for future issuance, after considering the impact of vested restricted stock units that will not be delivered as a result of withholding taxes.</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Information regarding certain relationships and related transactions, and director independence, will be presented in Lazard Ltd’s definitive proxy statement for its 2017 annual general meeting of shareholders, which will be held in April 2017, and is incorporated herein by reference.</w:t>
      </w:r>
    </w:p>
    <w:p>
      <w:pPr>
        <w:spacing w:after="0" w:line="33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2017 annual general meeting of shareholders, which will be held in April 2017,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58"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Ratio of Earnings to Fixed Charges has been included as Exhibit 12.1. All other schedules have been omitted because they are not applicable, not required or the information required is included in the Company’s consolidated financial statements or notes thereto.</w:t>
      </w:r>
    </w:p>
    <w:p>
      <w:pPr>
        <w:spacing w:after="0" w:line="74"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0640" w:type="dxa"/>
            <w:vAlign w:val="bottom"/>
          </w:tcPr>
          <w:p>
            <w:pPr>
              <w:ind w:left="460"/>
              <w:spacing w:after="0"/>
              <w:rPr>
                <w:sz w:val="20"/>
                <w:szCs w:val="20"/>
                <w:color w:val="auto"/>
              </w:rPr>
            </w:pPr>
            <w:r>
              <w:rPr>
                <w:rFonts w:ascii="Arial" w:cs="Arial" w:eastAsia="Arial" w:hAnsi="Arial"/>
                <w:sz w:val="18"/>
                <w:szCs w:val="18"/>
                <w:color w:val="auto"/>
                <w:w w:val="93"/>
              </w:rPr>
              <w:t>Certificate of Incorporation and Memorandum of Association of the Registrant (incorporated by reference to Exhibit 3.1 to the Registrant’s</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10640" w:type="dxa"/>
            <w:vAlign w:val="bottom"/>
          </w:tcPr>
          <w:p>
            <w:pPr>
              <w:ind w:left="460"/>
              <w:spacing w:after="0"/>
              <w:rPr>
                <w:sz w:val="20"/>
                <w:szCs w:val="20"/>
                <w:color w:val="auto"/>
              </w:rPr>
            </w:pPr>
            <w:r>
              <w:rPr>
                <w:rFonts w:ascii="Arial" w:cs="Arial" w:eastAsia="Arial" w:hAnsi="Arial"/>
                <w:sz w:val="18"/>
                <w:szCs w:val="18"/>
                <w:color w:val="auto"/>
                <w:w w:val="93"/>
              </w:rPr>
              <w:t>Certificate of Incorporation in Change of Name of the Registrant (incorporated by reference to Exhibit 3.2 to the Registrant’s Registration</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0640" w:type="dxa"/>
            <w:vAlign w:val="bottom"/>
          </w:tcPr>
          <w:p>
            <w:pPr>
              <w:ind w:left="460"/>
              <w:spacing w:after="0"/>
              <w:rPr>
                <w:sz w:val="20"/>
                <w:szCs w:val="20"/>
                <w:color w:val="auto"/>
              </w:rPr>
            </w:pPr>
            <w:r>
              <w:rPr>
                <w:rFonts w:ascii="Arial" w:cs="Arial" w:eastAsia="Arial" w:hAnsi="Arial"/>
                <w:sz w:val="18"/>
                <w:szCs w:val="18"/>
                <w:color w:val="auto"/>
                <w:w w:val="94"/>
              </w:rPr>
              <w:t>Amended and Restated Bye-Laws of Lazard Ltd (incorporated by reference to Exhibit 3.3 to the Registrant’s Quarterly Report (File No.</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001-32492) on Form 10-Q filed on June 16, 2005).</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3.4</w:t>
            </w:r>
          </w:p>
        </w:tc>
        <w:tc>
          <w:tcPr>
            <w:tcW w:w="10640" w:type="dxa"/>
            <w:vAlign w:val="bottom"/>
          </w:tcPr>
          <w:p>
            <w:pPr>
              <w:ind w:left="460"/>
              <w:spacing w:after="0"/>
              <w:rPr>
                <w:sz w:val="20"/>
                <w:szCs w:val="20"/>
                <w:color w:val="auto"/>
              </w:rPr>
            </w:pPr>
            <w:r>
              <w:rPr>
                <w:rFonts w:ascii="Arial" w:cs="Arial" w:eastAsia="Arial" w:hAnsi="Arial"/>
                <w:sz w:val="18"/>
                <w:szCs w:val="18"/>
                <w:color w:val="auto"/>
                <w:w w:val="92"/>
              </w:rPr>
              <w:t>First Amendment to Amended and Restated Bye-Laws of Lazard Ltd (incorporated by reference to Exhibit 3.4 to the Registrant’s Quarterly</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0640" w:type="dxa"/>
            <w:vAlign w:val="bottom"/>
          </w:tcPr>
          <w:p>
            <w:pPr>
              <w:ind w:left="460"/>
              <w:spacing w:after="0"/>
              <w:rPr>
                <w:sz w:val="20"/>
                <w:szCs w:val="20"/>
                <w:color w:val="auto"/>
              </w:rPr>
            </w:pPr>
            <w:r>
              <w:rPr>
                <w:rFonts w:ascii="Arial" w:cs="Arial" w:eastAsia="Arial" w:hAnsi="Arial"/>
                <w:sz w:val="18"/>
                <w:szCs w:val="18"/>
                <w:color w:val="auto"/>
                <w:w w:val="94"/>
              </w:rPr>
              <w:t>Second Amendment to the Amended and Restated Bye-Laws of Lazard Ltd (incorporated by reference to Exhibit 3.5 to the Registrant’s</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0640" w:type="dxa"/>
            <w:vAlign w:val="bottom"/>
          </w:tcPr>
          <w:p>
            <w:pPr>
              <w:ind w:left="46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(File No. 333-121407) on Form S-1/A filed on April 11, 2005).</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0640" w:type="dxa"/>
            <w:vAlign w:val="bottom"/>
          </w:tcPr>
          <w:p>
            <w:pPr>
              <w:ind w:left="46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to Exhibit 4.1 to Lazard Group LLC’s Registration Statement (File No. 333-126751) on Form S-4 filed on July 21, 2005).</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0640" w:type="dxa"/>
            <w:vAlign w:val="bottom"/>
          </w:tcPr>
          <w:p>
            <w:pPr>
              <w:ind w:left="460"/>
              <w:spacing w:after="0"/>
              <w:rPr>
                <w:sz w:val="20"/>
                <w:szCs w:val="20"/>
                <w:color w:val="auto"/>
              </w:rPr>
            </w:pPr>
            <w:r>
              <w:rPr>
                <w:rFonts w:ascii="Arial" w:cs="Arial" w:eastAsia="Arial" w:hAnsi="Arial"/>
                <w:sz w:val="18"/>
                <w:szCs w:val="18"/>
                <w:color w:val="auto"/>
                <w:w w:val="90"/>
              </w:rPr>
              <w:t>Fourth Supplemental Indenture, dated as of June 21, 2007, between Lazard Group LLC and The Bank of New York, as trustee (incorporated</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by reference to Exhibit 4.1 to the Registrant’s Current Report on Form 8-K (File No. 001-32492) filed on June 22, 2007).</w:t>
            </w:r>
          </w:p>
        </w:tc>
      </w:tr>
      <w:tr>
        <w:trPr>
          <w:trHeight w:val="364"/>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10640" w:type="dxa"/>
            <w:vAlign w:val="bottom"/>
          </w:tcPr>
          <w:p>
            <w:pPr>
              <w:ind w:left="460"/>
              <w:spacing w:after="0"/>
              <w:rPr>
                <w:sz w:val="20"/>
                <w:szCs w:val="20"/>
                <w:color w:val="auto"/>
              </w:rPr>
            </w:pPr>
            <w:r>
              <w:rPr>
                <w:rFonts w:ascii="Arial" w:cs="Arial" w:eastAsia="Arial" w:hAnsi="Arial"/>
                <w:sz w:val="18"/>
                <w:szCs w:val="18"/>
                <w:color w:val="auto"/>
                <w:w w:val="93"/>
              </w:rPr>
              <w:t>Fifth Supplemental Indenture, dated as of November 14, 2013, between Lazard Group LLC and The Bank of New York Mellon, as trustee</w:t>
            </w:r>
          </w:p>
        </w:tc>
      </w:tr>
      <w:tr>
        <w:trPr>
          <w:trHeight w:val="216"/>
        </w:trPr>
        <w:tc>
          <w:tcPr>
            <w:tcW w:w="800" w:type="dxa"/>
            <w:vAlign w:val="bottom"/>
          </w:tcPr>
          <w:p>
            <w:pPr>
              <w:spacing w:after="0"/>
              <w:rPr>
                <w:sz w:val="18"/>
                <w:szCs w:val="18"/>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w w:val="96"/>
              </w:rPr>
              <w:t>(incorporated by reference to Exhibit 4.1 to the Registrant’s Current Report on Form 8-K (File No. 001-32492) filed on November 14,</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rPr>
              <w:t>2013).</w:t>
            </w:r>
          </w:p>
        </w:tc>
      </w:tr>
      <w:tr>
        <w:trPr>
          <w:trHeight w:val="323"/>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4.5</w:t>
            </w:r>
          </w:p>
        </w:tc>
        <w:tc>
          <w:tcPr>
            <w:tcW w:w="10640" w:type="dxa"/>
            <w:vAlign w:val="bottom"/>
          </w:tcPr>
          <w:p>
            <w:pPr>
              <w:ind w:left="460"/>
              <w:spacing w:after="0"/>
              <w:rPr>
                <w:sz w:val="20"/>
                <w:szCs w:val="20"/>
                <w:color w:val="auto"/>
              </w:rPr>
            </w:pPr>
            <w:r>
              <w:rPr>
                <w:rFonts w:ascii="Arial" w:cs="Arial" w:eastAsia="Arial" w:hAnsi="Arial"/>
                <w:sz w:val="18"/>
                <w:szCs w:val="18"/>
                <w:color w:val="auto"/>
                <w:w w:val="93"/>
              </w:rPr>
              <w:t>Sixth Supplemental Indenture, dated as of February 13, 2015, between Lazard Group LLC and The Bank of New York Mellon, as trustee</w:t>
            </w:r>
          </w:p>
        </w:tc>
      </w:tr>
      <w:tr>
        <w:trPr>
          <w:trHeight w:val="230"/>
        </w:trPr>
        <w:tc>
          <w:tcPr>
            <w:tcW w:w="800" w:type="dxa"/>
            <w:vAlign w:val="bottom"/>
          </w:tcPr>
          <w:p>
            <w:pPr>
              <w:spacing w:after="0"/>
              <w:rPr>
                <w:sz w:val="20"/>
                <w:szCs w:val="20"/>
                <w:color w:val="auto"/>
              </w:rPr>
            </w:pPr>
          </w:p>
        </w:tc>
        <w:tc>
          <w:tcPr>
            <w:tcW w:w="10640" w:type="dxa"/>
            <w:vAlign w:val="bottom"/>
          </w:tcPr>
          <w:p>
            <w:pPr>
              <w:ind w:left="460"/>
              <w:spacing w:after="0"/>
              <w:rPr>
                <w:sz w:val="20"/>
                <w:szCs w:val="20"/>
                <w:color w:val="auto"/>
              </w:rPr>
            </w:pPr>
            <w:r>
              <w:rPr>
                <w:rFonts w:ascii="Arial" w:cs="Arial" w:eastAsia="Arial" w:hAnsi="Arial"/>
                <w:sz w:val="18"/>
                <w:szCs w:val="18"/>
                <w:color w:val="auto"/>
                <w:w w:val="92"/>
              </w:rPr>
              <w:t>(incorporated by reference to Exhibit 4.1 of the Registrant’s Current Report on Form 8-K (File No. 001-32492) filed on February 13, 2015).</w:t>
            </w:r>
          </w:p>
        </w:tc>
      </w:tr>
      <w:tr>
        <w:trPr>
          <w:trHeight w:val="338"/>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0640" w:type="dxa"/>
            <w:vAlign w:val="bottom"/>
          </w:tcPr>
          <w:p>
            <w:pPr>
              <w:ind w:left="460"/>
              <w:spacing w:after="0"/>
              <w:rPr>
                <w:sz w:val="20"/>
                <w:szCs w:val="20"/>
                <w:color w:val="auto"/>
              </w:rPr>
            </w:pPr>
            <w:r>
              <w:rPr>
                <w:rFonts w:ascii="Arial" w:cs="Arial" w:eastAsia="Arial" w:hAnsi="Arial"/>
                <w:sz w:val="18"/>
                <w:szCs w:val="18"/>
                <w:color w:val="auto"/>
              </w:rPr>
              <w:t>Form of Senior Note (included in Exhibits 4.3, 4.4 and 4.5).</w:t>
            </w:r>
          </w:p>
        </w:tc>
      </w:tr>
      <w:tr>
        <w:trPr>
          <w:trHeight w:val="554"/>
        </w:trPr>
        <w:tc>
          <w:tcPr>
            <w:tcW w:w="800" w:type="dxa"/>
            <w:vAlign w:val="bottom"/>
          </w:tcPr>
          <w:p>
            <w:pPr>
              <w:spacing w:after="0"/>
              <w:rPr>
                <w:sz w:val="24"/>
                <w:szCs w:val="24"/>
                <w:color w:val="auto"/>
              </w:rPr>
            </w:pPr>
          </w:p>
        </w:tc>
        <w:tc>
          <w:tcPr>
            <w:tcW w:w="10640" w:type="dxa"/>
            <w:vAlign w:val="bottom"/>
          </w:tcPr>
          <w:p>
            <w:pPr>
              <w:ind w:left="4780"/>
              <w:spacing w:after="0"/>
              <w:rPr>
                <w:sz w:val="20"/>
                <w:szCs w:val="20"/>
                <w:color w:val="auto"/>
              </w:rPr>
            </w:pPr>
            <w:r>
              <w:rPr>
                <w:rFonts w:ascii="Arial" w:cs="Arial" w:eastAsia="Arial" w:hAnsi="Arial"/>
                <w:sz w:val="18"/>
                <w:szCs w:val="18"/>
                <w:color w:val="auto"/>
              </w:rPr>
              <w:t>135</w:t>
            </w:r>
          </w:p>
        </w:tc>
      </w:tr>
      <w:tr>
        <w:trPr>
          <w:trHeight w:val="115"/>
        </w:trPr>
        <w:tc>
          <w:tcPr>
            <w:tcW w:w="800" w:type="dxa"/>
            <w:vAlign w:val="bottom"/>
            <w:tcBorders>
              <w:bottom w:val="single" w:sz="8" w:color="9A9A9A"/>
            </w:tcBorders>
          </w:tcPr>
          <w:p>
            <w:pPr>
              <w:spacing w:after="0"/>
              <w:rPr>
                <w:sz w:val="10"/>
                <w:szCs w:val="10"/>
                <w:color w:val="auto"/>
              </w:rPr>
            </w:pPr>
          </w:p>
        </w:tc>
        <w:tc>
          <w:tcPr>
            <w:tcW w:w="10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Group LLC, dated as of October 26, 2015 (incorporated by reference to Exhibit 10.1</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to Registrant’s Quarterly Report (File No. 001-32492) on Form 10-Q filed on October 28, 2015).</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Amendment No.1 to Amended and Restated Operating Agreement of Lazard Group LLC, dated as of October 27, 2016 (incorporated by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reference to Exhibit 10.2 to Registrant’s Quarterly Report (File No. 0001-32492) on Form 10-Q filed on October 28,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380"/>
              <w:spacing w:after="0"/>
              <w:rPr>
                <w:sz w:val="20"/>
                <w:szCs w:val="20"/>
                <w:color w:val="auto"/>
              </w:rPr>
            </w:pPr>
            <w:r>
              <w:rPr>
                <w:rFonts w:ascii="Arial" w:cs="Arial" w:eastAsia="Arial" w:hAnsi="Arial"/>
                <w:sz w:val="18"/>
                <w:szCs w:val="18"/>
                <w:color w:val="auto"/>
                <w:w w:val="92"/>
              </w:rPr>
              <w:t>Second Amended and Restated Tax Receivable Agreement, dated as of October 26, 2015, by and among Ltd Sub A, Ltd Sub B and LTBP</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Trust (incorporated by reference to Exhibit 10.2 to the Registrant’s Quarterly Report (File No. 001-32492) on Form 10-Q filed on October</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28, 2015).</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38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to Exhibit 10.19 to the Registrant’s Registration Statement (File No. 333-121407) on Form S-1/A filed on February 11, 2005).</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Amendment dated as of February 16, 2011, by and among RCPI Landmark Properties, L.L.C. (as the successor in interest to Rockefeller</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Center Properties), RCPI 30 Rock 22234849, L.L.C. and Lazard Group LLC (as the successor in interest to Lazard Frères &amp; Co. LLC), to</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6"/>
              </w:rPr>
              <w:t>the Lease dated as of January 27, 1994, by and among Rockefeller Center Properties and Lazard Frères &amp; Co. LLC (incorporated by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reference to Exhibit 10.16 to the Registrant’s Quarterly Report (File No. 001-32492) on Form 10-Q filed on April 29, 2011).</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380"/>
              <w:spacing w:after="0"/>
              <w:rPr>
                <w:sz w:val="20"/>
                <w:szCs w:val="20"/>
                <w:color w:val="auto"/>
              </w:rPr>
            </w:pPr>
            <w:r>
              <w:rPr>
                <w:rFonts w:ascii="Arial" w:cs="Arial" w:eastAsia="Arial" w:hAnsi="Arial"/>
                <w:sz w:val="18"/>
                <w:szCs w:val="18"/>
                <w:color w:val="auto"/>
                <w:w w:val="96"/>
              </w:rPr>
              <w:t>Occupational Lease, dated as of August 9, 2002, by and among Burford (Stratton) Nominee 1 Limited, Burford (Stratton) Nominee 2</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Limited, Burford (Stratton) Limited, Lazard &amp; Co., Limited and Lazard LLC (incorporated by reference to Exhibit 10.21 to the Registrant’s</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Registration Statement (File No. 333-121407) on Form S-1/A filed on February 11, 2005).</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380"/>
              <w:spacing w:after="0"/>
              <w:rPr>
                <w:sz w:val="20"/>
                <w:szCs w:val="20"/>
                <w:color w:val="auto"/>
              </w:rPr>
            </w:pPr>
            <w:r>
              <w:rPr>
                <w:rFonts w:ascii="Arial" w:cs="Arial" w:eastAsia="Arial" w:hAnsi="Arial"/>
                <w:sz w:val="18"/>
                <w:szCs w:val="18"/>
                <w:color w:val="auto"/>
                <w:w w:val="92"/>
              </w:rPr>
              <w:t>Lazard Ltd 2005 Equity Incentive Plan (incorporated by reference to Exhibit 10.21 to the Registrant’s Registration Statement (File No. 333-</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121407) on Form S-1/A filed on May 2, 2005).</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380"/>
              <w:spacing w:after="0"/>
              <w:rPr>
                <w:sz w:val="20"/>
                <w:szCs w:val="20"/>
                <w:color w:val="auto"/>
              </w:rPr>
            </w:pPr>
            <w:r>
              <w:rPr>
                <w:rFonts w:ascii="Arial" w:cs="Arial" w:eastAsia="Arial" w:hAnsi="Arial"/>
                <w:sz w:val="18"/>
                <w:szCs w:val="18"/>
                <w:color w:val="auto"/>
                <w:w w:val="94"/>
              </w:rPr>
              <w:t>Lazard Ltd 2008 Incentive Compensation Plan (incorporated by reference to Annex B to the Registrant’s Definitive Proxy Statement on</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Lazard Ltd 2016 French Sub-plan (incorporated by reference to Annex B to the Registrant’s Definitive Proxy Statement on Schedule 14A</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(File No. 001-32492) filed on March 10, 2016).</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380"/>
              <w:spacing w:after="0"/>
              <w:rPr>
                <w:sz w:val="20"/>
                <w:szCs w:val="20"/>
                <w:color w:val="auto"/>
              </w:rPr>
            </w:pPr>
            <w:r>
              <w:rPr>
                <w:rFonts w:ascii="Arial" w:cs="Arial" w:eastAsia="Arial" w:hAnsi="Arial"/>
                <w:sz w:val="18"/>
                <w:szCs w:val="18"/>
                <w:color w:val="auto"/>
                <w:w w:val="94"/>
              </w:rPr>
              <w:t>Amended and Restated Agreement relating to Retention and Noncompetition and Other Covenants, dated as of March 9, 2016, by and</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among the Registrant, Lazard Group LLC and Kenneth M. Jacobs (incorporated by reference to Exhibit 10.9 to the Registrant’s Quarterly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27, 2016).</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380"/>
              <w:spacing w:after="0"/>
              <w:rPr>
                <w:sz w:val="20"/>
                <w:szCs w:val="20"/>
                <w:color w:val="auto"/>
              </w:rPr>
            </w:pPr>
            <w:r>
              <w:rPr>
                <w:rFonts w:ascii="Arial" w:cs="Arial" w:eastAsia="Arial" w:hAnsi="Arial"/>
                <w:sz w:val="18"/>
                <w:szCs w:val="18"/>
                <w:color w:val="auto"/>
                <w:w w:val="94"/>
              </w:rPr>
              <w:t>Amended and Restated Agreement relating to Retention and Noncompetition and Other Covenants, dated as of March 9, 2016, by and</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5"/>
              </w:rPr>
              <w:t>among the Registrant, Lazard Group LLC and Ashish Bhutani (incorporated by reference to Exhibit 10.10 to the Registrant’s Quarterly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27, 2016).</w:t>
            </w: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380"/>
              <w:spacing w:after="0"/>
              <w:rPr>
                <w:sz w:val="20"/>
                <w:szCs w:val="20"/>
                <w:color w:val="auto"/>
              </w:rPr>
            </w:pPr>
            <w:r>
              <w:rPr>
                <w:rFonts w:ascii="Arial" w:cs="Arial" w:eastAsia="Arial" w:hAnsi="Arial"/>
                <w:sz w:val="18"/>
                <w:szCs w:val="18"/>
                <w:color w:val="auto"/>
                <w:w w:val="94"/>
              </w:rPr>
              <w:t>Amended and Restated Agreement relating to Retention and Noncompetition and Other Covenants, dated as of March 9, 2016, by and</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among the Registrant, Lazard Group LLC and Matthieu Bucaille (incorporated by reference to Exhibit 10.11 to the Registrant’s Quarterly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27, 2016).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380"/>
              <w:spacing w:after="0"/>
              <w:rPr>
                <w:sz w:val="20"/>
                <w:szCs w:val="20"/>
                <w:color w:val="auto"/>
              </w:rPr>
            </w:pPr>
            <w:r>
              <w:rPr>
                <w:rFonts w:ascii="Arial" w:cs="Arial" w:eastAsia="Arial" w:hAnsi="Arial"/>
                <w:sz w:val="18"/>
                <w:szCs w:val="18"/>
                <w:color w:val="auto"/>
                <w:w w:val="94"/>
              </w:rPr>
              <w:t>Amended and Restated Agreement relating to Retention and Noncompetition and Other Covenants, dated as of March 9, 2016, by and</w:t>
            </w:r>
          </w:p>
        </w:tc>
      </w:tr>
      <w:tr>
        <w:trPr>
          <w:trHeight w:val="216"/>
        </w:trPr>
        <w:tc>
          <w:tcPr>
            <w:tcW w:w="880" w:type="dxa"/>
            <w:vAlign w:val="bottom"/>
          </w:tcPr>
          <w:p>
            <w:pPr>
              <w:spacing w:after="0"/>
              <w:rPr>
                <w:sz w:val="18"/>
                <w:szCs w:val="18"/>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w w:val="93"/>
              </w:rPr>
              <w:t>among the Registrant, Lazard Group LLC and Scott D. Hoffman (incorporated by reference to Exhibit 10.12 to the Registrant’s Quarterly</w:t>
            </w:r>
          </w:p>
        </w:tc>
      </w:tr>
      <w:tr>
        <w:trPr>
          <w:trHeight w:val="230"/>
        </w:trPr>
        <w:tc>
          <w:tcPr>
            <w:tcW w:w="880" w:type="dxa"/>
            <w:vAlign w:val="bottom"/>
          </w:tcPr>
          <w:p>
            <w:pPr>
              <w:spacing w:after="0"/>
              <w:rPr>
                <w:sz w:val="20"/>
                <w:szCs w:val="20"/>
                <w:color w:val="auto"/>
              </w:rPr>
            </w:pPr>
          </w:p>
        </w:tc>
        <w:tc>
          <w:tcPr>
            <w:tcW w:w="1056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27, 2016).</w:t>
            </w:r>
          </w:p>
        </w:tc>
      </w:tr>
      <w:tr>
        <w:trPr>
          <w:trHeight w:val="554"/>
        </w:trPr>
        <w:tc>
          <w:tcPr>
            <w:tcW w:w="880" w:type="dxa"/>
            <w:vAlign w:val="bottom"/>
          </w:tcPr>
          <w:p>
            <w:pPr>
              <w:spacing w:after="0"/>
              <w:rPr>
                <w:sz w:val="24"/>
                <w:szCs w:val="24"/>
                <w:color w:val="auto"/>
              </w:rPr>
            </w:pPr>
          </w:p>
        </w:tc>
        <w:tc>
          <w:tcPr>
            <w:tcW w:w="10560" w:type="dxa"/>
            <w:vAlign w:val="bottom"/>
          </w:tcPr>
          <w:p>
            <w:pPr>
              <w:ind w:left="4700"/>
              <w:spacing w:after="0"/>
              <w:rPr>
                <w:sz w:val="20"/>
                <w:szCs w:val="20"/>
                <w:color w:val="auto"/>
              </w:rPr>
            </w:pPr>
            <w:r>
              <w:rPr>
                <w:rFonts w:ascii="Arial" w:cs="Arial" w:eastAsia="Arial" w:hAnsi="Arial"/>
                <w:sz w:val="18"/>
                <w:szCs w:val="18"/>
                <w:color w:val="auto"/>
              </w:rPr>
              <w:t>136</w:t>
            </w:r>
          </w:p>
        </w:tc>
      </w:tr>
      <w:tr>
        <w:trPr>
          <w:trHeight w:val="115"/>
        </w:trPr>
        <w:tc>
          <w:tcPr>
            <w:tcW w:w="880" w:type="dxa"/>
            <w:vAlign w:val="bottom"/>
            <w:tcBorders>
              <w:bottom w:val="single" w:sz="8" w:color="9A9A9A"/>
            </w:tcBorders>
          </w:tcPr>
          <w:p>
            <w:pPr>
              <w:spacing w:after="0"/>
              <w:rPr>
                <w:sz w:val="10"/>
                <w:szCs w:val="10"/>
                <w:color w:val="auto"/>
              </w:rPr>
            </w:pPr>
          </w:p>
        </w:tc>
        <w:tc>
          <w:tcPr>
            <w:tcW w:w="10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10.14*</w:t>
            </w: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Amended and Restated Agreement relating to Retention and Noncompetition and Other Covenants, dated as of March 9, 2016, by and</w:t>
            </w:r>
          </w:p>
        </w:tc>
      </w:tr>
      <w:tr>
        <w:trPr>
          <w:trHeight w:val="216"/>
        </w:trPr>
        <w:tc>
          <w:tcPr>
            <w:tcW w:w="98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2"/>
              </w:rPr>
              <w:t>among the Registrant, Lazard Group LLC and Alexander F. Stern (incorporated by reference to Exhibit 10.13 to the Registrant’s Quarterly</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Report (File No. 001-32492) on Form 10-Q filed on April 27, 2016).</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10.15*</w:t>
            </w: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the Registrant’s Current Report on Form 8-K (File No. 001-32492) filed on September 8, 2005).</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10.16*</w:t>
            </w:r>
          </w:p>
        </w:tc>
        <w:tc>
          <w:tcPr>
            <w:tcW w:w="10400" w:type="dxa"/>
            <w:vAlign w:val="bottom"/>
          </w:tcPr>
          <w:p>
            <w:pPr>
              <w:ind w:left="28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10.41 to the Registrant’s Annual Report (File No. 001-32492) on Form 10-K filed on March 2, 2009).</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10.17*</w:t>
            </w: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Form of Agreement evidencing a grant of Deferred Cash Award to Executive Officers (incorporated by reference to Exhibit 10.42 to the</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Registrant’s Annual Report (File No. 001-32492) on Form 10-K filed on March 2, 2009).</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10.18*</w:t>
            </w:r>
          </w:p>
        </w:tc>
        <w:tc>
          <w:tcPr>
            <w:tcW w:w="10400" w:type="dxa"/>
            <w:vAlign w:val="bottom"/>
          </w:tcPr>
          <w:p>
            <w:pPr>
              <w:ind w:left="280"/>
              <w:spacing w:after="0"/>
              <w:rPr>
                <w:sz w:val="20"/>
                <w:szCs w:val="20"/>
                <w:color w:val="auto"/>
              </w:rPr>
            </w:pPr>
            <w:r>
              <w:rPr>
                <w:rFonts w:ascii="Arial" w:cs="Arial" w:eastAsia="Arial" w:hAnsi="Arial"/>
                <w:sz w:val="18"/>
                <w:szCs w:val="18"/>
                <w:color w:val="auto"/>
                <w:w w:val="92"/>
              </w:rPr>
              <w:t>Directors’ Fee Deferral Unit Plan (incorporated by reference to Exhibit 10.39 to the Registrant’s Quarterly Report (File No. 001-32492) on</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Form 10-Q filed on May 11, 2006).</w:t>
            </w:r>
          </w:p>
        </w:tc>
      </w:tr>
      <w:tr>
        <w:trPr>
          <w:trHeight w:val="323"/>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88"/>
              </w:rPr>
              <w:t>10.19</w:t>
            </w:r>
          </w:p>
        </w:tc>
        <w:tc>
          <w:tcPr>
            <w:tcW w:w="10400" w:type="dxa"/>
            <w:vAlign w:val="bottom"/>
          </w:tcPr>
          <w:p>
            <w:pPr>
              <w:ind w:left="280"/>
              <w:spacing w:after="0"/>
              <w:rPr>
                <w:sz w:val="20"/>
                <w:szCs w:val="20"/>
                <w:color w:val="auto"/>
              </w:rPr>
            </w:pPr>
            <w:r>
              <w:rPr>
                <w:rFonts w:ascii="Arial" w:cs="Arial" w:eastAsia="Arial" w:hAnsi="Arial"/>
                <w:sz w:val="18"/>
                <w:szCs w:val="18"/>
                <w:color w:val="auto"/>
                <w:w w:val="91"/>
              </w:rPr>
              <w:t>Amended and Restated Credit Agreement, dated as of September 25, 2015, among Lazard Group LLC, the Banks from time to time parties</w:t>
            </w:r>
          </w:p>
        </w:tc>
      </w:tr>
      <w:tr>
        <w:trPr>
          <w:trHeight w:val="216"/>
        </w:trPr>
        <w:tc>
          <w:tcPr>
            <w:tcW w:w="98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3"/>
              </w:rPr>
              <w:t>thereto, and Citibank, N.A., as Administrative Agent (incorporated by reference to Exhibit 10.27 to the Registrant’s Quarterly Report (File</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No. 001-32492) on Form 10-Q filed on October 28, 2015).</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10.20*</w:t>
            </w:r>
          </w:p>
        </w:tc>
        <w:tc>
          <w:tcPr>
            <w:tcW w:w="10400" w:type="dxa"/>
            <w:vAlign w:val="bottom"/>
          </w:tcPr>
          <w:p>
            <w:pPr>
              <w:ind w:left="28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(incorporated by reference to Exhibit 10.55 to</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the Registrant’s Quarterly Report (File No. 001-32492) on Form 10-Q filed on May 1, 2013).</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10.21*</w:t>
            </w:r>
          </w:p>
        </w:tc>
        <w:tc>
          <w:tcPr>
            <w:tcW w:w="10400" w:type="dxa"/>
            <w:vAlign w:val="bottom"/>
          </w:tcPr>
          <w:p>
            <w:pPr>
              <w:ind w:left="28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23"/>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2"/>
              </w:rPr>
              <w:t>10.22*</w:t>
            </w:r>
          </w:p>
        </w:tc>
        <w:tc>
          <w:tcPr>
            <w:tcW w:w="10400" w:type="dxa"/>
            <w:vAlign w:val="bottom"/>
          </w:tcPr>
          <w:p>
            <w:pPr>
              <w:ind w:left="280"/>
              <w:spacing w:after="0"/>
              <w:rPr>
                <w:sz w:val="20"/>
                <w:szCs w:val="20"/>
                <w:color w:val="auto"/>
              </w:rPr>
            </w:pPr>
            <w:r>
              <w:rPr>
                <w:rFonts w:ascii="Arial" w:cs="Arial" w:eastAsia="Arial" w:hAnsi="Arial"/>
                <w:sz w:val="18"/>
                <w:szCs w:val="18"/>
                <w:color w:val="auto"/>
                <w:w w:val="90"/>
              </w:rPr>
              <w:t>Agreement between the Company and Kenneth M. Jacobs, dated as of February 20, 2014, evidencing a grant of Performance-Based Stock</w:t>
            </w:r>
          </w:p>
        </w:tc>
      </w:tr>
      <w:tr>
        <w:trPr>
          <w:trHeight w:val="216"/>
        </w:trPr>
        <w:tc>
          <w:tcPr>
            <w:tcW w:w="98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7"/>
              </w:rPr>
              <w:t>Units under the 2008 Incentive Compensation Plan (incorporated by reference to Exhibit 10.56 to the Registrant’s Quarterly Report</w:t>
            </w:r>
          </w:p>
        </w:tc>
      </w:tr>
      <w:tr>
        <w:trPr>
          <w:trHeight w:val="230"/>
        </w:trPr>
        <w:tc>
          <w:tcPr>
            <w:tcW w:w="98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(File No. 001-32492) on Form 10-Q filed on May 6, 2014).</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12.1</w:t>
            </w:r>
          </w:p>
        </w:tc>
        <w:tc>
          <w:tcPr>
            <w:tcW w:w="1040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21.1</w:t>
            </w:r>
          </w:p>
        </w:tc>
        <w:tc>
          <w:tcPr>
            <w:tcW w:w="1040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23.1</w:t>
            </w:r>
          </w:p>
        </w:tc>
        <w:tc>
          <w:tcPr>
            <w:tcW w:w="1040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31.1</w:t>
            </w:r>
          </w:p>
        </w:tc>
        <w:tc>
          <w:tcPr>
            <w:tcW w:w="10400" w:type="dxa"/>
            <w:vAlign w:val="bottom"/>
          </w:tcPr>
          <w:p>
            <w:pPr>
              <w:ind w:left="28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31.2</w:t>
            </w:r>
          </w:p>
        </w:tc>
        <w:tc>
          <w:tcPr>
            <w:tcW w:w="10400" w:type="dxa"/>
            <w:vAlign w:val="bottom"/>
          </w:tcPr>
          <w:p>
            <w:pPr>
              <w:ind w:left="28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10400" w:type="dxa"/>
            <w:vAlign w:val="bottom"/>
          </w:tcPr>
          <w:p>
            <w:pPr>
              <w:ind w:left="28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10400" w:type="dxa"/>
            <w:vAlign w:val="bottom"/>
          </w:tcPr>
          <w:p>
            <w:pPr>
              <w:ind w:left="28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150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4" w:lineRule="exact"/>
        <w:rPr>
          <w:sz w:val="20"/>
          <w:szCs w:val="20"/>
          <w:color w:val="auto"/>
        </w:rPr>
      </w:pPr>
    </w:p>
    <w:p>
      <w:pPr>
        <w:ind w:left="600" w:hanging="592"/>
        <w:spacing w:after="0"/>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4920" w:type="dxa"/>
            <w:vAlign w:val="bottom"/>
            <w:gridSpan w:val="9"/>
            <w:vMerge w:val="restart"/>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Report on Internal Control Over Financial Reporting</w:t>
              </w:r>
            </w:hyperlink>
          </w:p>
        </w:tc>
        <w:tc>
          <w:tcPr>
            <w:tcW w:w="5600" w:type="dxa"/>
            <w:vAlign w:val="bottom"/>
            <w:gridSpan w:val="10"/>
            <w:vMerge w:val="restart"/>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9"/>
            <w:vMerge w:val="continue"/>
          </w:tcPr>
          <w:p>
            <w:pPr>
              <w:spacing w:after="0"/>
              <w:rPr>
                <w:sz w:val="13"/>
                <w:szCs w:val="13"/>
                <w:color w:val="auto"/>
              </w:rPr>
            </w:pPr>
          </w:p>
        </w:tc>
        <w:tc>
          <w:tcPr>
            <w:tcW w:w="5600" w:type="dxa"/>
            <w:vAlign w:val="bottom"/>
            <w:gridSpan w:val="10"/>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Reports of Independent Registered Public Accounting Firm</w:t>
              </w:r>
            </w:hyperlink>
          </w:p>
        </w:tc>
        <w:tc>
          <w:tcPr>
            <w:tcW w:w="622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2016 and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Comprehensive Income for the years ended December 31, 2016, 2015</w:t>
              </w:r>
            </w:hyperlink>
          </w:p>
        </w:tc>
        <w:tc>
          <w:tcPr>
            <w:tcW w:w="34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and 2014</w:t>
              </w:r>
            </w:hyperlink>
          </w:p>
        </w:tc>
        <w:tc>
          <w:tcPr>
            <w:tcW w:w="96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2016, 2015 and 2014</w:t>
              </w:r>
            </w:hyperlink>
          </w:p>
        </w:tc>
        <w:tc>
          <w:tcPr>
            <w:tcW w:w="360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5280" w:type="dxa"/>
            <w:vAlign w:val="bottom"/>
            <w:tcBorders>
              <w:top w:val="single" w:sz="8" w:color="0000EE"/>
            </w:tcBorders>
            <w:gridSpan w:val="12"/>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33">
              <w:r>
                <w:rPr>
                  <w:rFonts w:ascii="Arial" w:cs="Arial" w:eastAsia="Arial" w:hAnsi="Arial"/>
                  <w:sz w:val="18"/>
                  <w:szCs w:val="18"/>
                  <w:b w:val="1"/>
                  <w:bCs w:val="1"/>
                  <w:color w:val="0000EE"/>
                  <w:w w:val="91"/>
                </w:rPr>
                <w:t>Supplemental Financial Information</w:t>
              </w:r>
            </w:hyperlink>
          </w:p>
        </w:tc>
        <w:tc>
          <w:tcPr>
            <w:tcW w:w="77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Quarterly Results</w:t>
              </w:r>
            </w:hyperlink>
          </w:p>
        </w:tc>
        <w:tc>
          <w:tcPr>
            <w:tcW w:w="924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5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Condensed Statements of Financial Condition as of December 31, 2016 and 2015</w:t>
              </w:r>
            </w:hyperlink>
          </w:p>
        </w:tc>
        <w:tc>
          <w:tcPr>
            <w:tcW w:w="420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Condensed Statements of Operations for the years ended December 31, 2016, 2015 and 2014</w:t>
              </w:r>
            </w:hyperlink>
          </w:p>
        </w:tc>
        <w:tc>
          <w:tcPr>
            <w:tcW w:w="336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Condensed Statements of Comprehensive Income for the years ended December 31, 2016, 2015 and 2014</w:t>
              </w:r>
            </w:hyperlink>
          </w:p>
        </w:tc>
        <w:tc>
          <w:tcPr>
            <w:tcW w:w="244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Cash Flows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4"/>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Notes to Condensed Financial Statements</w:t>
              </w:r>
            </w:hyperlink>
          </w:p>
        </w:tc>
        <w:tc>
          <w:tcPr>
            <w:tcW w:w="332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3,916</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(534,642)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(747,753)</w:t>
            </w: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Due from subsidiaries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1,766,875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2,055,748</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1,236,162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1,313,899</w:t>
            </w:r>
          </w:p>
        </w:tc>
        <w:tc>
          <w:tcPr>
            <w:tcW w:w="120" w:type="dxa"/>
            <w:vAlign w:val="bottom"/>
            <w:tcBorders>
              <w:bottom w:val="single" w:sz="8" w:color="CFF0FC"/>
            </w:tcBorders>
          </w:tcPr>
          <w:p>
            <w:pPr>
              <w:spacing w:after="0"/>
              <w:rPr>
                <w:sz w:val="22"/>
                <w:szCs w:val="22"/>
                <w:color w:val="auto"/>
              </w:rPr>
            </w:pP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subsidiaries</w:t>
            </w:r>
          </w:p>
        </w:tc>
        <w:tc>
          <w:tcPr>
            <w:tcW w:w="1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A—0 and 7,921 shares issued and outstanding at December 31,</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Series B—no shares issued and outstanding</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70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tcPr>
          <w:p>
            <w:pPr>
              <w:ind w:left="640"/>
              <w:spacing w:after="0"/>
              <w:rPr>
                <w:sz w:val="20"/>
                <w:szCs w:val="20"/>
                <w:color w:val="auto"/>
              </w:rPr>
            </w:pPr>
            <w:r>
              <w:rPr>
                <w:rFonts w:ascii="Arial" w:cs="Arial" w:eastAsia="Arial" w:hAnsi="Arial"/>
                <w:sz w:val="18"/>
                <w:szCs w:val="18"/>
                <w:color w:val="auto"/>
              </w:rPr>
              <w:t>129,766,091 shares issued at December 31, 2016 and 2015,</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600,034</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1,123,728</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(314,222)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(234,356)</w:t>
            </w: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1,490,704</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(7,628,786 and</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4,253,381 shares 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(273,506)</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(177,249)</w:t>
            </w:r>
          </w:p>
        </w:tc>
      </w:tr>
      <w:tr>
        <w:trPr>
          <w:trHeight w:val="223"/>
        </w:trPr>
        <w:tc>
          <w:tcPr>
            <w:tcW w:w="6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1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1,235,987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1,313,455</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1,313,899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326,366</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931,036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373,713</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55,303</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389,385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988,294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429,016</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427,277</w:t>
            </w:r>
          </w:p>
        </w:tc>
        <w:tc>
          <w:tcPr>
            <w:tcW w:w="100" w:type="dxa"/>
            <w:vAlign w:val="bottom"/>
            <w:shd w:val="clear" w:color="auto" w:fill="CFF0FC"/>
          </w:tcPr>
          <w:p>
            <w:pPr>
              <w:spacing w:after="0"/>
              <w:rPr>
                <w:sz w:val="19"/>
                <w:szCs w:val="19"/>
                <w:color w:val="auto"/>
              </w:rPr>
            </w:pPr>
          </w:p>
        </w:tc>
      </w:tr>
      <w:tr>
        <w:trPr>
          <w:trHeight w:val="205"/>
        </w:trPr>
        <w:tc>
          <w:tcPr>
            <w:tcW w:w="56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(51,182)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(49,970)</w:t>
            </w: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$(5,205), $5,644 and $(9,045) for the years ended</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2016, 2015 and 2014, respectively)</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(24,473)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(21,983)</w:t>
            </w:r>
          </w:p>
        </w:tc>
      </w:tr>
      <w:tr>
        <w:trPr>
          <w:trHeight w:val="215"/>
        </w:trPr>
        <w:tc>
          <w:tcPr>
            <w:tcW w:w="5680" w:type="dxa"/>
            <w:vAlign w:val="bottom"/>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ind w:left="640"/>
              <w:spacing w:after="0"/>
              <w:rPr>
                <w:sz w:val="20"/>
                <w:szCs w:val="20"/>
                <w:color w:val="auto"/>
              </w:rPr>
            </w:pPr>
            <w:r>
              <w:rPr>
                <w:rFonts w:ascii="Arial" w:cs="Arial" w:eastAsia="Arial" w:hAnsi="Arial"/>
                <w:sz w:val="18"/>
                <w:szCs w:val="18"/>
                <w:color w:val="auto"/>
              </w:rPr>
              <w:t>expense of $1,757, $1,507 and $1,923 for the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ind w:left="640"/>
              <w:spacing w:after="0"/>
              <w:rPr>
                <w:sz w:val="20"/>
                <w:szCs w:val="20"/>
                <w:color w:val="auto"/>
              </w:rPr>
            </w:pPr>
            <w:r>
              <w:rPr>
                <w:rFonts w:ascii="Arial" w:cs="Arial" w:eastAsia="Arial" w:hAnsi="Arial"/>
                <w:sz w:val="18"/>
                <w:szCs w:val="18"/>
                <w:color w:val="auto"/>
              </w:rPr>
              <w:t>years ended December 31, 2016, 2015 and 2014,</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8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respectively)</w:t>
            </w:r>
          </w:p>
        </w:tc>
        <w:tc>
          <w:tcPr>
            <w:tcW w:w="1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tcPr>
          <w:p>
            <w:pPr>
              <w:spacing w:after="0"/>
              <w:rPr>
                <w:sz w:val="20"/>
                <w:szCs w:val="20"/>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(67,204)</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360,073</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2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387,698</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986,373</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427,277</w:t>
            </w:r>
          </w:p>
        </w:tc>
        <w:tc>
          <w:tcPr>
            <w:tcW w:w="100" w:type="dxa"/>
            <w:vAlign w:val="bottom"/>
          </w:tcPr>
          <w:p>
            <w:pPr>
              <w:spacing w:after="0"/>
              <w:rPr>
                <w:sz w:val="19"/>
                <w:szCs w:val="19"/>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(326,366)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(931,036)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(373,713)</w:t>
            </w: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due to/from subsidiaries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99,477</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6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334,150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289,106</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dividends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(336,138)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(290,684)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(146,241)</w:t>
            </w:r>
          </w:p>
        </w:tc>
      </w:tr>
      <w:tr>
        <w:trPr>
          <w:trHeight w:val="223"/>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(336,138)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(290,684)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(146,241)</w:t>
            </w:r>
          </w:p>
        </w:tc>
        <w:tc>
          <w:tcPr>
            <w:tcW w:w="100" w:type="dxa"/>
            <w:vAlign w:val="bottom"/>
            <w:tcBorders>
              <w:bottom w:val="single" w:sz="8" w:color="CFF0FC"/>
            </w:tcBorders>
          </w:tcPr>
          <w:p>
            <w:pPr>
              <w:spacing w:after="0"/>
              <w:rPr>
                <w:sz w:val="19"/>
                <w:szCs w:val="19"/>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January 1</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FF0FC"/>
            </w:tcBorders>
          </w:tcPr>
          <w:p>
            <w:pPr>
              <w:spacing w:after="0"/>
              <w:rPr>
                <w:sz w:val="19"/>
                <w:szCs w:val="19"/>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December 31</w:t>
            </w:r>
          </w:p>
        </w:tc>
        <w:tc>
          <w:tcPr>
            <w:tcW w:w="4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4" w:name="page145"/>
    <w:bookmarkEnd w:id="144"/>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14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2016 and 2015, and for each of the three years in the period ended December 31, 2016,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225"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For the period ended December 31, 2016, equity in earnings of subsidiaries also includes a gain of $12,668 related to the portion of a business acquired in the fourth quarter of 2016 that was previously owned by one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Matthieu Bucaille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Matthieu Bucaille</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February 24,2017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Turner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Michael J. Turner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850"/>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700"/>
              <w:spacing w:after="0"/>
              <w:rPr>
                <w:sz w:val="20"/>
                <w:szCs w:val="20"/>
                <w:color w:val="auto"/>
              </w:rPr>
            </w:pPr>
            <w:r>
              <w:rPr>
                <w:rFonts w:ascii="Arial" w:cs="Arial" w:eastAsia="Arial" w:hAnsi="Arial"/>
                <w:sz w:val="18"/>
                <w:szCs w:val="18"/>
                <w:color w:val="auto"/>
              </w:rPr>
              <w:t>II-1</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521"/>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gridSpan w:val="5"/>
          </w:tcPr>
          <w:p>
            <w:pPr>
              <w:jc w:val="center"/>
              <w:ind w:right="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517,461</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(16,620)</w:t>
            </w:r>
          </w:p>
        </w:tc>
        <w:tc>
          <w:tcPr>
            <w:tcW w:w="52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519,465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216,807</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123,885</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Add—Fixed charges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73,654</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75,109</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86,066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103,668</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106,470</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fixed charges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591,115</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58,489</w:t>
            </w:r>
          </w:p>
        </w:tc>
        <w:tc>
          <w:tcPr>
            <w:tcW w:w="52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605,531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320,475</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230,355</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Fixed Charges: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Interest (b)</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50,292</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51,159</w:t>
            </w:r>
          </w:p>
        </w:tc>
        <w:tc>
          <w:tcPr>
            <w:tcW w:w="52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62,570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79,381</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81,565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23,362</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23,950</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23,496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24,905</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fixed charges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73,654</w:t>
            </w:r>
          </w:p>
        </w:tc>
        <w:tc>
          <w:tcPr>
            <w:tcW w:w="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75,109</w:t>
            </w:r>
          </w:p>
        </w:tc>
        <w:tc>
          <w:tcPr>
            <w:tcW w:w="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86,066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103,668</w:t>
            </w:r>
          </w:p>
        </w:tc>
        <w:tc>
          <w:tcPr>
            <w:tcW w:w="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106,470</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12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8.03</w:t>
            </w:r>
          </w:p>
        </w:tc>
        <w:tc>
          <w:tcPr>
            <w:tcW w:w="360" w:type="dxa"/>
            <w:vAlign w:val="bottom"/>
            <w:gridSpan w:val="2"/>
          </w:tcPr>
          <w:p>
            <w:pPr>
              <w:ind w:left="60"/>
              <w:spacing w:after="0"/>
              <w:rPr>
                <w:sz w:val="20"/>
                <w:szCs w:val="20"/>
                <w:color w:val="auto"/>
              </w:rPr>
            </w:pPr>
            <w:r>
              <w:rPr>
                <w:rFonts w:ascii="Arial" w:cs="Arial" w:eastAsia="Arial" w:hAnsi="Arial"/>
                <w:sz w:val="16"/>
                <w:szCs w:val="16"/>
                <w:color w:val="auto"/>
              </w:rPr>
              <w:t>(d)</w:t>
            </w:r>
          </w:p>
        </w:tc>
        <w:tc>
          <w:tcPr>
            <w:tcW w:w="2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224"/>
              <w:spacing w:after="0"/>
              <w:rPr>
                <w:sz w:val="20"/>
                <w:szCs w:val="20"/>
                <w:color w:val="auto"/>
              </w:rPr>
            </w:pPr>
            <w:r>
              <w:rPr>
                <w:rFonts w:ascii="Arial" w:cs="Arial" w:eastAsia="Arial" w:hAnsi="Arial"/>
                <w:sz w:val="16"/>
                <w:szCs w:val="16"/>
                <w:color w:val="auto"/>
              </w:rPr>
              <w:t>(e)</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w:t>
            </w:r>
          </w:p>
        </w:tc>
        <w:tc>
          <w:tcPr>
            <w:tcW w:w="560" w:type="dxa"/>
            <w:vAlign w:val="bottom"/>
            <w:gridSpan w:val="3"/>
          </w:tcPr>
          <w:p>
            <w:pPr>
              <w:jc w:val="right"/>
              <w:ind w:right="259"/>
              <w:spacing w:after="0"/>
              <w:rPr>
                <w:sz w:val="20"/>
                <w:szCs w:val="20"/>
                <w:color w:val="auto"/>
              </w:rPr>
            </w:pPr>
            <w:r>
              <w:rPr>
                <w:rFonts w:ascii="Arial" w:cs="Arial" w:eastAsia="Arial" w:hAnsi="Arial"/>
                <w:sz w:val="16"/>
                <w:szCs w:val="16"/>
                <w:color w:val="auto"/>
              </w:rPr>
              <w:t>(f)</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200" w:type="dxa"/>
            <w:vAlign w:val="bottom"/>
          </w:tcPr>
          <w:p>
            <w:pPr>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rPr>
                <w:sz w:val="1"/>
                <w:szCs w:val="1"/>
                <w:color w:val="auto"/>
              </w:rPr>
            </w:pPr>
          </w:p>
        </w:tc>
      </w:tr>
      <w:tr>
        <w:trPr>
          <w:trHeight w:val="187"/>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Deficiency in the coverage of operating income</w:t>
            </w: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(loss) before fixed charges to total fixed charges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16,620</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23" w:lineRule="exact"/>
        <w:rPr>
          <w:sz w:val="20"/>
          <w:szCs w:val="20"/>
          <w:color w:val="auto"/>
        </w:rPr>
      </w:pPr>
    </w:p>
    <w:p>
      <w:pPr>
        <w:ind w:left="520" w:hanging="512"/>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02" w:lineRule="exact"/>
        <w:rPr>
          <w:rFonts w:ascii="Arial" w:cs="Arial" w:eastAsia="Arial" w:hAnsi="Arial"/>
          <w:sz w:val="18"/>
          <w:szCs w:val="18"/>
          <w:color w:val="auto"/>
        </w:rPr>
      </w:pPr>
    </w:p>
    <w:p>
      <w:pPr>
        <w:ind w:left="1040" w:hanging="519"/>
        <w:spacing w:after="0"/>
        <w:tabs>
          <w:tab w:leader="none" w:pos="1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20" w:hanging="512"/>
        <w:spacing w:after="0" w:line="257"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charges, the ratio of earnings to fixed assets would have been 8.43.</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53"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4.35.</w:t>
      </w:r>
    </w:p>
    <w:p>
      <w:pPr>
        <w:spacing w:after="0" w:line="78" w:lineRule="exact"/>
        <w:rPr>
          <w:rFonts w:ascii="Arial" w:cs="Arial" w:eastAsia="Arial" w:hAnsi="Arial"/>
          <w:sz w:val="18"/>
          <w:szCs w:val="18"/>
          <w:color w:val="auto"/>
        </w:rPr>
      </w:pPr>
    </w:p>
    <w:p>
      <w:pPr>
        <w:ind w:left="520" w:right="100" w:hanging="512"/>
        <w:spacing w:after="0" w:line="257"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Group LLC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1 Sàrl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LLtd 2 Sàrl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333-126752, No. 333-154977 and No. 333-193845, each on Form S-8, and Registration Statement No. 333-210959 on Form S-3 of our reports dated February 24, 2017, relating to the consolidated financial statements and financial statement schedule of Lazard Ltd and subsidiaries (the “Company”), and the effectiveness of the Company’s internal control over financial reporting appearing in this Annual Report on Form 10-K of Lazard Ltd for the year ended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Matthieu Bucaille, certify that:</w:t>
      </w:r>
    </w:p>
    <w:p>
      <w:pPr>
        <w:spacing w:after="0" w:line="225" w:lineRule="exact"/>
        <w:rPr>
          <w:sz w:val="20"/>
          <w:szCs w:val="20"/>
          <w:color w:val="auto"/>
        </w:rPr>
      </w:pPr>
    </w:p>
    <w:p>
      <w:pPr>
        <w:ind w:left="780" w:hanging="174"/>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2017</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2"/>
    </w:lvl>
  </w:abstractNum>
  <w:abstractNum w:abstractNumId="21">
    <w:nsid w:val="7E0C57B1"/>
    <w:multiLevelType w:val="hybridMultilevel"/>
    <w:lvl w:ilvl="0">
      <w:lvlJc w:val="left"/>
      <w:lvlText w:val="(%1)"/>
      <w:numFmt w:val="lowerLetter"/>
      <w:start w:val="2"/>
    </w:lvl>
  </w:abstractNum>
  <w:abstractNum w:abstractNumId="22">
    <w:nsid w:val="77AE35EB"/>
    <w:multiLevelType w:val="hybridMultilevel"/>
    <w:lvl w:ilvl="0">
      <w:lvlJc w:val="left"/>
      <w:lvlText w:val="(%1)"/>
      <w:numFmt w:val="lowerLetter"/>
      <w:start w:val="3"/>
    </w:lvl>
  </w:abstractNum>
  <w:abstractNum w:abstractNumId="23">
    <w:nsid w:val="579BE4F1"/>
    <w:multiLevelType w:val="hybridMultilevel"/>
    <w:lvl w:ilvl="0">
      <w:lvlJc w:val="left"/>
      <w:lvlText w:val="(%1)"/>
      <w:numFmt w:val="lowerLetter"/>
      <w:start w:val="5"/>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lvl w:ilvl="1">
      <w:lvlJc w:val="left"/>
      <w:lvlText w:val="(%2)"/>
      <w:numFmt w:val="lowerRoman"/>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2"/>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Roman"/>
      <w:start w:val="2"/>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2"/>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2"/>
    </w:lvl>
  </w:abstractNum>
  <w:abstractNum w:abstractNumId="42">
    <w:nsid w:val="1EBA5D23"/>
    <w:multiLevelType w:val="hybridMultilevel"/>
    <w:lvl w:ilvl="0">
      <w:lvlJc w:val="left"/>
      <w:lvlText w:val="(%1)"/>
      <w:numFmt w:val="lowerLetter"/>
      <w:start w:val="4"/>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lowerRoman"/>
      <w:start w:val="3"/>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decimal"/>
      <w:start w:val="2"/>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Roman"/>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1."/>
      <w:numFmt w:val="decimal"/>
      <w:start w:val="3"/>
    </w:lvl>
  </w:abstractNum>
  <w:abstractNum w:abstractNumId="57">
    <w:nsid w:val="4962813B"/>
    <w:multiLevelType w:val="hybridMultilevel"/>
    <w:lvl w:ilvl="0">
      <w:lvlJc w:val="left"/>
      <w:lvlText w:val="%1."/>
      <w:numFmt w:val="decimal"/>
      <w:start w:val="4"/>
    </w:lvl>
  </w:abstractNum>
  <w:abstractNum w:abstractNumId="58">
    <w:nsid w:val="60B6DF70"/>
    <w:multiLevelType w:val="hybridMultilevel"/>
    <w:lvl w:ilvl="0">
      <w:lvlJc w:val="left"/>
      <w:lvlText w:val="%1."/>
      <w:numFmt w:val="decimal"/>
      <w:start w:val="5"/>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decimal"/>
      <w:start w:val="6"/>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1"/>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decimal"/>
      <w:start w:val="7"/>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decimal"/>
      <w:start w:val="8"/>
    </w:lvl>
  </w:abstractNum>
  <w:abstractNum w:abstractNumId="68">
    <w:nsid w:val="94211F2"/>
    <w:multiLevelType w:val="hybridMultilevel"/>
    <w:lvl w:ilvl="0">
      <w:lvlJc w:val="left"/>
      <w:lvlText w:val="%1."/>
      <w:numFmt w:val="decimal"/>
      <w:start w:val="9"/>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decimal"/>
      <w:start w:val="10"/>
    </w:lvl>
  </w:abstractNum>
  <w:abstractNum w:abstractNumId="71">
    <w:nsid w:val="4C04A8AF"/>
    <w:multiLevelType w:val="hybridMultilevel"/>
    <w:lvl w:ilvl="0">
      <w:lvlJc w:val="left"/>
      <w:lvlText w:val="%1."/>
      <w:numFmt w:val="decimal"/>
      <w:start w:val="11"/>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decimal"/>
      <w:start w:val="12"/>
    </w:lvl>
  </w:abstractNum>
  <w:abstractNum w:abstractNumId="74">
    <w:nsid w:val="3222E7CD"/>
    <w:multiLevelType w:val="hybridMultilevel"/>
    <w:lvl w:ilvl="0">
      <w:lvlJc w:val="left"/>
      <w:lvlText w:val="%1."/>
      <w:numFmt w:val="decimal"/>
      <w:start w:val="13"/>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decimal"/>
      <w:start w:val="14"/>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decimal"/>
      <w:start w:val="15"/>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decimal"/>
      <w:start w:val="16"/>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Roman"/>
      <w:start w:val="1"/>
    </w:lvl>
  </w:abstractNum>
  <w:abstractNum w:abstractNumId="85">
    <w:nsid w:val="26F324BA"/>
    <w:multiLevelType w:val="hybridMultilevel"/>
    <w:lvl w:ilvl="0">
      <w:lvlJc w:val="left"/>
      <w:lvlText w:val="%1."/>
      <w:numFmt w:val="decimal"/>
      <w:start w:val="17"/>
    </w:lvl>
  </w:abstractNum>
  <w:abstractNum w:abstractNumId="86">
    <w:nsid w:val="7F01579B"/>
    <w:multiLevelType w:val="hybridMultilevel"/>
    <w:lvl w:ilvl="0">
      <w:lvlJc w:val="left"/>
      <w:lvlText w:val="%1."/>
      <w:numFmt w:val="decimal"/>
      <w:start w:val="18"/>
    </w:lvl>
  </w:abstractNum>
  <w:abstractNum w:abstractNumId="87">
    <w:nsid w:val="49DA307D"/>
    <w:multiLevelType w:val="hybridMultilevel"/>
    <w:lvl w:ilvl="0">
      <w:lvlJc w:val="left"/>
      <w:lvlText w:val="(%1)"/>
      <w:numFmt w:val="lowerRoman"/>
      <w:start w:val="1"/>
    </w:lvl>
  </w:abstractNum>
  <w:abstractNum w:abstractNumId="88">
    <w:nsid w:val="7055A5F5"/>
    <w:multiLevelType w:val="hybridMultilevel"/>
    <w:lvl w:ilvl="0">
      <w:lvlJc w:val="left"/>
      <w:lvlText w:val="%1."/>
      <w:numFmt w:val="decimal"/>
      <w:start w:val="19"/>
    </w:lvl>
  </w:abstractNum>
  <w:abstractNum w:abstractNumId="89">
    <w:nsid w:val="5FB8370B"/>
    <w:multiLevelType w:val="hybridMultilevel"/>
    <w:lvl w:ilvl="0">
      <w:lvlJc w:val="left"/>
      <w:lvlText w:val="%1."/>
      <w:numFmt w:val="decimal"/>
      <w:start w:val="20"/>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2"/>
    </w:lvl>
  </w:abstractNum>
  <w:abstractNum w:abstractNumId="93">
    <w:nsid w:val="6AA78F7F"/>
    <w:multiLevelType w:val="hybridMultilevel"/>
    <w:lvl w:ilvl="0">
      <w:lvlJc w:val="left"/>
      <w:lvlText w:val="(%1)"/>
      <w:numFmt w:val="lowerLetter"/>
      <w:start w:val="1"/>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decimal"/>
      <w:start w:val="1"/>
    </w:lvl>
  </w:abstractNum>
  <w:abstractNum w:abstractNumId="96">
    <w:nsid w:val="6A5F7029"/>
    <w:multiLevelType w:val="hybridMultilevel"/>
    <w:lvl w:ilvl="0">
      <w:lvlJc w:val="left"/>
      <w:lvlText w:val="(%1)"/>
      <w:numFmt w:val="decimal"/>
      <w:start w:val="2"/>
    </w:lvl>
  </w:abstractNum>
  <w:abstractNum w:abstractNumId="97">
    <w:nsid w:val="7D5E18F8"/>
    <w:multiLevelType w:val="hybridMultilevel"/>
    <w:lvl w:ilvl="0">
      <w:lvlJc w:val="left"/>
      <w:lvlText w:val="(%1)"/>
      <w:numFmt w:val="lowerLetter"/>
      <w:start w:val="1"/>
    </w:lvl>
    <w:lvl w:ilvl="1">
      <w:lvlJc w:val="left"/>
      <w:lvlText w:val="%2."/>
      <w:numFmt w:val="decimal"/>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lowerLetter"/>
      <w:start w:val="1"/>
    </w:lvl>
    <w:lvl w:ilvl="1">
      <w:lvlJc w:val="left"/>
      <w:lvlText w:val="•"/>
      <w:numFmt w:val="bullet"/>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2019-12-29T08:44:05Z</dcterms:created>
  <dcterms:modified xsi:type="dcterms:W3CDTF">2019-12-29T08:44:05Z</dcterms:modified>
</cp:coreProperties>
</file>