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2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51"/>
        </w:trPr>
        <w:tc>
          <w:tcPr>
            <w:tcW w:w="5960" w:type="dxa"/>
            <w:vAlign w:val="bottom"/>
            <w:gridSpan w:val="3"/>
          </w:tcPr>
          <w:p>
            <w:pPr>
              <w:jc w:val="center"/>
              <w:ind w:right="336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70"/>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40" w:firstLine="342"/>
        <w:spacing w:after="0" w:line="268" w:lineRule="auto"/>
        <w:rPr>
          <w:sz w:val="20"/>
          <w:szCs w:val="20"/>
          <w:color w:val="auto"/>
        </w:rPr>
      </w:pPr>
      <w:r>
        <w:rPr>
          <w:rFonts w:ascii="Arial" w:cs="Arial" w:eastAsia="Arial" w:hAnsi="Arial"/>
          <w:sz w:val="18"/>
          <w:szCs w:val="18"/>
          <w:color w:val="auto"/>
        </w:rPr>
        <w:t>As of April 25, 2014,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March 31, 2014 of approximately 99.5% of the common membership interests in Lazard Group. Lazard Ltd controls Lazard Group through two of its indirect wholly-owned subsidiaries who are co-managing members of Lazard Group.</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3">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520" w:type="dxa"/>
            <w:vAlign w:val="bottom"/>
            <w:gridSpan w:val="3"/>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Financial Condition as of March 31, 2014 and December 31, 2013</w:t>
              </w:r>
            </w:hyperlink>
          </w:p>
        </w:tc>
        <w:tc>
          <w:tcPr>
            <w:tcW w:w="3520" w:type="dxa"/>
            <w:vAlign w:val="bottom"/>
            <w:gridSpan w:val="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520" w:type="dxa"/>
            <w:vAlign w:val="bottom"/>
            <w:tcBorders>
              <w:bottom w:val="single" w:sz="8" w:color="0000EE"/>
            </w:tcBorders>
            <w:gridSpan w:val="3"/>
            <w:vMerge w:val="continue"/>
          </w:tcPr>
          <w:p>
            <w:pPr>
              <w:spacing w:after="0"/>
              <w:rPr>
                <w:sz w:val="13"/>
                <w:szCs w:val="13"/>
                <w:color w:val="auto"/>
              </w:rPr>
            </w:pPr>
          </w:p>
        </w:tc>
        <w:tc>
          <w:tcPr>
            <w:tcW w:w="352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7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periods ended March 31, 2014 and 2013</w:t>
              </w:r>
            </w:hyperlink>
          </w:p>
        </w:tc>
        <w:tc>
          <w:tcPr>
            <w:tcW w:w="31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periods ended March 31, 2014 and 2013</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three month periods ended March 31,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140" w:type="dxa"/>
            <w:vAlign w:val="bottom"/>
            <w:tcBorders>
              <w:top w:val="single" w:sz="8" w:color="0000EE"/>
            </w:tcBorders>
            <w:gridSpan w:val="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620" w:type="dxa"/>
            <w:vAlign w:val="bottom"/>
          </w:tcPr>
          <w:p>
            <w:pPr>
              <w:jc w:val="right"/>
              <w:ind w:right="167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653,801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64,460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62,046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$31,324 and $28,777 at March 31, 2014 and December 31, 2013,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401,037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626,432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405,344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466,542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$262,928 and $253,930 at March 31, 2014 and 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2013,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242,976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248,795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$46,599 and $45,379 at March 31, 2014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2013,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366,921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2,969,942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350,114</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187,800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2,506,039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2,557,862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w w:val="91"/>
              </w:rPr>
              <w:t>Members’ equity (net of 3,463,230 and 5,744,856 shares of Lazard Ltd Class A common stock, at a cost of $133,128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and $194,873 at March 31, 2014 and December 31, 2013,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494,917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571,668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(102,196)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463,903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2,969,942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3,093,988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272,675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168,104</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253,031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231,137</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2,972</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2,673</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22,190</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550,868</w:t>
            </w: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423,378</w:t>
            </w: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533,295</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401,184</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321,550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277,726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28,307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29,299</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19,233</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18,192</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23,487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22,980</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7,364</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8,327</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15,454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13,465</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425,907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379,960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107,388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21,224</w:t>
            </w: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17,857</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89,531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18,202</w:t>
            </w: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85,411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16,105</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89,531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36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3,591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(12,136)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Pr>
          <w:p>
            <w:pPr>
              <w:spacing w:after="0"/>
              <w:rPr>
                <w:sz w:val="24"/>
                <w:szCs w:val="24"/>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w w:val="97"/>
              </w:rPr>
              <w:t>Actuarial loss (net of tax benefit of $50 and $1,795 for the three months ended March 31, 2014 and 2013,</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1360" w:type="dxa"/>
            <w:vAlign w:val="bottom"/>
            <w:gridSpan w:val="3"/>
          </w:tcPr>
          <w:p>
            <w:pPr>
              <w:jc w:val="right"/>
              <w:ind w:right="192"/>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Adjustment for items reclassified to earnings (net of tax expense of $532 and $402 for the three months ended</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March 31, 2014 and 2013, respectively)</w:t>
            </w: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1,289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4,323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(14,077)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93,854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460" w:type="dxa"/>
            <w:vAlign w:val="bottom"/>
          </w:tcPr>
          <w:p>
            <w:pPr>
              <w:spacing w:after="0"/>
              <w:rPr>
                <w:sz w:val="18"/>
                <w:szCs w:val="18"/>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4,120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89,734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89,531</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interest rate hedge</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(29,370)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(101,969)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59,061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(117,072)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(147,058)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49,869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(2,903)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(4,099)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(105,810)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 to members</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(36,130)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(227,437)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(148,532)</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(178,476)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(265,415)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832,277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845,503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653,801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580,088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Lazard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6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Members’</w:t>
            </w: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26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Members’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Net of Tax</w:t>
            </w:r>
          </w:p>
        </w:tc>
        <w:tc>
          <w:tcPr>
            <w:tcW w:w="26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2013 (*)</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$ 545,572</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(92,393)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$ 453,179</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75,908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$ 529,087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16,105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16,105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18,202</w:t>
            </w: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(14,088)</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(14,088)</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(14,077)</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70,712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70,712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70,712</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Distributions to noncontrolling interests, net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(2,617)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(2,617)</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(30,168)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(30,168)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(30,168)</w:t>
            </w: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6"/>
              </w:rPr>
              <w:t>Delivery of Lazard Ltd Class A common stock in connection</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4"/>
              </w:rPr>
              <w:t>with shared-based incentive compensation and related tax</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benefit of $862</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(116,092)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(116,092)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(116,092)</w:t>
            </w: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Lazard Ltd Class A common stock issuable (including</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related amortization)</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2013 (*)</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$ 486,580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(106,481)</w:t>
            </w: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$ 380,099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75,399</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$ 455,498</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6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at both January 1, 2013 and March 31, 2013. Also includes profit participation interests and two managing member interests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right="478"/>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618"/>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center"/>
              <w:ind w:right="49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Members’</w:t>
            </w:r>
          </w:p>
        </w:tc>
        <w:tc>
          <w:tcPr>
            <w:tcW w:w="260" w:type="dxa"/>
            <w:vAlign w:val="bottom"/>
          </w:tcPr>
          <w:p>
            <w:pPr>
              <w:spacing w:after="0"/>
              <w:rPr>
                <w:sz w:val="12"/>
                <w:szCs w:val="12"/>
                <w:color w:val="auto"/>
              </w:rPr>
            </w:pPr>
          </w:p>
        </w:tc>
        <w:tc>
          <w:tcPr>
            <w:tcW w:w="1480" w:type="dxa"/>
            <w:vAlign w:val="bottom"/>
            <w:gridSpan w:val="3"/>
          </w:tcPr>
          <w:p>
            <w:pPr>
              <w:jc w:val="center"/>
              <w:ind w:right="49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Members’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98"/>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2014 (*)</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$ 571,668</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(102,196)</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469,472</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66,654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$ 536,126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85,411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85,411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89,531</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Other comprehensive income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4,323</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4,323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60,797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60,797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60,797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(36,130)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(36,130)</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(3,915)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(40,045)</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8"/>
              </w:rPr>
              <w:t>(105,810)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(105,810)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(105,810)</w:t>
            </w:r>
          </w:p>
        </w:tc>
      </w:tr>
      <w:tr>
        <w:trPr>
          <w:trHeight w:val="208"/>
        </w:trPr>
        <w:tc>
          <w:tcPr>
            <w:tcW w:w="4920" w:type="dxa"/>
            <w:vAlign w:val="bottom"/>
          </w:tcPr>
          <w:p>
            <w:pPr>
              <w:spacing w:after="0"/>
              <w:rPr>
                <w:sz w:val="20"/>
                <w:szCs w:val="20"/>
                <w:color w:val="auto"/>
              </w:rPr>
            </w:pPr>
            <w:r>
              <w:rPr>
                <w:rFonts w:ascii="Arial" w:cs="Arial" w:eastAsia="Arial" w:hAnsi="Arial"/>
                <w:sz w:val="18"/>
                <w:szCs w:val="18"/>
                <w:color w:val="auto"/>
              </w:rPr>
              <w:t>Delivery of Lazard Ltd Class A common stock in connection</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with shared-based incentive compensation and related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920" w:type="dxa"/>
            <w:vAlign w:val="bottom"/>
          </w:tcPr>
          <w:p>
            <w:pPr>
              <w:ind w:left="220"/>
              <w:spacing w:after="0"/>
              <w:rPr>
                <w:sz w:val="20"/>
                <w:szCs w:val="20"/>
                <w:color w:val="auto"/>
              </w:rPr>
            </w:pPr>
            <w:r>
              <w:rPr>
                <w:rFonts w:ascii="Arial" w:cs="Arial" w:eastAsia="Arial" w:hAnsi="Arial"/>
                <w:sz w:val="18"/>
                <w:szCs w:val="18"/>
                <w:color w:val="auto"/>
              </w:rPr>
              <w:t>benefit of $1,776</w:t>
            </w: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(80,245)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(80,245)</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(80,245)</w:t>
            </w: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4920" w:type="dxa"/>
            <w:vAlign w:val="bottom"/>
          </w:tcPr>
          <w:p>
            <w:pPr>
              <w:ind w:left="440"/>
              <w:spacing w:after="0"/>
              <w:rPr>
                <w:sz w:val="20"/>
                <w:szCs w:val="20"/>
                <w:color w:val="auto"/>
              </w:rPr>
            </w:pPr>
            <w:r>
              <w:rPr>
                <w:rFonts w:ascii="Arial" w:cs="Arial" w:eastAsia="Arial" w:hAnsi="Arial"/>
                <w:sz w:val="18"/>
                <w:szCs w:val="18"/>
                <w:color w:val="auto"/>
              </w:rPr>
              <w:t>Lazard Ltd Class A common stock issuable (including</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920" w:type="dxa"/>
            <w:vAlign w:val="bottom"/>
          </w:tcPr>
          <w:p>
            <w:pPr>
              <w:ind w:left="660"/>
              <w:spacing w:after="0"/>
              <w:rPr>
                <w:sz w:val="20"/>
                <w:szCs w:val="20"/>
                <w:color w:val="auto"/>
              </w:rPr>
            </w:pPr>
            <w:r>
              <w:rPr>
                <w:rFonts w:ascii="Arial" w:cs="Arial" w:eastAsia="Arial" w:hAnsi="Arial"/>
                <w:sz w:val="18"/>
                <w:szCs w:val="18"/>
                <w:color w:val="auto"/>
              </w:rPr>
              <w:t>related amortization)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129</w:t>
            </w: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r>
      <w:tr>
        <w:trPr>
          <w:trHeight w:val="223"/>
        </w:trPr>
        <w:tc>
          <w:tcPr>
            <w:tcW w:w="4920" w:type="dxa"/>
            <w:vAlign w:val="bottom"/>
          </w:tcPr>
          <w:p>
            <w:pPr>
              <w:spacing w:after="0"/>
              <w:rPr>
                <w:sz w:val="20"/>
                <w:szCs w:val="20"/>
                <w:color w:val="auto"/>
              </w:rPr>
            </w:pPr>
            <w:r>
              <w:rPr>
                <w:rFonts w:ascii="Arial" w:cs="Arial" w:eastAsia="Arial" w:hAnsi="Arial"/>
                <w:sz w:val="18"/>
                <w:szCs w:val="18"/>
                <w:b w:val="1"/>
                <w:bCs w:val="1"/>
                <w:color w:val="auto"/>
              </w:rPr>
              <w:t>Balance – March 31, 2014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$ 494,917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(97,873</w:t>
            </w:r>
          </w:p>
        </w:tc>
        <w:tc>
          <w:tcPr>
            <w:tcW w:w="580" w:type="dxa"/>
            <w:vAlign w:val="bottom"/>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397,044</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66,859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$ 463,903</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at both January 1, 2014 and March 31, 2014. Also includes profit participation interests and two managing member interests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Lazard Ltd indirectly held approximately 99.5% of all outstanding Lazard Group common membership interests as of March 31, 2014 and December 31, 2013. Lazard Ltd, through its control of the managing members of Lazard Group, controls Lazard Group. LAZ-MD Holdings LLC (“LAZ-MD Holdings”), an entity owned by Lazard Group’s current and former managing directors, held approximately 0.5% of the outstanding Lazard Group common membership interests as of March 31, 2014 and December 31, 2013. Additionally, LAZ-MD Holdings was the sole owner of the one issued and outstanding share of Lazard Ltd’s Class B common stock (the “Class B common stock”) which provided LAZ-MD Holdings with approximately 0.6% of the voting power but no economic rights in Lazard Ltd as of March 31, 2014 and December 31, 2013.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2013 (the “Form 10-K”). The accompanying December 31, 2013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period ended March 31, 2014 are not necessarily indicative of the results to be expected for any future interim or annual period.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Financial Accounting Standards Board (the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unrecognized tax benefits when net operating 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adopt this guidance in the fourth quarter of 2013, the impact of which did not have a material impact on the Company’s consolidated financial statements.</w:t>
      </w:r>
    </w:p>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periods ended March 31, 2014 and 2013 was as follows: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740" w:type="dxa"/>
            <w:vAlign w:val="bottom"/>
          </w:tcPr>
          <w:p>
            <w:pPr>
              <w:spacing w:after="0"/>
              <w:rPr>
                <w:sz w:val="14"/>
                <w:szCs w:val="14"/>
                <w:color w:val="auto"/>
              </w:rPr>
            </w:pPr>
          </w:p>
        </w:tc>
        <w:tc>
          <w:tcPr>
            <w:tcW w:w="18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9,136</w:t>
            </w:r>
          </w:p>
        </w:tc>
        <w:tc>
          <w:tcPr>
            <w:tcW w:w="3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(6,589)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Balance, March 31</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31,324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22,805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2014 and December 31, 2013, the Company had receivables past due or deemed uncollectible of $35,566 and $39,341, respectively.</w:t>
      </w:r>
    </w:p>
    <w:p>
      <w:pPr>
        <w:spacing w:after="0" w:line="19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Of the Company’s fee receivables at March 31, 2014 and December 31, 2013, $65,241 and $69,464, respectively, represented interest-bearing financing receivables. In addition at March 31, 2014 and December 31, 2013, the Company had interest-bearing related parties receivables of $97,947 and $108,204,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$463,244 and $444,949 at March 31, 2014 and December 31, 2013, respectively,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2014 and December 31,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$533 and $516, respectively)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CCEEFF"/>
          </w:tcPr>
          <w:p>
            <w:pPr>
              <w:spacing w:after="0"/>
              <w:rPr>
                <w:sz w:val="18"/>
                <w:szCs w:val="18"/>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57,757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36,321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143,115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190,702</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115,537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114,193</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331,229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389,131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1"/>
        </w:trPr>
        <w:tc>
          <w:tcPr>
            <w:tcW w:w="954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405,344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466,542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396,259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456,538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$8,626, $25,520 and $95,933, respectively, at March 31, 2014 and $7,099, $31,515 and $130,481, respectively, at December 31, 2013,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and amounts related to Lazard Fund Interests discussed above.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$9,286 and $9,787 at March 31, 2014 and December 31, 2013, respectively (see Note 10 of Notes to Condensed Consolidated Financial Statements).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three month periods ended March 31, 2014 and 2013, the Company reported in “revenue-other” on its condensed consolidated statements of operations gross unrealized investment gains and losses pertaining to “trading” securities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9820" w:type="dxa"/>
            <w:vAlign w:val="bottom"/>
          </w:tcPr>
          <w:p>
            <w:pPr>
              <w:spacing w:after="0"/>
              <w:rPr>
                <w:sz w:val="14"/>
                <w:szCs w:val="1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8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$ 2,697</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$ 8,395</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96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$ 2,593</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$ 1,465</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tables present the classification of investments and certain other assets and liabilities measured at fair value on a recurring basis as of March 31, 2014 and December 31, 2013 within the fair value hierarchy: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March 31, 2014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57,757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36,321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36,256</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143,074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143,115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115,537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237,466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42,194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116,874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396,534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219,172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219,172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219,172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224,502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47,206</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297,597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457,220</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11"/>
          </w:tcPr>
          <w:p>
            <w:pPr>
              <w:jc w:val="right"/>
              <w:ind w:right="400"/>
              <w:spacing w:after="0"/>
              <w:rPr>
                <w:sz w:val="20"/>
                <w:szCs w:val="20"/>
                <w:color w:val="auto"/>
              </w:rPr>
            </w:pPr>
            <w:r>
              <w:rPr>
                <w:rFonts w:ascii="Arial" w:cs="Arial" w:eastAsia="Arial" w:hAnsi="Arial"/>
                <w:sz w:val="14"/>
                <w:szCs w:val="14"/>
                <w:b w:val="1"/>
                <w:bCs w:val="1"/>
                <w:color w:val="auto"/>
                <w:w w:val="94"/>
              </w:rPr>
              <w:t>Three Months Ended March 31, 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7"/>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Realized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Included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860" w:type="dxa"/>
            <w:vAlign w:val="bottom"/>
            <w:gridSpan w:val="4"/>
          </w:tcPr>
          <w:p>
            <w:pPr>
              <w:jc w:val="right"/>
              <w:ind w:right="112"/>
              <w:spacing w:after="0" w:line="149" w:lineRule="exact"/>
              <w:rPr>
                <w:sz w:val="20"/>
                <w:szCs w:val="20"/>
                <w:color w:val="auto"/>
              </w:rPr>
            </w:pPr>
            <w:r>
              <w:rPr>
                <w:rFonts w:ascii="Arial" w:cs="Arial" w:eastAsia="Arial" w:hAnsi="Arial"/>
                <w:sz w:val="14"/>
                <w:szCs w:val="14"/>
                <w:b w:val="1"/>
                <w:bCs w:val="1"/>
                <w:color w:val="auto"/>
                <w:w w:val="85"/>
              </w:rPr>
              <w:t>Purchases/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3"/>
              </w:rPr>
              <w:t>Sales/</w:t>
            </w:r>
          </w:p>
        </w:tc>
        <w:tc>
          <w:tcPr>
            <w:tcW w:w="10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Other (a)</w:t>
            </w:r>
          </w:p>
        </w:tc>
        <w:tc>
          <w:tcPr>
            <w:tcW w:w="360" w:type="dxa"/>
            <w:vAlign w:val="bottom"/>
          </w:tcPr>
          <w:p>
            <w:pPr>
              <w:spacing w:after="0"/>
              <w:rPr>
                <w:sz w:val="14"/>
                <w:szCs w:val="14"/>
                <w:color w:val="auto"/>
              </w:rPr>
            </w:pPr>
          </w:p>
        </w:tc>
        <w:tc>
          <w:tcPr>
            <w:tcW w:w="86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80"/>
              </w:rPr>
              <w:t>Acquisitions</w:t>
            </w:r>
          </w:p>
        </w:tc>
        <w:tc>
          <w:tcPr>
            <w:tcW w:w="34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Disposition</w:t>
            </w:r>
          </w:p>
        </w:tc>
        <w:tc>
          <w:tcPr>
            <w:tcW w:w="1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  1,340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114,193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(4,669)</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115,537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115,533</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9"/>
                <w:szCs w:val="19"/>
                <w:color w:val="auto"/>
              </w:rPr>
            </w:pPr>
          </w:p>
        </w:tc>
        <w:tc>
          <w:tcPr>
            <w:tcW w:w="5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(4,669)</w:t>
            </w:r>
          </w:p>
        </w:tc>
        <w:tc>
          <w:tcPr>
            <w:tcW w:w="360" w:type="dxa"/>
            <w:vAlign w:val="bottom"/>
          </w:tcPr>
          <w:p>
            <w:pPr>
              <w:spacing w:after="0"/>
              <w:rPr>
                <w:sz w:val="19"/>
                <w:szCs w:val="19"/>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jc w:val="right"/>
              <w:ind w:right="260"/>
              <w:spacing w:after="0"/>
              <w:rPr>
                <w:sz w:val="20"/>
                <w:szCs w:val="20"/>
                <w:color w:val="auto"/>
              </w:rPr>
            </w:pPr>
            <w:r>
              <w:rPr>
                <w:rFonts w:ascii="Arial" w:cs="Arial" w:eastAsia="Arial" w:hAnsi="Arial"/>
                <w:sz w:val="14"/>
                <w:szCs w:val="14"/>
                <w:b w:val="1"/>
                <w:bCs w:val="1"/>
                <w:color w:val="auto"/>
                <w:w w:val="99"/>
              </w:rPr>
              <w:t>Three Months Ended March 31, 2013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Realized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Included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8"/>
              </w:rPr>
              <w:t>Sales/</w:t>
            </w:r>
          </w:p>
        </w:tc>
        <w:tc>
          <w:tcPr>
            <w:tcW w:w="6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Other (a)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Acquisitions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60" w:type="dxa"/>
            <w:vAlign w:val="bottom"/>
          </w:tcPr>
          <w:p>
            <w:pPr>
              <w:spacing w:after="0"/>
              <w:rPr>
                <w:sz w:val="14"/>
                <w:szCs w:val="14"/>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190</w:t>
            </w:r>
          </w:p>
        </w:tc>
        <w:tc>
          <w:tcPr>
            <w:tcW w:w="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8"/>
                <w:szCs w:val="18"/>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2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116,101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9"/>
                <w:szCs w:val="19"/>
                <w:color w:val="auto"/>
              </w:rPr>
            </w:pPr>
          </w:p>
        </w:tc>
        <w:tc>
          <w:tcPr>
            <w:tcW w:w="70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(3,513)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(1,380)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Earnings for the three month periods ended March 31, 2014 and 2013 include net unrealized gains (losses) of $4,413 and $670, respectively.</w:t>
      </w:r>
    </w:p>
    <w:p>
      <w:pPr>
        <w:spacing w:after="0" w:line="19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2014 and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March 31, 2014 and December 31, 2013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March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32,210</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27,156</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61%</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151,903</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27,156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(17%), monthly (64%)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(9%), weekly (2%) and monthly (89%)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March 31, 2014, the Company’s maximum unfunded commitments for capital contributions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arose from (i) commitments to CP II, which amounted to $1,940 for potential “follow-on investments” and/or for fund expenses through the earlier of February 25, 2017 or the liquidation of the fund, (ii) commitments to EGCP III, which amounted to $18,337,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$6,879,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and other similar deferred compensation arrangements, which are reported in “revenue-other”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(see Note 12 of Notes to Condensed Consolidated Financial Statements) on the accompanying condensed consolidated statements of financial condition as of March 31, 2014 and December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1,046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213,438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162,422</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219,172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164,001</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6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$120 and $4,808 as of March 31, 2014, respectively, and $2,019 and $1,587 as of December 31, 2013, respectively, for contracts with the same counterparty under legally enforceable master netting agreements. Such amounts are recorded “net” in “other assets”, with receivables for net cash collateral under such contracts of $15,884 and $11,384 as of March 31, 2014 and December 31, 2013,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periods ended March 31, 2014 and 2013, were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Forward foreign currency exchange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3620"/>
        <w:spacing w:after="0" w:line="284" w:lineRule="auto"/>
        <w:rPr>
          <w:sz w:val="20"/>
          <w:szCs w:val="20"/>
          <w:color w:val="auto"/>
        </w:rPr>
      </w:pPr>
      <w:r>
        <w:rPr>
          <w:rFonts w:ascii="Arial" w:cs="Arial" w:eastAsia="Arial" w:hAnsi="Arial"/>
          <w:sz w:val="18"/>
          <w:szCs w:val="18"/>
          <w:color w:val="auto"/>
        </w:rPr>
        <w:t>Lazard Fund Interests and other similar deferred compensation arrangements Total return swaps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1" w:lineRule="exact"/>
        <w:rPr>
          <w:sz w:val="20"/>
          <w:szCs w:val="20"/>
          <w:color w:val="auto"/>
        </w:rPr>
      </w:pPr>
    </w:p>
    <w:p>
      <w:pPr>
        <w:jc w:val="right"/>
        <w:ind w:right="3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Three Months Ended</w:t>
      </w:r>
    </w:p>
    <w:p>
      <w:pPr>
        <w:jc w:val="center"/>
        <w:ind w:right="10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$(1,153)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$ 5,231</w:t>
            </w:r>
          </w:p>
        </w:tc>
        <w:tc>
          <w:tcPr>
            <w:tcW w:w="60" w:type="dxa"/>
            <w:vAlign w:val="bottom"/>
          </w:tcPr>
          <w:p>
            <w:pPr>
              <w:spacing w:after="0"/>
              <w:rPr>
                <w:sz w:val="18"/>
                <w:szCs w:val="18"/>
                <w:color w:val="auto"/>
              </w:rPr>
            </w:pPr>
          </w:p>
        </w:tc>
      </w:tr>
      <w:tr>
        <w:trPr>
          <w:trHeight w:val="216"/>
        </w:trPr>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(2,626)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(3,725)</w:t>
            </w:r>
          </w:p>
        </w:tc>
      </w:tr>
      <w:tr>
        <w:trPr>
          <w:trHeight w:val="223"/>
        </w:trPr>
        <w:tc>
          <w:tcPr>
            <w:tcW w:w="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(1,574)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(4,488)</w:t>
            </w:r>
          </w:p>
        </w:tc>
      </w:tr>
      <w:tr>
        <w:trPr>
          <w:trHeight w:val="20"/>
        </w:trPr>
        <w:tc>
          <w:tcPr>
            <w:tcW w:w="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(5,353)</w:t>
            </w: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(2,982)</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9040" w:space="720"/>
            <w:col w:w="166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2014 and December 31, 2013,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$173,735</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173,772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176,369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175,600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149,597</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502,725</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262,928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253,930</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242,976</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248,795</w:t>
            </w:r>
          </w:p>
        </w:tc>
        <w:tc>
          <w:tcPr>
            <w:tcW w:w="8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2014 and December 31, 2013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$349,716</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345,453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17,205</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366,921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363,877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March 31, 2014 and December 31, 2013, goodwill of $285,175 and $280,912,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2014 and 2013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30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$345,453</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Business acquisitions</w:t>
            </w:r>
          </w:p>
        </w:tc>
        <w:tc>
          <w:tcPr>
            <w:tcW w:w="3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Balance, March 31</w:t>
            </w:r>
          </w:p>
        </w:tc>
        <w:tc>
          <w:tcPr>
            <w:tcW w:w="3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349,716</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40" w:type="dxa"/>
            <w:vAlign w:val="bottom"/>
            <w:vMerge w:val="restart"/>
          </w:tcPr>
          <w:p>
            <w:pPr>
              <w:jc w:val="right"/>
              <w:ind w:right="2092"/>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459"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2014 and December 31, 2013,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$13,053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33,064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28,912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4,152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63,804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17,205</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63,803</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2014 and 2013 was $1,220 and $877,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2014 (April 1 through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Approximately 43%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March 31, 2014 and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66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Initial</w:t>
            </w:r>
          </w:p>
        </w:tc>
        <w:tc>
          <w:tcPr>
            <w:tcW w:w="980" w:type="dxa"/>
            <w:vAlign w:val="bottom"/>
          </w:tcPr>
          <w:p>
            <w:pPr>
              <w:spacing w:after="0"/>
              <w:rPr>
                <w:sz w:val="14"/>
                <w:szCs w:val="14"/>
                <w:color w:val="auto"/>
              </w:rPr>
            </w:pPr>
          </w:p>
        </w:tc>
        <w:tc>
          <w:tcPr>
            <w:tcW w:w="8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Annual</w:t>
            </w: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26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660" w:type="dxa"/>
            <w:vAlign w:val="bottom"/>
          </w:tcPr>
          <w:p>
            <w:pPr>
              <w:ind w:left="1840"/>
              <w:spacing w:after="0" w:line="149" w:lineRule="exact"/>
              <w:rPr>
                <w:sz w:val="20"/>
                <w:szCs w:val="20"/>
                <w:color w:val="auto"/>
              </w:rPr>
            </w:pPr>
            <w:r>
              <w:rPr>
                <w:rFonts w:ascii="Arial" w:cs="Arial" w:eastAsia="Arial" w:hAnsi="Arial"/>
                <w:sz w:val="14"/>
                <w:szCs w:val="14"/>
                <w:b w:val="1"/>
                <w:bCs w:val="1"/>
                <w:color w:val="auto"/>
              </w:rPr>
              <w:t>Principal</w:t>
            </w:r>
          </w:p>
        </w:tc>
        <w:tc>
          <w:tcPr>
            <w:tcW w:w="98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Maturity</w:t>
            </w:r>
          </w:p>
        </w:tc>
        <w:tc>
          <w:tcPr>
            <w:tcW w:w="8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2"/>
                <w:szCs w:val="12"/>
                <w:color w:val="auto"/>
              </w:rPr>
            </w:pP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5"/>
              </w:rPr>
              <w:t>March 31,</w:t>
            </w:r>
          </w:p>
        </w:tc>
        <w:tc>
          <w:tcPr>
            <w:tcW w:w="9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260" w:type="dxa"/>
            <w:vAlign w:val="bottom"/>
            <w:tcBorders>
              <w:bottom w:val="single" w:sz="8" w:color="CCEEFF"/>
            </w:tcBorders>
          </w:tcPr>
          <w:p>
            <w:pPr>
              <w:spacing w:after="0"/>
              <w:rPr>
                <w:sz w:val="15"/>
                <w:szCs w:val="15"/>
                <w:color w:val="auto"/>
              </w:rPr>
            </w:pPr>
          </w:p>
        </w:tc>
        <w:tc>
          <w:tcPr>
            <w:tcW w:w="2660" w:type="dxa"/>
            <w:vAlign w:val="bottom"/>
            <w:tcBorders>
              <w:bottom w:val="single" w:sz="8" w:color="CCEEFF"/>
            </w:tcBorders>
          </w:tcPr>
          <w:p>
            <w:pPr>
              <w:ind w:left="186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CCEEFF"/>
            </w:tcBorders>
          </w:tcPr>
          <w:p>
            <w:pPr>
              <w:jc w:val="right"/>
              <w:ind w:right="240"/>
              <w:spacing w:after="0"/>
              <w:rPr>
                <w:sz w:val="20"/>
                <w:szCs w:val="20"/>
                <w:color w:val="auto"/>
              </w:rPr>
            </w:pPr>
            <w:r>
              <w:rPr>
                <w:rFonts w:ascii="Arial" w:cs="Arial" w:eastAsia="Arial" w:hAnsi="Arial"/>
                <w:sz w:val="14"/>
                <w:szCs w:val="14"/>
                <w:b w:val="1"/>
                <w:bCs w:val="1"/>
                <w:color w:val="auto"/>
              </w:rPr>
              <w:t>Date</w:t>
            </w:r>
          </w:p>
        </w:tc>
        <w:tc>
          <w:tcPr>
            <w:tcW w:w="880" w:type="dxa"/>
            <w:vAlign w:val="bottom"/>
            <w:tcBorders>
              <w:bottom w:val="single" w:sz="8" w:color="CCEEFF"/>
            </w:tcBorders>
          </w:tcPr>
          <w:p>
            <w:pPr>
              <w:jc w:val="center"/>
              <w:ind w:right="162"/>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6.85% Senior Notes</w:t>
            </w:r>
          </w:p>
        </w:tc>
        <w:tc>
          <w:tcPr>
            <w:tcW w:w="26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600,000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6/15/17</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Lazard Group 4.25% Senior Notes</w:t>
            </w:r>
          </w:p>
        </w:tc>
        <w:tc>
          <w:tcPr>
            <w:tcW w:w="2660" w:type="dxa"/>
            <w:vAlign w:val="bottom"/>
          </w:tcPr>
          <w:p>
            <w:pPr>
              <w:ind w:left="1840"/>
              <w:spacing w:after="0"/>
              <w:rPr>
                <w:sz w:val="20"/>
                <w:szCs w:val="20"/>
                <w:color w:val="auto"/>
              </w:rPr>
            </w:pPr>
            <w:r>
              <w:rPr>
                <w:rFonts w:ascii="Arial" w:cs="Arial" w:eastAsia="Arial" w:hAnsi="Arial"/>
                <w:sz w:val="18"/>
                <w:szCs w:val="18"/>
                <w:color w:val="auto"/>
              </w:rPr>
              <w:t>500,000</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11/14/20</w:t>
            </w:r>
          </w:p>
        </w:tc>
        <w:tc>
          <w:tcPr>
            <w:tcW w:w="880" w:type="dxa"/>
            <w:vAlign w:val="bottom"/>
          </w:tcPr>
          <w:p>
            <w:pPr>
              <w:jc w:val="right"/>
              <w:ind w:right="102"/>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6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150,000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9/25/15</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0.78%</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44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1,048,350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November 2013, and in connection with Lazard Group’s redemption of $528,500 aggregate principal amount of its then outstanding 7.125% senior notes maturing on May 15, 2015 (the “2015 Notes”), Lazard Group issued $500,000 aggregate principal amount of 4.25% senior notes maturing on November 14, 2020 (the “2020 Notes”). Interest on the 2020 Notes is payable semi-annually on May 14 and November 14 of each year commencing on May 14, 2014.</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applicable margin. As of March 31, 2014, the annual interest rate for a loan accruing interest (based on the Federal Funds overnight rate), including the applicable margin, was 0.78%. At March 31, 2014 and December 31, 2013, no amounts were outstanding under the Credit Facility.</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March 31, 2014, the Company was in compliance with such provisions. All of the Company’s senior debt obligations are unsecured.</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March 31, 2014, the Company had approximately $258,000 in unused lines of credit available to it, including the Credit Facility, and unused lines of credit available to LFB of approximately $48,000 (at March 31, 2014 exchange rates) and Edgewater of $55,000. In addition, LFB has access to the Eurosystem Covered Bond Purchase Program of the Banque de France.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senior debt at March 31, 2014 and December 31, 2013 is carried at historical amounts. At those dates, the fair value of such senior debt was approximately $1,140,000 and $1,117,000, respectively, and exceeded the aggregate carrying value by approximately $92,000 and $69,000, respectively. The fair value of the Company’s senior debt is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2014, LFB had $5,908 of such indemnifications and held $5,255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March 31, 2014 and December 31, 2013, of the Initial Shares and Earnout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Shares, 1,371,992 shares have been earned because applicable performance thresholds have been satisfied. Such shares are no longer subject to any contingencies.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1,029,006 of such shares have been settled, and no additional shares have been settled as of March 31, 2014.</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Contingent Consideration Relating To Other Business Acquisitions</w:t>
      </w:r>
      <w:r>
        <w:rPr>
          <w:rFonts w:ascii="Arial" w:cs="Arial" w:eastAsia="Arial" w:hAnsi="Arial"/>
          <w:sz w:val="16"/>
          <w:szCs w:val="16"/>
          <w:color w:val="auto"/>
        </w:rPr>
        <w:t>—For a business acquired in 2012, at December 31, 2012, 170,988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07"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March 31, 2014, these commitments were not material.</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March 31, 2014, LFB had no such underwriting commitments.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2014 and 2013,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w w:val="92"/>
              </w:rPr>
              <w:t>March 31,</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35,917</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36,130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2013, 2012 and 2011, the Board of Directors of Lazard Ltd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and Lazard Group common membership interests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Share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2011</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expects that the share repurchase program, with respect to the Class A common stock,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1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1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5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1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18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Interests Purchased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15"/>
        </w:trPr>
        <w:tc>
          <w:tcPr>
            <w:tcW w:w="82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Three Months Ended March 31:</w:t>
            </w:r>
          </w:p>
        </w:tc>
        <w:tc>
          <w:tcPr>
            <w:tcW w:w="1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2013</w:t>
            </w:r>
          </w:p>
        </w:tc>
        <w:tc>
          <w:tcPr>
            <w:tcW w:w="634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831,157</w:t>
            </w:r>
          </w:p>
        </w:tc>
        <w:tc>
          <w:tcPr>
            <w:tcW w:w="6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top w:val="single" w:sz="8" w:color="CCEEFF"/>
            </w:tcBorders>
          </w:tcPr>
          <w:p>
            <w:pPr>
              <w:spacing w:after="0"/>
              <w:rPr>
                <w:sz w:val="24"/>
                <w:szCs w:val="24"/>
                <w:color w:val="auto"/>
              </w:rPr>
            </w:pPr>
          </w:p>
        </w:tc>
      </w:tr>
      <w:tr>
        <w:trPr>
          <w:trHeight w:val="218"/>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2,392,674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As of March 31, 2014, a total of $14,654 of share repurchase authorization remained available under the Company’s share repurchase program, which will expire on December 31, 2015.</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April 2014, the Board of Directors of Lazard Ltd authorized the repurchase of up to an additional $200,000 in aggregate cost of Class A common stock and Lazard Group common membership interests through December 31,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 periods ended March 31,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7"/>
          </w:tcPr>
          <w:p>
            <w:pPr>
              <w:jc w:val="center"/>
              <w:ind w:right="342"/>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1120" w:type="dxa"/>
            <w:vAlign w:val="bottom"/>
            <w:gridSpan w:val="4"/>
          </w:tcPr>
          <w:p>
            <w:pPr>
              <w:jc w:val="center"/>
              <w:ind w:right="318"/>
              <w:spacing w:after="0" w:line="149" w:lineRule="exact"/>
              <w:rPr>
                <w:sz w:val="20"/>
                <w:szCs w:val="20"/>
                <w:color w:val="auto"/>
              </w:rPr>
            </w:pPr>
            <w:r>
              <w:rPr>
                <w:rFonts w:ascii="Arial" w:cs="Arial" w:eastAsia="Arial" w:hAnsi="Arial"/>
                <w:sz w:val="14"/>
                <w:szCs w:val="14"/>
                <w:b w:val="1"/>
                <w:bCs w:val="1"/>
                <w:color w:val="auto"/>
                <w:w w:val="84"/>
              </w:rPr>
              <w:t>Employee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7"/>
          </w:tcPr>
          <w:p>
            <w:pPr>
              <w:jc w:val="center"/>
              <w:ind w:right="322"/>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1120" w:type="dxa"/>
            <w:vAlign w:val="bottom"/>
            <w:gridSpan w:val="4"/>
          </w:tcPr>
          <w:p>
            <w:pPr>
              <w:jc w:val="center"/>
              <w:ind w:right="318"/>
              <w:spacing w:after="0" w:line="149" w:lineRule="exact"/>
              <w:rPr>
                <w:sz w:val="20"/>
                <w:szCs w:val="20"/>
                <w:color w:val="auto"/>
              </w:rPr>
            </w:pPr>
            <w:r>
              <w:rPr>
                <w:rFonts w:ascii="Arial" w:cs="Arial" w:eastAsia="Arial" w:hAnsi="Arial"/>
                <w:sz w:val="14"/>
                <w:szCs w:val="14"/>
                <w:b w:val="1"/>
                <w:bCs w:val="1"/>
                <w:color w:val="auto"/>
                <w:w w:val="84"/>
              </w:rPr>
              <w:t>Benefit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right"/>
              <w:ind w:right="618"/>
              <w:spacing w:after="0" w:line="149" w:lineRule="exact"/>
              <w:rPr>
                <w:sz w:val="20"/>
                <w:szCs w:val="20"/>
                <w:color w:val="auto"/>
              </w:rPr>
            </w:pPr>
            <w:r>
              <w:rPr>
                <w:rFonts w:ascii="Arial" w:cs="Arial" w:eastAsia="Arial" w:hAnsi="Arial"/>
                <w:sz w:val="14"/>
                <w:szCs w:val="14"/>
                <w:b w:val="1"/>
                <w:bCs w:val="1"/>
                <w:color w:val="auto"/>
                <w:w w:val="95"/>
              </w:rPr>
              <w:t>Total</w:t>
            </w:r>
          </w:p>
        </w:tc>
        <w:tc>
          <w:tcPr>
            <w:tcW w:w="13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7"/>
          </w:tcPr>
          <w:p>
            <w:pPr>
              <w:jc w:val="center"/>
              <w:ind w:right="322"/>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1120" w:type="dxa"/>
            <w:vAlign w:val="bottom"/>
            <w:gridSpan w:val="4"/>
          </w:tcPr>
          <w:p>
            <w:pPr>
              <w:jc w:val="center"/>
              <w:ind w:right="318"/>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right"/>
              <w:ind w:right="578"/>
              <w:spacing w:after="0"/>
              <w:rPr>
                <w:sz w:val="20"/>
                <w:szCs w:val="20"/>
                <w:color w:val="auto"/>
              </w:rPr>
            </w:pPr>
            <w:r>
              <w:rPr>
                <w:rFonts w:ascii="Arial" w:cs="Arial" w:eastAsia="Arial" w:hAnsi="Arial"/>
                <w:sz w:val="14"/>
                <w:szCs w:val="14"/>
                <w:b w:val="1"/>
                <w:bCs w:val="1"/>
                <w:color w:val="auto"/>
              </w:rPr>
              <w:t>AOCI</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35,236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(137,431</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(102,195</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(102,196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Activity January 1 to March 31, 2014: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98"/>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58"/>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Balance, March 31, 2014</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38,827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98"/>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(136,699)</w:t>
            </w:r>
          </w:p>
        </w:tc>
        <w:tc>
          <w:tcPr>
            <w:tcW w:w="160" w:type="dxa"/>
            <w:vAlign w:val="bottom"/>
          </w:tcPr>
          <w:p>
            <w:pPr>
              <w:spacing w:after="0"/>
              <w:rPr>
                <w:sz w:val="19"/>
                <w:szCs w:val="19"/>
                <w:color w:val="auto"/>
              </w:rPr>
            </w:pPr>
          </w:p>
        </w:tc>
        <w:tc>
          <w:tcPr>
            <w:tcW w:w="960" w:type="dxa"/>
            <w:vAlign w:val="bottom"/>
            <w:gridSpan w:val="4"/>
          </w:tcPr>
          <w:p>
            <w:pPr>
              <w:jc w:val="right"/>
              <w:ind w:right="18"/>
              <w:spacing w:after="0"/>
              <w:rPr>
                <w:sz w:val="20"/>
                <w:szCs w:val="20"/>
                <w:color w:val="auto"/>
              </w:rPr>
            </w:pPr>
            <w:r>
              <w:rPr>
                <w:rFonts w:ascii="Arial" w:cs="Arial" w:eastAsia="Arial" w:hAnsi="Arial"/>
                <w:sz w:val="18"/>
                <w:szCs w:val="18"/>
                <w:color w:val="auto"/>
              </w:rPr>
              <w:t>$ (97,872)</w:t>
            </w:r>
          </w:p>
        </w:tc>
        <w:tc>
          <w:tcPr>
            <w:tcW w:w="3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(97,873)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Currency</w:t>
            </w:r>
          </w:p>
        </w:tc>
        <w:tc>
          <w:tcPr>
            <w:tcW w:w="160" w:type="dxa"/>
            <w:vAlign w:val="bottom"/>
          </w:tcPr>
          <w:p>
            <w:pPr>
              <w:spacing w:after="0"/>
              <w:rPr>
                <w:sz w:val="12"/>
                <w:szCs w:val="12"/>
                <w:color w:val="auto"/>
              </w:rPr>
            </w:pPr>
          </w:p>
        </w:tc>
        <w:tc>
          <w:tcPr>
            <w:tcW w:w="700" w:type="dxa"/>
            <w:vAlign w:val="bottom"/>
            <w:gridSpan w:val="3"/>
          </w:tcPr>
          <w:p>
            <w:pPr>
              <w:jc w:val="center"/>
              <w:ind w:right="102"/>
              <w:spacing w:after="0" w:line="14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78"/>
              <w:spacing w:after="0" w:line="149" w:lineRule="exact"/>
              <w:rPr>
                <w:sz w:val="20"/>
                <w:szCs w:val="20"/>
                <w:color w:val="auto"/>
              </w:rPr>
            </w:pPr>
            <w:r>
              <w:rPr>
                <w:rFonts w:ascii="Arial" w:cs="Arial" w:eastAsia="Arial" w:hAnsi="Arial"/>
                <w:sz w:val="14"/>
                <w:szCs w:val="14"/>
                <w:b w:val="1"/>
                <w:bCs w:val="1"/>
                <w:color w:val="auto"/>
                <w:w w:val="84"/>
              </w:rPr>
              <w:t>Employee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w w:val="98"/>
              </w:rPr>
              <w:t>Translation</w:t>
            </w:r>
          </w:p>
        </w:tc>
        <w:tc>
          <w:tcPr>
            <w:tcW w:w="160" w:type="dxa"/>
            <w:vAlign w:val="bottom"/>
          </w:tcPr>
          <w:p>
            <w:pPr>
              <w:spacing w:after="0"/>
              <w:rPr>
                <w:sz w:val="12"/>
                <w:szCs w:val="12"/>
                <w:color w:val="auto"/>
              </w:rPr>
            </w:pPr>
          </w:p>
        </w:tc>
        <w:tc>
          <w:tcPr>
            <w:tcW w:w="700" w:type="dxa"/>
            <w:vAlign w:val="bottom"/>
            <w:gridSpan w:val="3"/>
          </w:tcPr>
          <w:p>
            <w:pPr>
              <w:jc w:val="center"/>
              <w:ind w:right="122"/>
              <w:spacing w:after="0" w:line="149" w:lineRule="exact"/>
              <w:rPr>
                <w:sz w:val="20"/>
                <w:szCs w:val="20"/>
                <w:color w:val="auto"/>
              </w:rPr>
            </w:pPr>
            <w:r>
              <w:rPr>
                <w:rFonts w:ascii="Arial" w:cs="Arial" w:eastAsia="Arial" w:hAnsi="Arial"/>
                <w:sz w:val="14"/>
                <w:szCs w:val="14"/>
                <w:b w:val="1"/>
                <w:bCs w:val="1"/>
                <w:color w:val="auto"/>
                <w:w w:val="85"/>
              </w:rPr>
              <w:t>Rate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78"/>
              <w:spacing w:after="0" w:line="149" w:lineRule="exact"/>
              <w:rPr>
                <w:sz w:val="20"/>
                <w:szCs w:val="20"/>
                <w:color w:val="auto"/>
              </w:rPr>
            </w:pPr>
            <w:r>
              <w:rPr>
                <w:rFonts w:ascii="Arial" w:cs="Arial" w:eastAsia="Arial" w:hAnsi="Arial"/>
                <w:sz w:val="14"/>
                <w:szCs w:val="14"/>
                <w:b w:val="1"/>
                <w:bCs w:val="1"/>
                <w:color w:val="auto"/>
                <w:w w:val="84"/>
              </w:rPr>
              <w:t>Benefit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right"/>
              <w:ind w:right="458"/>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700" w:type="dxa"/>
            <w:vAlign w:val="bottom"/>
            <w:gridSpan w:val="3"/>
          </w:tcPr>
          <w:p>
            <w:pPr>
              <w:jc w:val="center"/>
              <w:ind w:right="122"/>
              <w:spacing w:after="0"/>
              <w:rPr>
                <w:sz w:val="20"/>
                <w:szCs w:val="20"/>
                <w:color w:val="auto"/>
              </w:rPr>
            </w:pPr>
            <w:r>
              <w:rPr>
                <w:rFonts w:ascii="Arial" w:cs="Arial" w:eastAsia="Arial" w:hAnsi="Arial"/>
                <w:sz w:val="14"/>
                <w:szCs w:val="14"/>
                <w:b w:val="1"/>
                <w:bCs w:val="1"/>
                <w:color w:val="auto"/>
                <w:w w:val="88"/>
              </w:rPr>
              <w:t>Hedge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tcPr>
          <w:p>
            <w:pPr>
              <w:jc w:val="center"/>
              <w:ind w:right="78"/>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rPr>
              <w:t>AOCI</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(2,502</w:t>
            </w:r>
          </w:p>
        </w:tc>
        <w:tc>
          <w:tcPr>
            <w:tcW w:w="140" w:type="dxa"/>
            <w:vAlign w:val="bottom"/>
            <w:tcBorders>
              <w:top w:val="single" w:sz="8" w:color="CCEEFF"/>
            </w:tcBorders>
            <w:shd w:val="clear" w:color="auto" w:fill="CCEEFF"/>
          </w:tcPr>
          <w:p>
            <w:pPr>
              <w:jc w:val="right"/>
              <w:ind w:right="62"/>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(92,381</w:t>
            </w:r>
          </w:p>
        </w:tc>
        <w:tc>
          <w:tcPr>
            <w:tcW w:w="32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w w:val="79"/>
              </w:rPr>
              <w:t>12</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Activity January 1 to March 31, 2013: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18"/>
              <w:spacing w:after="0"/>
              <w:rPr>
                <w:sz w:val="20"/>
                <w:szCs w:val="20"/>
                <w:color w:val="auto"/>
              </w:rPr>
            </w:pPr>
            <w:r>
              <w:rPr>
                <w:rFonts w:ascii="Arial" w:cs="Arial" w:eastAsia="Arial" w:hAnsi="Arial"/>
                <w:sz w:val="18"/>
                <w:szCs w:val="18"/>
                <w:color w:val="auto"/>
              </w:rPr>
              <w:t>(3,423)</w:t>
            </w:r>
          </w:p>
        </w:tc>
        <w:tc>
          <w:tcPr>
            <w:tcW w:w="1280" w:type="dxa"/>
            <w:vAlign w:val="bottom"/>
            <w:gridSpan w:val="5"/>
            <w:shd w:val="clear" w:color="auto" w:fill="CCEEFF"/>
          </w:tcPr>
          <w:p>
            <w:pPr>
              <w:jc w:val="right"/>
              <w:ind w:right="178"/>
              <w:spacing w:after="0"/>
              <w:rPr>
                <w:sz w:val="20"/>
                <w:szCs w:val="20"/>
                <w:color w:val="auto"/>
              </w:rPr>
            </w:pPr>
            <w:r>
              <w:rPr>
                <w:rFonts w:ascii="Arial" w:cs="Arial" w:eastAsia="Arial" w:hAnsi="Arial"/>
                <w:sz w:val="18"/>
                <w:szCs w:val="18"/>
                <w:color w:val="auto"/>
              </w:rPr>
              <w:t>(15,559)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02"/>
              <w:spacing w:after="0"/>
              <w:rPr>
                <w:sz w:val="20"/>
                <w:szCs w:val="20"/>
                <w:color w:val="auto"/>
              </w:rPr>
            </w:pPr>
            <w:r>
              <w:rPr>
                <w:rFonts w:ascii="Arial" w:cs="Arial" w:eastAsia="Arial" w:hAnsi="Arial"/>
                <w:sz w:val="18"/>
                <w:szCs w:val="18"/>
                <w:color w:val="auto"/>
              </w:rPr>
              <w:t>264</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1,218</w:t>
            </w:r>
          </w:p>
        </w:tc>
        <w:tc>
          <w:tcPr>
            <w:tcW w:w="160" w:type="dxa"/>
            <w:vAlign w:val="bottom"/>
          </w:tcPr>
          <w:p>
            <w:pPr>
              <w:spacing w:after="0"/>
              <w:rPr>
                <w:sz w:val="18"/>
                <w:szCs w:val="18"/>
                <w:color w:val="auto"/>
              </w:rPr>
            </w:pPr>
          </w:p>
        </w:tc>
        <w:tc>
          <w:tcPr>
            <w:tcW w:w="1280" w:type="dxa"/>
            <w:vAlign w:val="bottom"/>
            <w:gridSpan w:val="5"/>
          </w:tcPr>
          <w:p>
            <w:pPr>
              <w:jc w:val="right"/>
              <w:ind w:right="238"/>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860" w:type="dxa"/>
            <w:vAlign w:val="bottom"/>
            <w:gridSpan w:val="4"/>
            <w:shd w:val="clear" w:color="auto" w:fill="CCEEFF"/>
          </w:tcPr>
          <w:p>
            <w:pPr>
              <w:jc w:val="right"/>
              <w:ind w:right="102"/>
              <w:spacing w:after="0"/>
              <w:rPr>
                <w:sz w:val="20"/>
                <w:szCs w:val="20"/>
                <w:color w:val="auto"/>
              </w:rPr>
            </w:pPr>
            <w:r>
              <w:rPr>
                <w:rFonts w:ascii="Arial" w:cs="Arial" w:eastAsia="Arial" w:hAnsi="Arial"/>
                <w:sz w:val="18"/>
                <w:szCs w:val="18"/>
                <w:color w:val="auto"/>
              </w:rPr>
              <w:t>264</w:t>
            </w:r>
          </w:p>
        </w:tc>
        <w:tc>
          <w:tcPr>
            <w:tcW w:w="1220" w:type="dxa"/>
            <w:vAlign w:val="bottom"/>
            <w:gridSpan w:val="5"/>
            <w:shd w:val="clear" w:color="auto" w:fill="CCEEFF"/>
          </w:tcPr>
          <w:p>
            <w:pPr>
              <w:jc w:val="right"/>
              <w:ind w:right="18"/>
              <w:spacing w:after="0"/>
              <w:rPr>
                <w:sz w:val="20"/>
                <w:szCs w:val="20"/>
                <w:color w:val="auto"/>
              </w:rPr>
            </w:pPr>
            <w:r>
              <w:rPr>
                <w:rFonts w:ascii="Arial" w:cs="Arial" w:eastAsia="Arial" w:hAnsi="Arial"/>
                <w:sz w:val="18"/>
                <w:szCs w:val="18"/>
                <w:color w:val="auto"/>
              </w:rPr>
              <w:t>(2,205)</w:t>
            </w:r>
          </w:p>
        </w:tc>
        <w:tc>
          <w:tcPr>
            <w:tcW w:w="1280" w:type="dxa"/>
            <w:vAlign w:val="bottom"/>
            <w:gridSpan w:val="5"/>
            <w:shd w:val="clear" w:color="auto" w:fill="CCEEFF"/>
          </w:tcPr>
          <w:p>
            <w:pPr>
              <w:jc w:val="right"/>
              <w:ind w:right="178"/>
              <w:spacing w:after="0"/>
              <w:rPr>
                <w:sz w:val="20"/>
                <w:szCs w:val="20"/>
                <w:color w:val="auto"/>
              </w:rPr>
            </w:pPr>
            <w:r>
              <w:rPr>
                <w:rFonts w:ascii="Arial" w:cs="Arial" w:eastAsia="Arial" w:hAnsi="Arial"/>
                <w:sz w:val="18"/>
                <w:szCs w:val="18"/>
                <w:color w:val="auto"/>
              </w:rPr>
              <w:t>(14,077)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26,521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4"/>
          </w:tcPr>
          <w:p>
            <w:pPr>
              <w:jc w:val="right"/>
              <w:ind w:right="6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(2,238)</w:t>
            </w:r>
          </w:p>
        </w:tc>
        <w:tc>
          <w:tcPr>
            <w:tcW w:w="1220" w:type="dxa"/>
            <w:vAlign w:val="bottom"/>
            <w:gridSpan w:val="5"/>
          </w:tcPr>
          <w:p>
            <w:pPr>
              <w:jc w:val="right"/>
              <w:ind w:right="1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(130,741)</w:t>
            </w:r>
          </w:p>
        </w:tc>
        <w:tc>
          <w:tcPr>
            <w:tcW w:w="1280" w:type="dxa"/>
            <w:vAlign w:val="bottom"/>
            <w:gridSpan w:val="5"/>
          </w:tcPr>
          <w:p>
            <w:pPr>
              <w:jc w:val="right"/>
              <w:ind w:right="17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(106,458)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w w:val="79"/>
              </w:rPr>
              <w:t>23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(106,481)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periods ended March 31, 2014 and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12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1,821</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1,289</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1,289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periods ended March 31, 2014 and 2013 and noncontrolling interests as of March 31, 2014 and December 31, 2013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87"/>
              </w:rPr>
              <w:t>Net Income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8"/>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85"/>
              </w:rPr>
              <w:t>Interests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5"/>
          </w:tcPr>
          <w:p>
            <w:pPr>
              <w:jc w:val="center"/>
              <w:ind w:left="301"/>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89"/>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9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3"/>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2,366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95"/>
              </w:rPr>
              <w:t>(269)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9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1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2,097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8"/>
          </w:tcPr>
          <w:p>
            <w:pPr>
              <w:ind w:left="22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20" w:type="dxa"/>
            <w:vAlign w:val="bottom"/>
            <w:tcBorders>
              <w:top w:val="single" w:sz="8" w:color="auto"/>
            </w:tcBorders>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2"/>
              </w:rPr>
              <w:t>March 31,</w:t>
            </w:r>
          </w:p>
        </w:tc>
        <w:tc>
          <w:tcPr>
            <w:tcW w:w="8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9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66,849</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3"/>
              </w:rPr>
              <w:t>66,641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66,859</w:t>
            </w:r>
          </w:p>
        </w:tc>
        <w:tc>
          <w:tcPr>
            <w:tcW w:w="11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66,654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2014 and 2013,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periods ended March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7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RSUs (a)</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52,285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64,942</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6,612</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22"/>
        </w:trPr>
        <w:tc>
          <w:tcPr>
            <w:tcW w:w="8780" w:type="dxa"/>
            <w:vAlign w:val="bottom"/>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60,746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70,677</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charges relating to the cost saving initiatives of $4,455 (see Note 14 of Notes to Condensed Consolidated Financial Statements).</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charges relating to the cost saving initiatives of $233.</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 ended March 31, 2014, dividend participation rights required the issuance of 115,297 RSUs.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No such DSUs were granted in connection with annual compensation during the three month periods ended March 31, 2014 and 2013. Their remaining compensation is payable in cash, which they may elect to receive in the form of additional DSUs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Directors’ Fee Deferral Unit Plan described below. DSUs are convertible into shares of Class A common stock at the time of cessation of service to the Board. DSUs include a cash dividend participation right equivalent to any ordinary quarterly dividends paid on Class A common stock, and resulted in nominal cash payments for the three month period ended March 31, 2014.</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2014 and 2013, 2,310 and 1,886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2014 and 2013: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9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1160" w:type="dxa"/>
            <w:vAlign w:val="bottom"/>
            <w:gridSpan w:val="4"/>
          </w:tcPr>
          <w:p>
            <w:pPr>
              <w:jc w:val="center"/>
              <w:ind w:left="19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Fair Value</w:t>
            </w: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16,630,009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251,434</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115,297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3,492,223</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(6,317,612)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38.04</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13,783,319</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253,744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18"/>
                <w:szCs w:val="18"/>
                <w:color w:val="auto"/>
              </w:rPr>
            </w:pPr>
          </w:p>
        </w:tc>
      </w:tr>
      <w:tr>
        <w:trPr>
          <w:trHeight w:val="20"/>
        </w:trPr>
        <w:tc>
          <w:tcPr>
            <w:tcW w:w="618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18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21,481,131</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33.92</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204,496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4,297,664</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(45,907)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36.12</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(8,268,744)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Balance, March 31, 2013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17,464,144</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34.26</w:t>
            </w: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206,382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RSUs that vested during the three month periods ended March 31, 2014 and 2013, the Company satisfied its minimum statutory tax withholding requirements in lieu of issuing 1,843,389 and 3,231,285 shares of Class A common stock in the respective three month periods. Accordingly, 4,474,223 and 5,037,459 shares of Class A common stock held by the Company were delivered during the three month periods ended March 31, 2014 and 2013, respectively.</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the fourth quarter of 2012, 958,213 RSUs were modified through forward purchase agreements into liability awards. Such liability awards were settled on March 1, 2013 for $28,612. During the three month period ended March 31, 2013, compensation expense of $1,690 was recorded for such liability awards.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March 31, 2014, unrecognized RSU compensation expense, adjusted for estimated forfeitures, was approximately $267,421, with such expense expected to be recognized over a weighted average period of approximately 1.6 years subsequent to March 31, 2014.</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2014 and 2013: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449,344</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(205,075)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Balance, March 31, 2014</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819,323</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388,763</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(1,715,275)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642,828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2014 and 2013, the Company satisfied its minimum statutory tax withholding requirements in lieu of delivering 29,999 and 12,308 shares of Class A common stock during the respective three month periods. Accordingly, 175,076 and 1,702,967 shares of Class A common stock held by the Company were delivered during the three month periods ended March 31, 2014 and 2013, respectively.</w:t>
      </w:r>
    </w:p>
    <w:p>
      <w:pPr>
        <w:spacing w:after="0" w:line="143"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quarterly dividends paid on Class A common stock during the period, which will vest concurrently with the underlying restricted stock award. At March 31, 2014, unrecognized restricted stock expense was approximately $20,657, with such expense to be recognized over a weighted average period of approximately 1.9 years subsequent to March 31, 2014.</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can range from zero to two times the target number (or, for PRSUs granted in 2013, three times the target number in the event of a substantial increase in fiscal year 2014 revenue (adjusted for certain items)). The PRSUs granted in 2014 will vest on a single date three years following the date of the grant and the PRSUs granted in 2013 will vest 33% in March 2015 and 67% in March 2016, in each case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periods the target number of PRSUs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PRSUs during the three month periods ended March 31, 2014 and 2013 at the target level:</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360,783</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808,911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Balance, January 1, 2013</w:t>
            </w: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7620" w:type="dxa"/>
            <w:vAlign w:val="bottom"/>
            <w:vMerge w:val="continue"/>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 March 31, 2013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2014, the total estimated unrecognized compensation expense was approximately $33,673, and the Company expects to amortize such expense over a weighted-average period of approximately 2.0 years subsequent to March 31,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Lazard Fund Interests to eligible employees.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three month periods ended March 31, 2014 and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92,711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(45,450)</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(19,407)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798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Balance, March 31, 2014</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133,844</w:t>
            </w:r>
          </w:p>
        </w:tc>
        <w:tc>
          <w:tcPr>
            <w:tcW w:w="5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213,438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72,182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72,182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29"/>
        </w:trPr>
        <w:tc>
          <w:tcPr>
            <w:tcW w:w="79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6"/>
        </w:trPr>
        <w:tc>
          <w:tcPr>
            <w:tcW w:w="798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106,724</w:t>
            </w:r>
          </w:p>
        </w:tc>
        <w:tc>
          <w:tcPr>
            <w:tcW w:w="5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158,809</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2.2 years subsequent to March 31, 2014.</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condensed consolidated statements of operations for the three month periods ended March 31, 2014 and 2013:</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$20,313</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6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2640"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charges relating to the cost saving initiatives of $917. 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did not make a contribution to the U.S. pension plans during the three month period ended March 31, 2014.</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was approximately $17,000 and $16,900 at March 31, 2014 and December 31, 2013, respectively, and has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2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three month period ended March 31, 2014, no contribution to these U.K. pension plans was required to be made. Contributions were made to other non-U.S. pension plans of approximately $4,800.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periods ended March 31,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Pr>
          <w:p>
            <w:pPr>
              <w:spacing w:after="0"/>
              <w:rPr>
                <w:sz w:val="14"/>
                <w:szCs w:val="14"/>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Three Months Ended March 31,</w:t>
            </w: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$ 12</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6,753</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(8,079)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(6,797)</w:t>
            </w:r>
          </w:p>
        </w:tc>
        <w:tc>
          <w:tcPr>
            <w:tcW w:w="2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1,519</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1,890</w:t>
            </w:r>
          </w:p>
        </w:tc>
        <w:tc>
          <w:tcPr>
            <w:tcW w:w="3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$ 42</w:t>
            </w:r>
          </w:p>
        </w:tc>
        <w:tc>
          <w:tcPr>
            <w:tcW w:w="3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Cost Saving Initiatives</w:t>
      </w:r>
      <w:r>
        <w:rPr>
          <w:rFonts w:ascii="Arial" w:cs="Arial" w:eastAsia="Arial" w:hAnsi="Arial"/>
          <w:sz w:val="18"/>
          <w:szCs w:val="18"/>
          <w:color w:val="auto"/>
        </w:rPr>
        <w:t>—In October 2012, the Company announced cost saving initiatives (the “Cost Saving Initiatives”) relating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These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Advisory</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 Period Ended March 31, 2013:</w:t>
            </w:r>
          </w:p>
        </w:tc>
        <w:tc>
          <w:tcPr>
            <w:tcW w:w="17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900" w:type="dxa"/>
            <w:vAlign w:val="bottom"/>
            <w:gridSpan w:val="3"/>
          </w:tcPr>
          <w:p>
            <w:pPr>
              <w:jc w:val="right"/>
              <w:ind w:right="580"/>
              <w:spacing w:after="0"/>
              <w:rPr>
                <w:sz w:val="20"/>
                <w:szCs w:val="20"/>
                <w:color w:val="auto"/>
              </w:rPr>
            </w:pPr>
            <w:r>
              <w:rPr>
                <w:rFonts w:ascii="Arial" w:cs="Arial" w:eastAsia="Arial" w:hAnsi="Arial"/>
                <w:sz w:val="18"/>
                <w:szCs w:val="18"/>
                <w:color w:val="auto"/>
              </w:rPr>
              <w:t>$20,394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4,041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29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4,072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Advisory</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17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March 31, 2013:</w:t>
            </w:r>
          </w:p>
        </w:tc>
        <w:tc>
          <w:tcPr>
            <w:tcW w:w="17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900" w:type="dxa"/>
            <w:vAlign w:val="bottom"/>
            <w:gridSpan w:val="3"/>
          </w:tcPr>
          <w:p>
            <w:pPr>
              <w:jc w:val="right"/>
              <w:ind w:right="580"/>
              <w:spacing w:after="0"/>
              <w:rPr>
                <w:sz w:val="20"/>
                <w:szCs w:val="20"/>
                <w:color w:val="auto"/>
              </w:rPr>
            </w:pPr>
            <w:r>
              <w:rPr>
                <w:rFonts w:ascii="Arial" w:cs="Arial" w:eastAsia="Arial" w:hAnsi="Arial"/>
                <w:sz w:val="18"/>
                <w:szCs w:val="18"/>
                <w:color w:val="auto"/>
              </w:rPr>
              <w:t>$96,527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12,292</w:t>
            </w:r>
          </w:p>
        </w:tc>
        <w:tc>
          <w:tcPr>
            <w:tcW w:w="1480" w:type="dxa"/>
            <w:vAlign w:val="bottom"/>
            <w:gridSpan w:val="4"/>
          </w:tcPr>
          <w:p>
            <w:pPr>
              <w:jc w:val="right"/>
              <w:ind w:right="600"/>
              <w:spacing w:after="0"/>
              <w:rPr>
                <w:sz w:val="20"/>
                <w:szCs w:val="20"/>
                <w:color w:val="auto"/>
              </w:rPr>
            </w:pPr>
            <w:r>
              <w:rPr>
                <w:rFonts w:ascii="Arial" w:cs="Arial" w:eastAsia="Arial" w:hAnsi="Arial"/>
                <w:sz w:val="18"/>
                <w:szCs w:val="18"/>
                <w:color w:val="auto"/>
              </w:rPr>
              <w:t>$ 15,839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99,547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13,024</w:t>
            </w:r>
          </w:p>
        </w:tc>
        <w:tc>
          <w:tcPr>
            <w:tcW w:w="1480" w:type="dxa"/>
            <w:vAlign w:val="bottom"/>
            <w:gridSpan w:val="4"/>
          </w:tcPr>
          <w:p>
            <w:pPr>
              <w:jc w:val="right"/>
              <w:ind w:right="600"/>
              <w:spacing w:after="0"/>
              <w:rPr>
                <w:sz w:val="20"/>
                <w:szCs w:val="20"/>
                <w:color w:val="auto"/>
              </w:rPr>
            </w:pPr>
            <w:r>
              <w:rPr>
                <w:rFonts w:ascii="Arial" w:cs="Arial" w:eastAsia="Arial" w:hAnsi="Arial"/>
                <w:sz w:val="18"/>
                <w:szCs w:val="18"/>
                <w:color w:val="auto"/>
              </w:rPr>
              <w:t>$ 16,327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40" w:type="dxa"/>
            <w:vAlign w:val="bottom"/>
            <w:vMerge w:val="restart"/>
          </w:tcPr>
          <w:p>
            <w:pPr>
              <w:jc w:val="right"/>
              <w:ind w:right="572"/>
              <w:spacing w:after="0"/>
              <w:rPr>
                <w:sz w:val="20"/>
                <w:szCs w:val="20"/>
                <w:color w:val="auto"/>
              </w:rPr>
            </w:pPr>
            <w:r>
              <w:rPr>
                <w:rFonts w:ascii="Arial" w:cs="Arial" w:eastAsia="Arial" w:hAnsi="Arial"/>
                <w:sz w:val="18"/>
                <w:szCs w:val="18"/>
                <w:color w:val="auto"/>
              </w:rPr>
              <w:t>33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Activity related to the obligations pursuant to the Cost Saving Initiatives during the three month period ended March 31, 2014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8"/>
              </w:rPr>
              <w:t>and Benefits</w:t>
            </w:r>
          </w:p>
        </w:tc>
        <w:tc>
          <w:tcPr>
            <w:tcW w:w="3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5,356</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Balance, March 31, 2014</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9,470</w:t>
            </w:r>
          </w:p>
        </w:tc>
        <w:tc>
          <w:tcPr>
            <w:tcW w:w="3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5,356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The Company recorded income tax provisions of $17,857 and $3,022 for the three month periods ended March 31, 2014 and 2013, respectively, representing effective tax rates of 16.6% and 14.2%, respectively. The difference between the U.S. federal statutory rate of 35.0% and the effective tax rates reflected above principally relates to (i) Lazard Group primarily operating as a limited liability company in the U.S., (ii) taxes payable to foreign jurisdictions and (iii) U.S. state and local taxes (primarily UBT), which are incremental to the U.S. federal statutory tax rate.</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8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LFCM Holdings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4,067</w:t>
            </w:r>
          </w:p>
        </w:tc>
        <w:tc>
          <w:tcPr>
            <w:tcW w:w="3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186,467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4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187,800</w:t>
            </w:r>
          </w:p>
        </w:tc>
        <w:tc>
          <w:tcPr>
            <w:tcW w:w="3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former and current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For the three month periods ended March 31, 2014 and 2013, amounts recorded by Lazard Group relating to the administrative services agreement amounted to $369 and $632, respectively, and net referral fees for underwriting, private placement, M&amp;A and restructuring transactions under the business alliance agreement amounted to $543 and $500,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Receivables from LFCM Holdings and its subsidiaries as of March 31, 2014 and December 31, 2013 include $2,967 and $3,112, respectively, related to administrative and support services and other receivables which include sublease income and reimbursement of expenses incurred on behalf of LFCM Holdings, and $1,100 and $4,682, respectively, related to referral fees for underwriting and private placement transactions. Payables to LFCM Holdings and its subsidiaries at March 31, 2014 and December 31, 2013 include $414 and $3,051, respectively, primarily relating to referral fees for Financial Advisory transactions.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March 31, 2014 and December 31, 2013 included interest-bearing loans of $97,947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$108,204, respectively, including accrued interest thereon. Interest income relating to interest-bearing loans with subsidiaries of Lazard Ltd amounted to $1,554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$1,542 for the three month periods ended March 31, 2014 and 2013, respectively.</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both March 31, 2014 and December 31, 2013, Lazard Group’s payables to subsidiaries of Lazard Ltd included $3,125 in connection with Lazard Group’s prior year business acquisitions. In addition, as of March 31, 2014 and December 31, 2013, Lazard Group’s payables to subsidiaries of Lazard Ltd included interest-bearing loans, plus accrued interest thereon, of approximately $181,900 and $194,000, respectively. Interest expense relating to interest-bearing loans with subsidiaries of Lazard Ltd amounted to $1,621 and $2,039 for the three month periods ended March 31, 2014 and 2013,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Other payables at March 31, 2014 and December 31, 2013 primarily relate to referral fees for M&amp;A and restructuring transactions with MBA Lazard Holdings S.A. and its affiliates, an Argentina-based group in which the Company has a 50% ownership interest.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certain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2014 and 2013, such charges amounted to $250 for each period.</w:t>
      </w:r>
    </w:p>
    <w:p>
      <w:pPr>
        <w:spacing w:after="0" w:line="26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March 31, 2014, LFNY’s regulatory net capital was $100,252, which exceeded the minimum requirement by $97,110.</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March 31, 2014, the aggregate regulatory net capital of the U.K. Subsidiaries was $92,574, which exceeded the minimum requirement by $75,634.</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March 31, 2014, the consolidated regulatory net capital of CFLF was $140,872, which exceeded the minimum requirement set for regulatory capital levels by $105,079. In addition, pursuant to the consolidated supervision rules in the European Union, LFB, in particular, as a French credit institution, is required to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2014, for those subsidiaries with regulatory capital requirements, their aggregate net capital was $105,753, which exceeded the minimum required capital by $77,600.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2014, each of these subsidiaries individually was in compliance with its regulatory capital requirements.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the three months ended March 31, 2014 and 2013 is prepared using the following methodology:</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6"/>
              </w:rPr>
              <w:t>2013(a)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275,496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245,415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216,908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(48,446)</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180" w:type="dxa"/>
            <w:vAlign w:val="bottom"/>
            <w:gridSpan w:val="3"/>
            <w:vMerge w:val="continue"/>
          </w:tcPr>
          <w:p>
            <w:pPr>
              <w:spacing w:after="0"/>
              <w:rPr>
                <w:sz w:val="24"/>
                <w:szCs w:val="24"/>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268,564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244,025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175,761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92,803</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88,948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(10,765)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(11,303)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(15,496)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(19,278)</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180" w:type="dxa"/>
            <w:vAlign w:val="bottom"/>
            <w:gridSpan w:val="3"/>
            <w:vMerge w:val="continue"/>
          </w:tcPr>
          <w:p>
            <w:pPr>
              <w:spacing w:after="0"/>
              <w:rPr>
                <w:sz w:val="24"/>
                <w:szCs w:val="24"/>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533,295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401,184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425,907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379,960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107,388</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three month period ended March 31, 2013.</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89"/>
              </w:rPr>
              <w:t>March 31,</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702,885</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714,708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536,836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1,730,221</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1,767,262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2,969,942</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3,093,988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80" w:type="dxa"/>
            <w:vAlign w:val="bottom"/>
            <w:vMerge w:val="restart"/>
          </w:tcPr>
          <w:p>
            <w:pPr>
              <w:jc w:val="right"/>
              <w:ind w:right="2612"/>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2013 (the “Form 10-K”). All references to “2014”, “2013”, “first quarter”, “three months” or “the period” refer to, as the context requires, the three month periods ended March 31, 2014 and March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41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4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52%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Asset Management</w:t>
            </w:r>
          </w:p>
        </w:tc>
        <w:tc>
          <w:tcPr>
            <w:tcW w:w="1420" w:type="dxa"/>
            <w:vAlign w:val="bottom"/>
            <w:gridSpan w:val="2"/>
          </w:tcPr>
          <w:p>
            <w:pPr>
              <w:jc w:val="right"/>
              <w:ind w:right="812"/>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vMerge w:val="continue"/>
          </w:tcPr>
          <w:p>
            <w:pPr>
              <w:spacing w:after="0"/>
              <w:rPr>
                <w:sz w:val="19"/>
                <w:szCs w:val="19"/>
                <w:color w:val="auto"/>
              </w:rPr>
            </w:pPr>
          </w:p>
        </w:tc>
        <w:tc>
          <w:tcPr>
            <w:tcW w:w="1420" w:type="dxa"/>
            <w:vAlign w:val="bottom"/>
            <w:gridSpan w:val="2"/>
          </w:tcPr>
          <w:p>
            <w:pPr>
              <w:jc w:val="right"/>
              <w:ind w:right="67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310" w:lineRule="auto"/>
        <w:tabs>
          <w:tab w:leader="none" w:pos="21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Edgewater Funds (“Edgewater”), our Chicago-based private equity firm (see Note 10 of Notes to Condensed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any obligations to LFCM Holdings LLC (“LFCM Holdings”), we may explore capital markets opportunities.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Equity market indices for developed markets at March 31, 2014 increased as compared to such indices at March 31, 2013, while equity market indices for emerging markets decreased as compared to March 31, 2013. On an industry-wide basis, during the first quarter of 2014, the number of completed and announced M&amp;A transactions decreased as compared to the same period in the prior year, while the value of announced transactions increased as compared to the same period in the prior year. Global restructuring activity, as measured by the number of corporate defaults, was lower in the first quarter of 2014 as compared to the same period in the prior year, and the aggregate value of debt defaults remained low, consistent with the last several years.</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early 2014, interest rates remain low and corporate cash balances remain high. Macroeconomic conditions appear to be improving in the developed countries, particularly in North America, CEO and board confidence appears to be returning and, as such, companies based in these regions may be better positioned to make acquisitions for future growth and investors may be increasingly interested in deploying capital for investment purposes. Although market volatility may continue, we believe the long term trends appear positive.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The cost saving initiatives that we began in 2012 are effectively complete, and through 2013, more than two-thirds of these savings were realized, with the full impact of all the savings expected to be reflected in our 2014 results. See “Cost Saving Initiatives” below and Note 14 of Notes to Condensed Consolidated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40" w:hanging="345"/>
        <w:spacing w:after="0" w:line="290" w:lineRule="auto"/>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will likely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enhancing our relationships with, and the services that we can provide to, clients in developed economies. We have also established the Lazard Africa initiative, to leverage our sovereign and corporate expertise in this rapidly growing region, for our clients in both developed and developing countries.</w:t>
      </w:r>
    </w:p>
    <w:p>
      <w:pPr>
        <w:spacing w:after="0" w:line="37" w:lineRule="exact"/>
        <w:rPr>
          <w:rFonts w:ascii="Arial" w:cs="Arial" w:eastAsia="Arial" w:hAnsi="Arial"/>
          <w:sz w:val="16"/>
          <w:szCs w:val="16"/>
          <w:color w:val="auto"/>
        </w:rPr>
      </w:pPr>
    </w:p>
    <w:p>
      <w:pPr>
        <w:ind w:left="920" w:right="20" w:hanging="345"/>
        <w:spacing w:after="0" w:line="291" w:lineRule="auto"/>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seen increased investor demand across regions and investment platforms. In the short to intermediate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solutions for a global mix of clients, we believe we are positioned to benefit from growth that may occur in the asset management industry. We recently extended the global footprint of our Asset Management business by opening new offices in Zurich, Singapore and Dubai.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Middle East North African Equities and Asian Equities.</w:t>
      </w:r>
    </w:p>
    <w:p>
      <w:pPr>
        <w:spacing w:after="0" w:line="1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Overall, we continue to focus on the development of our business, including the generation of stable revenue and earnings growth and member returns, the prudent management of our costs and expenses, the efficient use of our assets and the return of equity to our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reflected in the following table, which sets forth global M&amp;A industry statistics, the value and number of all completed transactions decreased in the first quarter of 2014 as compared to the first quarter of 2013, however for deals with values greater than $500 million, the value and number increased in the current period as compared to the prior period. With respect to announced M&amp;A transactions, the value of all transactions, including deals with values greater than $500 million, increased substantially in the first quarter of 2014 as compared to the first quarter of 2013.</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4"/>
                <w:szCs w:val="14"/>
                <w:color w:val="auto"/>
              </w:rPr>
            </w:pPr>
          </w:p>
        </w:tc>
        <w:tc>
          <w:tcPr>
            <w:tcW w:w="1060" w:type="dxa"/>
            <w:vAlign w:val="bottom"/>
          </w:tcPr>
          <w:p>
            <w:pPr>
              <w:jc w:val="right"/>
              <w:ind w:right="676"/>
              <w:spacing w:after="0"/>
              <w:rPr>
                <w:sz w:val="20"/>
                <w:szCs w:val="20"/>
                <w:color w:val="auto"/>
              </w:rPr>
            </w:pPr>
            <w:r>
              <w:rPr>
                <w:rFonts w:ascii="Arial" w:cs="Arial" w:eastAsia="Arial" w:hAnsi="Arial"/>
                <w:sz w:val="14"/>
                <w:szCs w:val="14"/>
                <w:b w:val="1"/>
                <w:bCs w:val="1"/>
                <w:color w:val="auto"/>
                <w:w w:val="89"/>
              </w:rPr>
              <w:t>2013</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ind w:left="520"/>
              <w:spacing w:after="0" w:line="155" w:lineRule="exact"/>
              <w:rPr>
                <w:sz w:val="20"/>
                <w:szCs w:val="20"/>
                <w:color w:val="auto"/>
              </w:rPr>
            </w:pPr>
            <w:r>
              <w:rPr>
                <w:rFonts w:ascii="Arial" w:cs="Arial" w:eastAsia="Arial" w:hAnsi="Arial"/>
                <w:sz w:val="14"/>
                <w:szCs w:val="14"/>
                <w:b w:val="1"/>
                <w:bCs w:val="1"/>
                <w:color w:val="auto"/>
              </w:rPr>
              <w:t>($ in billions)</w:t>
            </w: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662</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669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7,835</w:t>
            </w:r>
          </w:p>
        </w:tc>
        <w:tc>
          <w:tcPr>
            <w:tcW w:w="600" w:type="dxa"/>
            <w:vAlign w:val="bottom"/>
          </w:tcPr>
          <w:p>
            <w:pPr>
              <w:spacing w:after="0"/>
              <w:rPr>
                <w:sz w:val="18"/>
                <w:szCs w:val="18"/>
                <w:color w:val="auto"/>
              </w:rPr>
            </w:pPr>
          </w:p>
        </w:tc>
        <w:tc>
          <w:tcPr>
            <w:tcW w:w="1060" w:type="dxa"/>
            <w:vAlign w:val="bottom"/>
          </w:tcPr>
          <w:p>
            <w:pPr>
              <w:jc w:val="right"/>
              <w:ind w:right="556"/>
              <w:spacing w:after="0"/>
              <w:rPr>
                <w:sz w:val="20"/>
                <w:szCs w:val="20"/>
                <w:color w:val="auto"/>
              </w:rPr>
            </w:pPr>
            <w:r>
              <w:rPr>
                <w:rFonts w:ascii="Arial" w:cs="Arial" w:eastAsia="Arial" w:hAnsi="Arial"/>
                <w:sz w:val="18"/>
                <w:szCs w:val="18"/>
                <w:color w:val="auto"/>
                <w:w w:val="88"/>
              </w:rPr>
              <w:t>9,538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512</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56"/>
              <w:spacing w:after="0"/>
              <w:rPr>
                <w:sz w:val="20"/>
                <w:szCs w:val="20"/>
                <w:color w:val="auto"/>
              </w:rPr>
            </w:pPr>
            <w:r>
              <w:rPr>
                <w:rFonts w:ascii="Arial" w:cs="Arial" w:eastAsia="Arial" w:hAnsi="Arial"/>
                <w:sz w:val="18"/>
                <w:szCs w:val="18"/>
                <w:color w:val="auto"/>
              </w:rPr>
              <w:t>483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222</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221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813</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56"/>
              <w:spacing w:after="0"/>
              <w:rPr>
                <w:sz w:val="20"/>
                <w:szCs w:val="20"/>
                <w:color w:val="auto"/>
              </w:rPr>
            </w:pPr>
            <w:r>
              <w:rPr>
                <w:rFonts w:ascii="Arial" w:cs="Arial" w:eastAsia="Arial" w:hAnsi="Arial"/>
                <w:sz w:val="18"/>
                <w:szCs w:val="18"/>
                <w:color w:val="auto"/>
              </w:rPr>
              <w:t>648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4"/>
              </w:rPr>
              <w:t>8,614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88"/>
              </w:rPr>
              <w:t>9,495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636</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461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2"/>
        </w:trPr>
        <w:tc>
          <w:tcPr>
            <w:tcW w:w="4360" w:type="dxa"/>
            <w:vAlign w:val="bottom"/>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249</w:t>
            </w:r>
          </w:p>
        </w:tc>
        <w:tc>
          <w:tcPr>
            <w:tcW w:w="600" w:type="dxa"/>
            <w:vAlign w:val="bottom"/>
          </w:tcPr>
          <w:p>
            <w:pPr>
              <w:spacing w:after="0"/>
              <w:rPr>
                <w:sz w:val="19"/>
                <w:szCs w:val="19"/>
                <w:color w:val="auto"/>
              </w:rPr>
            </w:pPr>
          </w:p>
        </w:tc>
        <w:tc>
          <w:tcPr>
            <w:tcW w:w="1060" w:type="dxa"/>
            <w:vAlign w:val="bottom"/>
          </w:tcPr>
          <w:p>
            <w:pPr>
              <w:jc w:val="right"/>
              <w:ind w:right="556"/>
              <w:spacing w:after="0"/>
              <w:rPr>
                <w:sz w:val="20"/>
                <w:szCs w:val="20"/>
                <w:color w:val="auto"/>
              </w:rPr>
            </w:pPr>
            <w:r>
              <w:rPr>
                <w:rFonts w:ascii="Arial" w:cs="Arial" w:eastAsia="Arial" w:hAnsi="Arial"/>
                <w:sz w:val="18"/>
                <w:szCs w:val="18"/>
                <w:color w:val="auto"/>
              </w:rPr>
              <w:t>210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April 7,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Global restructuring activity during the first quarter of 2014, as measured by the number of corporate defaults, decreased as compared to the first quarter of 2013, and the aggregate value of debt defaults remained low, consistent with the last several years. The number of defaulting issuers decreased to 8 in the first quarter of 2014, according to Moody’s Investors Service, Inc., as compared to 21 in the first quarter of 2013. In the U.S., the number of corporate defaults decreased 36% in the first quarter of 2014 as compared to the first quarter of 2013, while the value of such defaults decreased 67% during the same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percentage change in major equity market indices at March 31, 2014, as compared to such indices at December 31, 2013, and at March 31, 2013,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Percentage Changes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740" w:type="dxa"/>
            <w:vAlign w:val="bottom"/>
          </w:tcPr>
          <w:p>
            <w:pPr>
              <w:spacing w:after="0"/>
              <w:rPr>
                <w:sz w:val="14"/>
                <w:szCs w:val="14"/>
                <w:color w:val="auto"/>
              </w:rPr>
            </w:pPr>
          </w:p>
        </w:tc>
        <w:tc>
          <w:tcPr>
            <w:tcW w:w="2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March 31, 2014 vs.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740" w:type="dxa"/>
            <w:vAlign w:val="bottom"/>
          </w:tcPr>
          <w:p>
            <w:pPr>
              <w:spacing w:after="0"/>
              <w:rPr>
                <w:sz w:val="11"/>
                <w:szCs w:val="11"/>
                <w:color w:val="auto"/>
              </w:rPr>
            </w:pPr>
          </w:p>
        </w:tc>
        <w:tc>
          <w:tcPr>
            <w:tcW w:w="2000" w:type="dxa"/>
            <w:vAlign w:val="bottom"/>
            <w:gridSpan w:val="2"/>
          </w:tcPr>
          <w:p>
            <w:pPr>
              <w:jc w:val="center"/>
              <w:ind w:right="1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1"/>
                <w:szCs w:val="11"/>
                <w:color w:val="auto"/>
              </w:rPr>
            </w:pPr>
          </w:p>
        </w:tc>
      </w:tr>
      <w:tr>
        <w:trPr>
          <w:trHeight w:val="161"/>
        </w:trPr>
        <w:tc>
          <w:tcPr>
            <w:tcW w:w="6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Euro Stoxx</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20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S&amp;P 500</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March 31, 2014 increased 1% versus AUM at December 31, 2013, due to market and foreign exchange appreciation as well as net inflows. Average AUM in the first quarter of 2014 increased 9% as compared to average AUM in the first quarter of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Through 2013, more than two-thirds of these savings were realized, with the full impact of all the savings expected to be reflected in our 2014 results.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were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Although Corporate segment net revenue during the first quarter of 2014 represented (2)% of Lazard’s net revenue, total assets in the Corporate segment represented 58% of Lazard’s consolidated total assets as of March 31, 2014,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grant date fair value of deferred incentive awards granted in 2014, 2013 and 2012 related to the 2013, 2012 and 2011 year-end compensation processes, respectively) and (ii) investments in people (</w:t>
      </w:r>
      <w:r>
        <w:rPr>
          <w:rFonts w:ascii="Arial" w:cs="Arial" w:eastAsia="Arial" w:hAnsi="Arial"/>
          <w:sz w:val="16"/>
          <w:szCs w:val="16"/>
          <w:i w:val="1"/>
          <w:iCs w:val="1"/>
          <w:color w:val="auto"/>
        </w:rPr>
        <w:t>i.e.</w:t>
      </w:r>
      <w:r>
        <w:rPr>
          <w:rFonts w:ascii="Arial" w:cs="Arial" w:eastAsia="Arial" w:hAnsi="Arial"/>
          <w:sz w:val="16"/>
          <w:szCs w:val="16"/>
          <w:color w:val="auto"/>
        </w:rPr>
        <w:t xml:space="preserve"> “sign-on” bonuses) and other special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deferred incentive awards granted throughout the applicable year, with such amounts in (i) and (ii) reduced by an estimate of future forfeitures of such awards, and</w:t>
      </w:r>
    </w:p>
    <w:p>
      <w:pPr>
        <w:spacing w:after="0" w:line="5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58.2% for the year ended December 31, 2013. While we have implemented initiatives, including the cost saving initiatives announced in October 2012 (see “Cost Saving Initiatives” above and Note 14 of Notes to Condensed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AUM levels and/or changes in the mix of revenues from our businesses or various other factors could prevent us from attaining this goal.</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and, in the 2013 period, the relevant portion of the expense relating to the implementation of the cost saving initiatives. For all periods, the amortization of intangible assets related to acquisitions pertains primarily to the acquisition of Edgewater.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Income taxes shown on Lazard’s consolidated statements of operations are principally related to foreign taxes from non-U.S. entities and to New York City Unincorporated Business Tax (“UBT”) attributable to Lazard Group’s operations apportioned to New York City (see Note 15 of Notes to Condensed Consolidated Financial Statements for additional information).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Noncontrolling interests primarily relate to the amount attributable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Lazard’s consolidated financial statements are presented in U.S. Dollars. Many of our non-U.S. subsidiaries have a functional currency (</w:t>
      </w:r>
      <w:r>
        <w:rPr>
          <w:rFonts w:ascii="Arial" w:cs="Arial" w:eastAsia="Arial" w:hAnsi="Arial"/>
          <w:sz w:val="18"/>
          <w:szCs w:val="18"/>
          <w:i w:val="1"/>
          <w:iCs w:val="1"/>
          <w:color w:val="auto"/>
        </w:rPr>
        <w:t>i.e</w:t>
      </w:r>
      <w:r>
        <w:rPr>
          <w:rFonts w:ascii="Arial" w:cs="Arial" w:eastAsia="Arial" w:hAnsi="Arial"/>
          <w:sz w:val="18"/>
          <w:szCs w:val="18"/>
          <w:color w:val="auto"/>
        </w:rPr>
        <w:t>., the currency in which operational activities are primarily conducted) that is other than the U.S. Dollar, generally the currency of the country in which the subsidiaries are domiciled.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203"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-7620</wp:posOffset>
            </wp:positionV>
            <wp:extent cx="15265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533,295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401,184</w:t>
            </w:r>
          </w:p>
        </w:tc>
        <w:tc>
          <w:tcPr>
            <w:tcW w:w="0" w:type="dxa"/>
            <w:vAlign w:val="bottom"/>
          </w:tcPr>
          <w:p>
            <w:pPr>
              <w:spacing w:after="0"/>
              <w:rPr>
                <w:sz w:val="1"/>
                <w:szCs w:val="1"/>
                <w:color w:val="auto"/>
              </w:rPr>
            </w:pPr>
          </w:p>
        </w:tc>
      </w:tr>
      <w:tr>
        <w:trPr>
          <w:trHeight w:val="330"/>
        </w:trPr>
        <w:tc>
          <w:tcPr>
            <w:tcW w:w="6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321,550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103,137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425,907</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379,960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107,388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17,857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89,531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85,411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16,105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320" w:type="dxa"/>
            <w:vAlign w:val="bottom"/>
            <w:gridSpan w:val="3"/>
          </w:tcPr>
          <w:p>
            <w:pPr>
              <w:jc w:val="right"/>
              <w:ind w:right="300"/>
              <w:spacing w:after="0"/>
              <w:rPr>
                <w:sz w:val="20"/>
                <w:szCs w:val="20"/>
                <w:color w:val="auto"/>
              </w:rPr>
            </w:pPr>
            <w:r>
              <w:rPr>
                <w:rFonts w:ascii="Arial" w:cs="Arial" w:eastAsia="Arial" w:hAnsi="Arial"/>
                <w:sz w:val="18"/>
                <w:szCs w:val="18"/>
                <w:color w:val="auto"/>
              </w:rPr>
              <w:t>$533,295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$401,184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3320" w:type="dxa"/>
            <w:vAlign w:val="bottom"/>
            <w:gridSpan w:val="3"/>
          </w:tcPr>
          <w:p>
            <w:pPr>
              <w:jc w:val="right"/>
              <w:ind w:right="300"/>
              <w:spacing w:after="0"/>
              <w:rPr>
                <w:sz w:val="20"/>
                <w:szCs w:val="20"/>
                <w:color w:val="auto"/>
              </w:rPr>
            </w:pPr>
            <w:r>
              <w:rPr>
                <w:rFonts w:ascii="Arial" w:cs="Arial" w:eastAsia="Arial" w:hAnsi="Arial"/>
                <w:sz w:val="18"/>
                <w:szCs w:val="18"/>
                <w:color w:val="auto"/>
              </w:rPr>
              <w:t>17,336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3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(6,266)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Gains on investments pertaining to Lazard Fund Interests (c)</w:t>
            </w:r>
          </w:p>
        </w:tc>
        <w:tc>
          <w:tcPr>
            <w:tcW w:w="23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(2,626)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541,739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415,024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22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Lazard Fund Interests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80" w:type="dxa"/>
            <w:vAlign w:val="bottom"/>
            <w:gridSpan w:val="3"/>
          </w:tcPr>
          <w:p>
            <w:pPr>
              <w:jc w:val="right"/>
              <w:ind w:right="435"/>
              <w:spacing w:after="0" w:line="142"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$321,550</w:t>
            </w:r>
          </w:p>
        </w:tc>
        <w:tc>
          <w:tcPr>
            <w:tcW w:w="6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3320" w:type="dxa"/>
            <w:vAlign w:val="bottom"/>
            <w:gridSpan w:val="3"/>
          </w:tcPr>
          <w:p>
            <w:pPr>
              <w:jc w:val="right"/>
              <w:ind w:right="492"/>
              <w:spacing w:after="0"/>
              <w:rPr>
                <w:sz w:val="20"/>
                <w:szCs w:val="20"/>
                <w:color w:val="auto"/>
              </w:rPr>
            </w:pPr>
            <w:r>
              <w:rPr>
                <w:rFonts w:ascii="Arial" w:cs="Arial" w:eastAsia="Arial" w:hAnsi="Arial"/>
                <w:sz w:val="18"/>
                <w:szCs w:val="18"/>
                <w:color w:val="auto"/>
              </w:rPr>
              <w:t>(1,148)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pertaining to Lazard Fund Interests (b)</w:t>
            </w:r>
          </w:p>
        </w:tc>
        <w:tc>
          <w:tcPr>
            <w:tcW w:w="332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(2,626)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(c)</w:t>
            </w:r>
          </w:p>
        </w:tc>
        <w:tc>
          <w:tcPr>
            <w:tcW w:w="2020" w:type="dxa"/>
            <w:vAlign w:val="bottom"/>
          </w:tcPr>
          <w:p>
            <w:pPr>
              <w:spacing w:after="0"/>
              <w:rPr>
                <w:sz w:val="19"/>
                <w:szCs w:val="19"/>
                <w:color w:val="auto"/>
              </w:rPr>
            </w:pP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20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317,776</w:t>
            </w:r>
          </w:p>
        </w:tc>
        <w:tc>
          <w:tcPr>
            <w:tcW w:w="6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248,209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2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gridSpan w:val="3"/>
            <w:vMerge w:val="continue"/>
          </w:tcPr>
          <w:p>
            <w:pPr>
              <w:spacing w:after="0"/>
              <w:rPr>
                <w:sz w:val="18"/>
                <w:szCs w:val="18"/>
                <w:color w:val="auto"/>
              </w:rPr>
            </w:pPr>
          </w:p>
        </w:tc>
        <w:tc>
          <w:tcPr>
            <w:tcW w:w="3320" w:type="dxa"/>
            <w:vAlign w:val="bottom"/>
            <w:gridSpan w:val="3"/>
          </w:tcPr>
          <w:p>
            <w:pPr>
              <w:jc w:val="right"/>
              <w:ind w:right="412"/>
              <w:spacing w:after="0"/>
              <w:rPr>
                <w:sz w:val="20"/>
                <w:szCs w:val="20"/>
                <w:color w:val="auto"/>
              </w:rPr>
            </w:pPr>
            <w:r>
              <w:rPr>
                <w:rFonts w:ascii="Arial" w:cs="Arial" w:eastAsia="Arial" w:hAnsi="Arial"/>
                <w:sz w:val="18"/>
                <w:szCs w:val="18"/>
                <w:color w:val="auto"/>
              </w:rPr>
              <w:t>58.7%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94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changes in the fair value of the compensation liability recorded in connection with Lazard Fund Interests and other similar deferred compensation arrangements for which a corresponding equal amount is excluded from operating revenue.</w:t>
      </w:r>
    </w:p>
    <w:p>
      <w:pPr>
        <w:spacing w:after="0" w:line="1" w:lineRule="exact"/>
        <w:rPr>
          <w:rFonts w:ascii="Arial" w:cs="Arial" w:eastAsia="Arial" w:hAnsi="Arial"/>
          <w:sz w:val="16"/>
          <w:szCs w:val="16"/>
          <w:color w:val="auto"/>
        </w:rPr>
      </w:pPr>
    </w:p>
    <w:p>
      <w:pPr>
        <w:ind w:left="460" w:right="280" w:hanging="452"/>
        <w:spacing w:after="0" w:line="361"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expenses related to the cost saving initiatives for (i) severance costs and benefit payments; (ii) the acceleration of unrecognized amortization expense of deferred incentive compensation previously granted to individuals terminated and (iii) the settlement of certain contractual obligations.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$103,137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101,357</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3600" w:type="dxa"/>
            <w:vAlign w:val="bottom"/>
            <w:gridSpan w:val="3"/>
          </w:tcPr>
          <w:p>
            <w:pPr>
              <w:jc w:val="right"/>
              <w:ind w:right="49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(b)</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w:t>
            </w: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Adjusted non-compensation expense</w:t>
            </w:r>
          </w:p>
        </w:tc>
        <w:tc>
          <w:tcPr>
            <w:tcW w:w="2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102,703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99,248</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36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occupancy cost reduction and other non-compensation related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2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4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5740" w:type="dxa"/>
            <w:vAlign w:val="bottom"/>
            <w:gridSpan w:val="3"/>
          </w:tcPr>
          <w:p>
            <w:pPr>
              <w:jc w:val="right"/>
              <w:ind w:right="872"/>
              <w:spacing w:after="0"/>
              <w:rPr>
                <w:sz w:val="20"/>
                <w:szCs w:val="20"/>
                <w:color w:val="auto"/>
              </w:rPr>
            </w:pPr>
            <w:r>
              <w:rPr>
                <w:rFonts w:ascii="Arial" w:cs="Arial" w:eastAsia="Arial" w:hAnsi="Arial"/>
                <w:sz w:val="18"/>
                <w:szCs w:val="18"/>
                <w:color w:val="auto"/>
              </w:rPr>
              <w:t>$ 541,739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415,024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4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5740" w:type="dxa"/>
            <w:vAlign w:val="bottom"/>
            <w:gridSpan w:val="3"/>
          </w:tcPr>
          <w:p>
            <w:pPr>
              <w:jc w:val="right"/>
              <w:ind w:right="812"/>
              <w:spacing w:after="0"/>
              <w:rPr>
                <w:sz w:val="20"/>
                <w:szCs w:val="20"/>
                <w:color w:val="auto"/>
              </w:rPr>
            </w:pPr>
            <w:r>
              <w:rPr>
                <w:rFonts w:ascii="Arial" w:cs="Arial" w:eastAsia="Arial" w:hAnsi="Arial"/>
                <w:sz w:val="18"/>
                <w:szCs w:val="18"/>
                <w:color w:val="auto"/>
              </w:rPr>
              <w:t>(317,776)</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(248,209)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40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w w:val="98"/>
              </w:rPr>
              <w:t>(102,703)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(99,248)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4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5740" w:type="dxa"/>
            <w:vAlign w:val="bottom"/>
            <w:gridSpan w:val="3"/>
          </w:tcPr>
          <w:p>
            <w:pPr>
              <w:jc w:val="right"/>
              <w:ind w:right="872"/>
              <w:spacing w:after="0"/>
              <w:rPr>
                <w:sz w:val="20"/>
                <w:szCs w:val="20"/>
                <w:color w:val="auto"/>
              </w:rPr>
            </w:pPr>
            <w:r>
              <w:rPr>
                <w:rFonts w:ascii="Arial" w:cs="Arial" w:eastAsia="Arial" w:hAnsi="Arial"/>
                <w:sz w:val="18"/>
                <w:szCs w:val="18"/>
                <w:color w:val="auto"/>
              </w:rPr>
              <w:t>$ 121,260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67,567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574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080" w:type="dxa"/>
            <w:vAlign w:val="bottom"/>
            <w:vMerge w:val="restart"/>
          </w:tcPr>
          <w:p>
            <w:pPr>
              <w:jc w:val="right"/>
              <w:ind w:right="2932"/>
              <w:spacing w:after="0"/>
              <w:rPr>
                <w:sz w:val="20"/>
                <w:szCs w:val="20"/>
                <w:color w:val="auto"/>
              </w:rPr>
            </w:pPr>
            <w:r>
              <w:rPr>
                <w:rFonts w:ascii="Arial" w:cs="Arial" w:eastAsia="Arial" w:hAnsi="Arial"/>
                <w:sz w:val="18"/>
                <w:szCs w:val="18"/>
                <w:color w:val="auto"/>
              </w:rPr>
              <w:t>49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Headcount information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760"/>
              <w:spacing w:after="0"/>
              <w:rPr>
                <w:sz w:val="20"/>
                <w:szCs w:val="20"/>
                <w:color w:val="auto"/>
              </w:rPr>
            </w:pPr>
            <w:r>
              <w:rPr>
                <w:rFonts w:ascii="Arial" w:cs="Arial" w:eastAsia="Arial" w:hAnsi="Arial"/>
                <w:sz w:val="14"/>
                <w:szCs w:val="14"/>
                <w:b w:val="1"/>
                <w:bCs w:val="1"/>
                <w:color w:val="auto"/>
                <w:w w:val="90"/>
              </w:rPr>
              <w:t>As Of</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840" w:type="dxa"/>
            <w:vAlign w:val="bottom"/>
            <w:gridSpan w:val="4"/>
          </w:tcPr>
          <w:p>
            <w:pPr>
              <w:ind w:left="220"/>
              <w:spacing w:after="0" w:line="129" w:lineRule="exact"/>
              <w:rPr>
                <w:sz w:val="20"/>
                <w:szCs w:val="20"/>
                <w:color w:val="auto"/>
              </w:rPr>
            </w:pPr>
            <w:r>
              <w:rPr>
                <w:rFonts w:ascii="Arial" w:cs="Arial" w:eastAsia="Arial" w:hAnsi="Arial"/>
                <w:sz w:val="14"/>
                <w:szCs w:val="14"/>
                <w:b w:val="1"/>
                <w:bCs w:val="1"/>
                <w:color w:val="auto"/>
              </w:rPr>
              <w:t>March 31,</w:t>
            </w:r>
          </w:p>
        </w:tc>
        <w:tc>
          <w:tcPr>
            <w:tcW w:w="1580" w:type="dxa"/>
            <w:vAlign w:val="bottom"/>
            <w:gridSpan w:val="4"/>
          </w:tcPr>
          <w:p>
            <w:pPr>
              <w:jc w:val="center"/>
              <w:ind w:right="7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86"/>
              </w:rPr>
              <w:t>2013(a)</w:t>
            </w:r>
          </w:p>
        </w:tc>
        <w:tc>
          <w:tcPr>
            <w:tcW w:w="3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2013(a)</w:t>
            </w:r>
          </w:p>
        </w:tc>
        <w:tc>
          <w:tcPr>
            <w:tcW w:w="0" w:type="dxa"/>
            <w:vAlign w:val="bottom"/>
          </w:tcPr>
          <w:p>
            <w:pPr>
              <w:spacing w:after="0"/>
              <w:rPr>
                <w:sz w:val="1"/>
                <w:szCs w:val="1"/>
                <w:color w:val="auto"/>
              </w:rPr>
            </w:pPr>
          </w:p>
        </w:tc>
      </w:tr>
      <w:tr>
        <w:trPr>
          <w:trHeight w:val="188"/>
        </w:trPr>
        <w:tc>
          <w:tcPr>
            <w:tcW w:w="694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Total Managing Directors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1,119</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headcount reductions relating to the cost saving initiatives were substantially complete as of December 31, 2013. Such reductions have been partially offset by additional investments and, in the case of managing directors, by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March 31, 2013</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$85 million, as compared to net income of $16 million in the 2013 period. The changes in the Company’s operating results during these periods are described below.</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Net revenue increased $132 million, or 33%, with operating revenue increasing $127 million, or 31%, as compared to the 2013 period. Fee revenue from investment banking and other advisory activities increased $105 million, or 62%, primarily due to increases in M&amp;A and Other Advisory fees. The increase in M&amp;A and Other Advisory fee revenue was primarily due to an increase in the absolute number of completed transactions involving fees greater than $1 million as compared to the 2013 period, as well as in the number of those transactions generating fees significantly greater than $1 million. Money management fees, including incentive fees, increased $22 million, or 9%, principally reflecting a $15 billion, or 9%, increase in average AUM as compared to the 2013 period. In the aggregate, interest income, other revenue and interest expense reflected an increase in net revenue of $6 million as compared to the 2013 period. Such increase was primarily due to a decrease in interest expense as a result of the refinancing of the Company’s 7.125% senior notes due 2015 (the “2015 Notes”) (See Note 9 of Notes to Condensed Consolidated Financial Statements for additional information).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Compensation and benefits expense increased $44 million, or 16%, as compared to the 2013 period (which included a $24 million charge related to the cost saving initiatives), primarily driven by higher operating revenue.</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interim periods, as described above), was $318 million, an increase of $70 million, or 28%, as compared to $248 million in the 2013 period, primarily driven by higher operating revenue.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ratio of adjusted compensation and benefits expense to operating revenue was 58.7% for the 2014 period, which is consistent with the 2013 full year adjusted compensation ratio, as compared to 59.8% for the 2013 period. As described above, 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Non-compensation expense increased $2 million, or 2%, as compared to the 2013 period (which included a charge of $2 million related to the cost saving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initiatives). When excluding such charge, as well as non-compensation costs relating to noncontrolling interests, adjusted non-compensation expense increased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 million, or 3%, as compared to the 2013 period, primarily due to increases in (i) marketing and business development expense associated with higher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travel and other business development; (ii) higher mutual fund servicing fees and outsourced services reflecting the implementation of an existing outsourcing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arrangement across a broader number of accounts, as well as the increase in average AUM, partially offset by a decrease in professional fees. The ratio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adjusted non-compensation expense to operating revenue was 19.0%, as compared to 23.9% in the 2013 period.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2013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income increased $86 million, as compared to the 2013 period (including the charges relating to the cost saving initiatives of $26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as a percentage of net revenue, was 20.1%, as compared to 5.3% in the 2013 period.</w:t>
      </w:r>
    </w:p>
    <w:p>
      <w:pPr>
        <w:spacing w:after="0" w:line="16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Earnings from operations increased $54 million, or 79%, as compared to the 2013 period, and, as a percentage of operating revenue, was 22.4%, as compared to 16.3% in the 2013 period.</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16.6%, as compared to 14.2% for the 2013 period. The increase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as compared to the 2013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information technology, facilities management and senior management activities. Such support costs are allocated to the relevant segments based on various statistical drivers such as revenue, headcount, square footage and other factors.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4"/>
          </w:tcPr>
          <w:p>
            <w:pPr>
              <w:jc w:val="center"/>
              <w:ind w:right="12"/>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239,144</w:t>
            </w: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0"/>
              </w:rPr>
              <w:t>$120,756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245,360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30,136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275,496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245,415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216,908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(48,446)</w:t>
            </w:r>
          </w:p>
        </w:tc>
        <w:tc>
          <w:tcPr>
            <w:tcW w:w="0" w:type="dxa"/>
            <w:vAlign w:val="bottom"/>
          </w:tcPr>
          <w:p>
            <w:pPr>
              <w:spacing w:after="0"/>
              <w:rPr>
                <w:sz w:val="1"/>
                <w:szCs w:val="1"/>
                <w:color w:val="auto"/>
              </w:rPr>
            </w:pPr>
          </w:p>
        </w:tc>
      </w:tr>
      <w:tr>
        <w:trPr>
          <w:trHeight w:val="20"/>
        </w:trPr>
        <w:tc>
          <w:tcPr>
            <w:tcW w:w="90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92"/>
              <w:spacing w:after="0"/>
              <w:rPr>
                <w:sz w:val="20"/>
                <w:szCs w:val="20"/>
                <w:color w:val="auto"/>
              </w:rPr>
            </w:pPr>
            <w:r>
              <w:rPr>
                <w:rFonts w:ascii="Arial" w:cs="Arial" w:eastAsia="Arial" w:hAnsi="Arial"/>
                <w:sz w:val="18"/>
                <w:szCs w:val="18"/>
                <w:color w:val="auto"/>
              </w:rPr>
              <w:t>10.9%</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20" w:type="dxa"/>
            <w:vAlign w:val="bottom"/>
            <w:gridSpan w:val="2"/>
          </w:tcPr>
          <w:p>
            <w:pPr>
              <w:spacing w:after="0"/>
              <w:rPr>
                <w:sz w:val="20"/>
                <w:szCs w:val="20"/>
                <w:color w:val="auto"/>
              </w:rPr>
            </w:pPr>
            <w:r>
              <w:rPr>
                <w:rFonts w:ascii="Arial" w:cs="Arial" w:eastAsia="Arial" w:hAnsi="Arial"/>
                <w:sz w:val="18"/>
                <w:szCs w:val="18"/>
                <w:color w:val="auto"/>
                <w:w w:val="90"/>
              </w:rPr>
              <w:t>(a)</w:t>
            </w:r>
          </w:p>
        </w:tc>
        <w:tc>
          <w:tcPr>
            <w:tcW w:w="8860" w:type="dxa"/>
            <w:vAlign w:val="bottom"/>
            <w:gridSpan w:val="2"/>
          </w:tcPr>
          <w:p>
            <w:pPr>
              <w:ind w:left="240"/>
              <w:spacing w:after="0"/>
              <w:rPr>
                <w:sz w:val="20"/>
                <w:szCs w:val="20"/>
                <w:color w:val="auto"/>
              </w:rPr>
            </w:pPr>
            <w:r>
              <w:rPr>
                <w:rFonts w:ascii="Arial" w:cs="Arial" w:eastAsia="Arial" w:hAnsi="Arial"/>
                <w:sz w:val="18"/>
                <w:szCs w:val="18"/>
                <w:color w:val="auto"/>
              </w:rPr>
              <w:t>In 2013, includes $22,015 associated with the implementation of the cost saving initiatives.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in the 2014 period, the industry statistics for global M&amp;A transactions described above reflect a 1% decrease in the value, and an 18% decrease in the number, of all completed transactions as compared to the 2013 period. For M&amp;A deals with values greater than $500 million, the value of completed transactions increased 6%, while the number of such deals remained flat, as compared to the 2013 period. Our M&amp;A and Other Advisory revenue (which includes Sovereign and Capital Structure Advisory revenue) increased 98% as compared to the 2013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924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62</w:t>
            </w:r>
          </w:p>
        </w:tc>
        <w:tc>
          <w:tcPr>
            <w:tcW w:w="15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44</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51</w:t>
            </w: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36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3"/>
              </w:rPr>
              <w:t>42%</w:t>
            </w:r>
          </w:p>
        </w:tc>
        <w:tc>
          <w:tcPr>
            <w:tcW w:w="15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w w:val="99"/>
              </w:rPr>
              <w:t>34%</w:t>
            </w: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20</w:t>
            </w: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April 7,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33</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March 31, 2013</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$110 million, or 81%, and Restructuring revenue decreased $3 million, or 9%, as compared to the 2013 period.</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M&amp;A and Other Advisory revenue increased $118 million, or 98%, while Capital Raising revenue decreased by $8 million, or 58%, as compared to the 2013 period. The increase in M&amp;A and Other Advisory revenue was primarily due to an increase in the absolute number of completed transactions involving fees greater than $1 million as compared to the 2013 period, as well as in the number of those transactions generating fees significantly greater than $1 million. Our major clients, which in the aggregate represented a significant portion of our M&amp;A and Other Advisory revenue for the 2014 period, included Cadence Pharmaceuticals, The Coca-Cola Company, Fiat, Google, Leap Wireless, Royal Bank of Scotland, Singapore Power, Shire and Shapell Industries.</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decrease in Restructuring revenue in the 2014 period was generally in line with the continued industry-wide low level of corporate restructuring activity. Our major clients, which in the aggregate represented a significant portion of our restructuring revenue for the 2014 period, included A.T.U, Cengage Learning, Dubai Group, Munshaat and Savient Pharmaceuticals.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expenses increased $29 million, or 13%, as compared to the 2013 period, and in the 2013 period included a $22 million charge related to the cost saving initiatives. Excluding such charge, operating expenses increased $51 million, or 26%. The primary contributors to the increase were higher compensation and benefits expense due to higher operating revenue.</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Financial Advisory operating income was $30 million, an increase of $78 million as compared to operating loss of $48 million (including the impact of the $22 million charge related to the cost saving initiatives) in the 2013 period and, as a percentage of net revenue, was 10.9%, as compared to (28.8%) in the 2013 period. Excluding the impact of such charges in the 2013 period, operating income increased $57 million as compared to operating income in the 2013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35,359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155,259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154,062</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189,453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186,924</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Total AUM at March 31, 2014 was $189 billion, an increase of $3 billion, or 1%, as compared to total AUM of $187 billion at December 31, 2013, due to market and foreign exchange appreciation and net inflows. Average AUM for the three months ended March 31, 2014 was 9% higher than that for three months ended March 31, 2013.</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 of March 31, 2014, approximately 89% of our AUM was managed on behalf of institutional clients, including corporations, labor unions, public pension funds, insurance companies and banks, and through sub-advisory relationships, mutual fund sponsors, broker-dealers and registered advisors, and approximately 11% of our AUM was managed on behalf of individual client relationships, which are principally with family offices and individuals, and was substantially unchanged from the corresponding percentages at December 31, 2013.</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2014, AUM denominated in foreign currencies represented approximately 62% of our total AUM, as compared to 63% at December 31, 2013. Foreign denominated AUM generally declines in value with the strengthening of the U.S. Dollar and increases in value as the U.S. Dollar weakens, with all other factors held constant.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months ended March 31,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center"/>
              <w:ind w:left="199"/>
              <w:spacing w:after="0"/>
              <w:rPr>
                <w:sz w:val="20"/>
                <w:szCs w:val="20"/>
                <w:color w:val="auto"/>
              </w:rPr>
            </w:pPr>
            <w:r>
              <w:rPr>
                <w:rFonts w:ascii="Arial" w:cs="Arial" w:eastAsia="Arial" w:hAnsi="Arial"/>
                <w:sz w:val="14"/>
                <w:szCs w:val="14"/>
                <w:b w:val="1"/>
                <w:bCs w:val="1"/>
                <w:color w:val="auto"/>
                <w:w w:val="89"/>
              </w:rPr>
              <w:t>Three Months Ended March 31, 2014</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AUM</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Exchange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Beginning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5"/>
              </w:rPr>
              <w:t>Balance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Inflows</w:t>
            </w:r>
          </w:p>
        </w:tc>
        <w:tc>
          <w:tcPr>
            <w:tcW w:w="2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Outflows</w:t>
            </w: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Net Flows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186,924</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8,840</w:t>
            </w:r>
          </w:p>
        </w:tc>
        <w:tc>
          <w:tcPr>
            <w:tcW w:w="3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(7,992)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Inflows in the Equity asset class were primarily attributable to the Emerging Markets and Multi-Regional platforms, and inflows in the Fixed Income asset class were primarily attributable to the Emerging Markets platform. Outflows in the Equity asset class were primarily attributable to the Emerging Markets and Global equity platforms, and outflows in the Fixed Income asset class were primarily attributable to the Multi-Regional platform.</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2013</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Foreign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rPr>
              <w:t>AUM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Exchange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Beginning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Appreciation/</w:t>
            </w:r>
          </w:p>
        </w:tc>
        <w:tc>
          <w:tcPr>
            <w:tcW w:w="3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5"/>
              </w:rPr>
              <w:t>Balance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Inflows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Outflows</w:t>
            </w: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Net Flows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9"/>
              </w:rPr>
              <w:t>(Depreciation)</w:t>
            </w:r>
          </w:p>
        </w:tc>
        <w:tc>
          <w:tcPr>
            <w:tcW w:w="3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(Depreciation)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(1,652)</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142,802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23,130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167,060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9,092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(10,087)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(995)</w:t>
            </w:r>
          </w:p>
        </w:tc>
        <w:tc>
          <w:tcPr>
            <w:tcW w:w="420" w:type="dxa"/>
            <w:vAlign w:val="bottom"/>
          </w:tcPr>
          <w:p>
            <w:pPr>
              <w:jc w:val="right"/>
              <w:ind w:right="269"/>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9,075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171,965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April 25, 2014, AUM was 190.2 billion, a $0.7 billion increase since March 31, 2014, with such increase primarily due to market and foreign exchange appreciation.</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three month period ended March 31, 2014 and 2013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5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Equity</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$ 152,412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$ 141,813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22,784</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2,350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5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$ 185,602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$ 170,665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600" w:type="dxa"/>
            <w:vAlign w:val="bottom"/>
            <w:vMerge w:val="restart"/>
          </w:tcPr>
          <w:p>
            <w:pPr>
              <w:jc w:val="right"/>
              <w:ind w:right="3672"/>
              <w:spacing w:after="0"/>
              <w:rPr>
                <w:sz w:val="20"/>
                <w:szCs w:val="20"/>
                <w:color w:val="auto"/>
              </w:rPr>
            </w:pPr>
            <w:r>
              <w:rPr>
                <w:rFonts w:ascii="Arial" w:cs="Arial" w:eastAsia="Arial" w:hAnsi="Arial"/>
                <w:sz w:val="18"/>
                <w:szCs w:val="18"/>
                <w:color w:val="auto"/>
              </w:rPr>
              <w:t>55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left="398"/>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92"/>
              <w:spacing w:after="0"/>
              <w:rPr>
                <w:sz w:val="20"/>
                <w:szCs w:val="20"/>
                <w:color w:val="auto"/>
              </w:rPr>
            </w:pPr>
            <w:r>
              <w:rPr>
                <w:rFonts w:ascii="Arial" w:cs="Arial" w:eastAsia="Arial" w:hAnsi="Arial"/>
                <w:sz w:val="18"/>
                <w:szCs w:val="18"/>
                <w:color w:val="auto"/>
                <w:w w:val="86"/>
              </w:rPr>
              <w:t>239,523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10,378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18,663</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w w:val="86"/>
              </w:rPr>
              <w:t>268,564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175,761</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155,077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92,803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88,948</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3"/>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52"/>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 2013, includes $235 associated with the implementation of the cost saving initiatives.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March 31, 2013</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Asset Management net revenue increased $25 million, or 10%, as compared to the 2013 period. Management fees increased $20 million, or 9%, as compared to the 2013 period, reflecting a $15 billion, or 9%, increase in average AUM. Incentive fees increased $2 million, or 18%, as compared to the 2013 period, primarily due to fees related to traditional investment products. Other revenue increased $3 million, or 22%, as compared to the 2013 period, primarily due to higher transaction based commission revenue as a result of increased market activity and custody fees.</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Operating expenses increased $21 million, or 13%, as compared to the 2013 period, primarily in (i) compensation and benefits expense related to the increase in operating revenue, (ii) mutual fund servicing fees and in outsourced services reflecting the implementation of an existing outsourcing arrangement across a broader number of accounts, as well as the increase in average AUM, and (iii) travel and other business development expenses.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Asset Management operating income was $93 million, an increase of $4 million, or 4%, as compared to operating income of $89 million (including the impact of the $0.2 million charge related to the cost saving initiatives) in the 2013 period and, as a percentage of net revenue, was 34.6%, as compared to 36.5% in the 2013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520" w:type="dxa"/>
            <w:vAlign w:val="bottom"/>
            <w:gridSpan w:val="3"/>
          </w:tcPr>
          <w:p>
            <w:pPr>
              <w:jc w:val="center"/>
              <w:ind w:left="478"/>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2,535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tcPr>
          <w:p>
            <w:pPr>
              <w:jc w:val="right"/>
              <w:ind w:right="552"/>
              <w:spacing w:after="0"/>
              <w:rPr>
                <w:sz w:val="20"/>
                <w:szCs w:val="20"/>
                <w:color w:val="auto"/>
              </w:rPr>
            </w:pPr>
            <w:r>
              <w:rPr>
                <w:rFonts w:ascii="Arial" w:cs="Arial" w:eastAsia="Arial" w:hAnsi="Arial"/>
                <w:sz w:val="18"/>
                <w:szCs w:val="18"/>
                <w:color w:val="auto"/>
              </w:rPr>
              <w:t>(17,572)</w:t>
            </w: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(22,190)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3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(15,037)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4,272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3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(10,765)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700" w:type="dxa"/>
            <w:vAlign w:val="bottom"/>
          </w:tcPr>
          <w:p>
            <w:pPr>
              <w:jc w:val="right"/>
              <w:spacing w:after="0"/>
              <w:rPr>
                <w:sz w:val="20"/>
                <w:szCs w:val="20"/>
                <w:color w:val="auto"/>
              </w:rPr>
            </w:pPr>
            <w:r>
              <w:rPr>
                <w:rFonts w:ascii="Arial" w:cs="Arial" w:eastAsia="Arial" w:hAnsi="Arial"/>
                <w:sz w:val="18"/>
                <w:szCs w:val="18"/>
                <w:color w:val="auto"/>
              </w:rPr>
              <w:t>4,731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7"/>
              </w:rPr>
              <w:t>$ (15,496)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 2013, includes $4,072 associated with the implementation of the cost saving initiatives.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March 31,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$5 million, or 25%, as compared to the 2013 period,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$4 million, or 50%, as compared to the 2013 period, primarily due to decreased investment income.</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Operating expenses decreased $3 million, or 41%, as compared to the 2013 period, and included in the 2013 period charges of $4 million associated with the cost saving initiatives. Excluding the impact of such charges, operating expenses increased $1 million, or 21%, as compared to the 2013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14 of Notes to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left="315"/>
              <w:spacing w:after="0"/>
              <w:rPr>
                <w:sz w:val="20"/>
                <w:szCs w:val="20"/>
                <w:color w:val="auto"/>
              </w:rPr>
            </w:pPr>
            <w:r>
              <w:rPr>
                <w:rFonts w:ascii="Arial" w:cs="Arial" w:eastAsia="Arial" w:hAnsi="Arial"/>
                <w:sz w:val="14"/>
                <w:szCs w:val="14"/>
                <w:b w:val="1"/>
                <w:bCs w:val="1"/>
                <w:color w:val="auto"/>
                <w:w w:val="88"/>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vMerge w:val="restart"/>
          </w:tcPr>
          <w:p>
            <w:pPr>
              <w:ind w:left="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19"/>
                <w:szCs w:val="19"/>
                <w:color w:val="auto"/>
              </w:rPr>
            </w:pPr>
          </w:p>
        </w:tc>
        <w:tc>
          <w:tcPr>
            <w:tcW w:w="7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(227.5)</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(178.5)</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8"/>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0" w:type="dxa"/>
            <w:vAlign w:val="bottom"/>
            <w:tcBorders>
              <w:bottom w:val="single" w:sz="8" w:color="auto"/>
            </w:tcBorders>
          </w:tcPr>
          <w:p>
            <w:pPr>
              <w:spacing w:after="0"/>
              <w:rPr>
                <w:sz w:val="8"/>
                <w:szCs w:val="8"/>
                <w:color w:val="auto"/>
              </w:rPr>
            </w:pPr>
          </w:p>
        </w:tc>
        <w:tc>
          <w:tcPr>
            <w:tcW w:w="7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and distributions to members and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liquidity was also impacted by cash payments, including severance payments, associated with the cost saving initiatives (see “Cost Saving Initiatives” above and Note 14 of Notes to Condensed Consolidated Financial Statements).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March 31, 2014, Lazard had approximately $654 million of cash, with such amount including approximately $313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March 31, 2014, Lazard had approximately $258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$48 million (at March 31, 2014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2014 and December 31, 2013. The agreements with respect to this indebtedness are discussed in more detail in our condensed consolidated financial statements and related notes included elsewhere in this Form 10-Q and in our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Maturity</w:t>
            </w: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5"/>
              </w:rPr>
              <w:t>March 31,</w:t>
            </w: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w w:val="87"/>
              </w:rPr>
              <w:t>Senior Debt:</w:t>
            </w:r>
          </w:p>
        </w:tc>
        <w:tc>
          <w:tcPr>
            <w:tcW w:w="3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right"/>
              <w:ind w:right="2452"/>
              <w:spacing w:after="0"/>
              <w:rPr>
                <w:sz w:val="20"/>
                <w:szCs w:val="20"/>
                <w:color w:val="auto"/>
              </w:rPr>
            </w:pPr>
            <w:r>
              <w:rPr>
                <w:rFonts w:ascii="Arial" w:cs="Arial" w:eastAsia="Arial" w:hAnsi="Arial"/>
                <w:sz w:val="18"/>
                <w:szCs w:val="18"/>
                <w:color w:val="auto"/>
              </w:rPr>
              <w:t>6.85%</w:t>
            </w:r>
          </w:p>
        </w:tc>
        <w:tc>
          <w:tcPr>
            <w:tcW w:w="3640" w:type="dxa"/>
            <w:vAlign w:val="bottom"/>
            <w:gridSpan w:val="2"/>
          </w:tcPr>
          <w:p>
            <w:pPr>
              <w:ind w:left="3240"/>
              <w:spacing w:after="0"/>
              <w:rPr>
                <w:sz w:val="20"/>
                <w:szCs w:val="20"/>
                <w:color w:val="auto"/>
              </w:rPr>
            </w:pPr>
            <w:r>
              <w:rPr>
                <w:rFonts w:ascii="Arial" w:cs="Arial" w:eastAsia="Arial" w:hAnsi="Arial"/>
                <w:sz w:val="18"/>
                <w:szCs w:val="18"/>
                <w:color w:val="auto"/>
                <w:w w:val="94"/>
              </w:rPr>
              <w:t>2017</w:t>
            </w:r>
          </w:p>
        </w:tc>
        <w:tc>
          <w:tcPr>
            <w:tcW w:w="36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  548.4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rPr>
              <w:t>4.25%</w:t>
            </w:r>
          </w:p>
        </w:tc>
        <w:tc>
          <w:tcPr>
            <w:tcW w:w="4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jc w:val="right"/>
              <w:ind w:right="2092"/>
              <w:spacing w:after="0"/>
              <w:rPr>
                <w:sz w:val="20"/>
                <w:szCs w:val="20"/>
                <w:color w:val="auto"/>
              </w:rPr>
            </w:pPr>
            <w:r>
              <w:rPr>
                <w:rFonts w:ascii="Arial" w:cs="Arial" w:eastAsia="Arial" w:hAnsi="Arial"/>
                <w:sz w:val="18"/>
                <w:szCs w:val="18"/>
                <w:color w:val="auto"/>
                <w:w w:val="88"/>
              </w:rPr>
              <w:t>Total Senior Debt</w:t>
            </w:r>
          </w:p>
        </w:tc>
        <w:tc>
          <w:tcPr>
            <w:tcW w:w="3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3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120" w:type="dxa"/>
            <w:vAlign w:val="bottom"/>
            <w:vMerge w:val="restart"/>
          </w:tcPr>
          <w:p>
            <w:pPr>
              <w:jc w:val="right"/>
              <w:ind w:right="672"/>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fourth quarter of 2013, the Company completed a refinancing of the 2015 Notes by issuing a tender and redemption notice for the 2015 Notes and issuing $500 million of 4.25% senior notes maturing in 2020 (the “2020 Notes”).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2014, Lazard Group was in compliance with such ratios, with its Consolidated Leverage Ratio being 1.50 to 1.00 and its Consolidated Interest Coverage Ratio being 10.85 to 1.00. In any event, no amounts were outstanding under the Credit Facility as of March 31, 2014.</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March 31, 2014,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and subordinated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At March 31, 2014, total members’ equity was $464 million, as compared to $536 million at December 31, 2013, including $397 million and $469 million attributable to Lazard Group on the respective dates. The net activity in members’ equity during the three month period ended March 31, 2014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$ 536</w:t>
            </w:r>
          </w:p>
        </w:tc>
        <w:tc>
          <w:tcPr>
            <w:tcW w:w="100" w:type="dxa"/>
            <w:vAlign w:val="bottom"/>
            <w:shd w:val="clear" w:color="auto" w:fill="CCEEFF"/>
          </w:tcPr>
          <w:p>
            <w:pPr>
              <w:spacing w:after="0"/>
              <w:rPr>
                <w:sz w:val="18"/>
                <w:szCs w:val="18"/>
                <w:color w:val="auto"/>
              </w:rPr>
            </w:pPr>
          </w:p>
        </w:tc>
      </w:tr>
      <w:tr>
        <w:trPr>
          <w:trHeight w:val="28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Purchase of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$2 (a)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Members’ Equity—March 31, 2014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$ 464</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Board of Directors of Lazard Ltd has issued a series of authorizations to repurchase Class A common stock and Lazard Group common membership interests, which help offset the dilutive effect of our share-based incentive compensation plans. During a given year the Company intends to repurchase at least as many shares as it expects to ultimately issue pursuant to such compensation plans in respect of year-end incentive compensation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0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29"/>
        </w:trPr>
        <w:tc>
          <w:tcPr>
            <w:tcW w:w="20" w:type="dxa"/>
            <w:vAlign w:val="bottom"/>
          </w:tcPr>
          <w:p>
            <w:pPr>
              <w:spacing w:after="0"/>
              <w:rPr>
                <w:sz w:val="11"/>
                <w:szCs w:val="11"/>
                <w:color w:val="auto"/>
              </w:rPr>
            </w:pPr>
          </w:p>
        </w:tc>
        <w:tc>
          <w:tcPr>
            <w:tcW w:w="198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4"/>
              </w:rPr>
              <w:t>Three Months Ended March 31:</w:t>
            </w:r>
          </w:p>
        </w:tc>
        <w:tc>
          <w:tcPr>
            <w:tcW w:w="6240" w:type="dxa"/>
            <w:vAlign w:val="bottom"/>
            <w:tcBorders>
              <w:top w:val="single" w:sz="8" w:color="CCEEFF"/>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2013</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831,157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2,392,674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March 31, 2014, a total of $15 million of share repurchase authorization remained available under the Company’s share repurchase program, which will expire on December 31, 2015.</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During the three months ended March 31,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April 2014, the Board of Directors of Lazard Ltd authorized the repurchase of up to an additional $200 million in aggregate cost of Class A common stock and Lazard Group common membership interests through December 31, 2015.</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See Note 11 and 12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$ 1,328,567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$ 117,624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$ 609,631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542,500</w:t>
            </w: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Operating Leases (exclusive of $160,666 of sublease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1,004,117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84,948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151,364</w:t>
            </w: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132,936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634,869</w:t>
            </w: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27,156</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27,156</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$ 2,377,202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$ 174,133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$ 274,287</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$ 751,413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1,177,369</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ind w:left="460" w:right="40" w:hanging="452"/>
        <w:spacing w:after="0" w:line="30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judgements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 tax assets and liabilities, any valuation allowance recorded against our net deferred tax assets and our unrecognized tax benefits. At December 31, 2013, the Company recorded gross deferred tax assets of approximately $242 million, with such amount partially offset by a valuation allowance of approximately $117 million due to the uncertainty of realizing the benefits of the book versus tax basis differences and certain net operating loss carry-forwards.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increased or reduced or is no longer necessary. A change in the valuation allowance would affect the provision for income taxes and could materially impact Lazard’s consolidated financial position and results of operations.</w:t>
      </w:r>
    </w:p>
    <w:p>
      <w:pPr>
        <w:spacing w:after="0" w:line="12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see Note 17 of Notes to Consolidated Financial Statements in our Form 10-K for additional information related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Investments consist primarily of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investments, with the exception of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1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Borders>
              <w:top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$103,850</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118,535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27,673</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139,465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162,123</w:t>
            </w:r>
          </w:p>
        </w:tc>
        <w:tc>
          <w:tcPr>
            <w:tcW w:w="100" w:type="dxa"/>
            <w:vAlign w:val="bottom"/>
            <w:shd w:val="clear" w:color="auto" w:fill="CCEEFF"/>
          </w:tcPr>
          <w:p>
            <w:pPr>
              <w:spacing w:after="0"/>
              <w:rPr>
                <w:sz w:val="18"/>
                <w:szCs w:val="18"/>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106,251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104,405</w:t>
            </w:r>
          </w:p>
        </w:tc>
        <w:tc>
          <w:tcPr>
            <w:tcW w:w="1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Short-term investments and other</w:t>
            </w:r>
          </w:p>
        </w:tc>
        <w:tc>
          <w:tcPr>
            <w:tcW w:w="15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 owned</w:t>
            </w:r>
          </w:p>
        </w:tc>
        <w:tc>
          <w:tcPr>
            <w:tcW w:w="1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117,962</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116,049</w:t>
            </w:r>
          </w:p>
        </w:tc>
        <w:tc>
          <w:tcPr>
            <w:tcW w:w="100" w:type="dxa"/>
            <w:vAlign w:val="bottom"/>
            <w:shd w:val="clear" w:color="auto" w:fill="CCEEFF"/>
          </w:tcPr>
          <w:p>
            <w:pPr>
              <w:spacing w:after="0"/>
              <w:rPr>
                <w:sz w:val="18"/>
                <w:szCs w:val="18"/>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257,427</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278,172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method (c)</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8,552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consolidated, not owned (d)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Lazard Fund Interests (e)</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130,079</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405,344</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466,542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March 31, 2014 and December 31, 2013,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0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80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0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80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80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12</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0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000" w:type="dxa"/>
            <w:vAlign w:val="bottom"/>
          </w:tcPr>
          <w:p>
            <w:pPr>
              <w:ind w:left="1480"/>
              <w:spacing w:after="0"/>
              <w:rPr>
                <w:sz w:val="20"/>
                <w:szCs w:val="20"/>
                <w:color w:val="auto"/>
              </w:rPr>
            </w:pPr>
            <w:r>
              <w:rPr>
                <w:rFonts w:ascii="Arial" w:cs="Arial" w:eastAsia="Arial" w:hAnsi="Arial"/>
                <w:sz w:val="18"/>
                <w:szCs w:val="18"/>
                <w:color w:val="auto"/>
              </w:rPr>
              <w:t>Energy</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80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000" w:type="dxa"/>
            <w:vAlign w:val="bottom"/>
          </w:tcPr>
          <w:p>
            <w:pPr>
              <w:ind w:left="190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$20 million and $18 million as of March 31, 2014 and December 31, 2013, respectively.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4"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Composed of investments held in connection with Lazard Fund Interests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w:t>
      </w:r>
      <w:r>
        <w:rPr>
          <w:rFonts w:ascii="Arial" w:cs="Arial" w:eastAsia="Arial" w:hAnsi="Arial"/>
          <w:sz w:val="18"/>
          <w:szCs w:val="18"/>
          <w:color w:val="auto"/>
        </w:rPr>
        <w:t>” for risk management information relating to derivatives.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March 31, 2014 and December 31, 2013, $117 million and $116 million, respectively, of our total investments at a fair value of $396 and $457 million, respectively, or 30% and 25%, respectively, were classified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as Level 3 investments. Substantially all of our Level 3 investments at both dates are priced based on NAV. During the three months ended March 31, 2014 and 2013, gains of approximately $6 million and $1 million, respectively, were recognized in “revenue-other” on the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March 31, 2014 and December 31, 2013, the Company held seed investments of approximately $139 million and $162 million, respectively. Seed investments held in entities in which the Company maintained a controlling interest were $34 million in five entities as of March 31, 2014, as compared to $46 million in eight entities as of December 31, 2013.</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As of March 31, 2014 and December 31, 2013, the Company did not consolidate or deconsolidate any seed investment entities. As such, 100% of the recorded balance of seed investments as of March 31, 2014 and December 31, 2013 represented the Company’s economic interest in the seed investments. See “—Consolidation of Variable Interest Entities” below for more information on the Company’s policy regarding the consolidation of seed investment entities.</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8 of Notes to Condensed Consolidated Financial Statements for additional information regarding goodwill.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w:t>
      </w:r>
      <w:r>
        <w:rPr>
          <w:rFonts w:ascii="Arial" w:cs="Arial" w:eastAsia="Arial" w:hAnsi="Arial"/>
          <w:sz w:val="15"/>
          <w:szCs w:val="15"/>
          <w:i w:val="1"/>
          <w:iCs w:val="1"/>
          <w:color w:val="auto"/>
        </w:rPr>
        <w:t>Investments</w:t>
      </w:r>
      <w:r>
        <w:rPr>
          <w:rFonts w:ascii="Arial" w:cs="Arial" w:eastAsia="Arial" w:hAnsi="Arial"/>
          <w:sz w:val="15"/>
          <w:szCs w:val="15"/>
          <w:color w:val="auto"/>
        </w:rPr>
        <w:t>” above for more information regarding our investments.</w:t>
      </w:r>
    </w:p>
    <w:p>
      <w:pPr>
        <w:spacing w:after="0" w:line="9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Lazard Fund Interests and other similar deferred compensation arrangements. The Company measures its net economic exposure to market and other risks arising from investments that it owns, excluding (i) investments held in connection with Lazard Fund Interests and other similar deferred compensation arrangements and (ii) investments in funds owned entirely by the noncontrolling interest holders of certain acquired entities.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Equity Market Price Risk—As of March 31, 2014 and December 31, 2013, the Company’s exposure to equity market price risk in its investment portfolio, which primarily relates to investments in equity securities, equity funds and hedge funds, was approximately $117 million and $134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$1.7 million in the carrying value of such investments as of March 31, 2014 and December 31, 2013,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Risk—As of March 31, 2014 and December 31, 2013, the Company’s exposure to interest rate and credit spread risk in its investment portfolio related to investments in debt securities or funds which invest primarily in debt securities was $32 million and $37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$0.1 million and $0.2 million in the carrying value of such investments as of March 31, 2014 and December 31, 2013, respectively, including the effect of the hedging transactions.</w:t>
      </w:r>
    </w:p>
    <w:p>
      <w:pPr>
        <w:spacing w:after="0" w:line="116"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6"/>
          <w:szCs w:val="16"/>
          <w:color w:val="auto"/>
        </w:rPr>
        <w:t>Foreign Exchange Rate Risk—As of March 31, 2014 and December 31, 2013, the Company’s exposure to foreign exchange rate risk in its investment portfolio, which primarily relates to investments in foreign currency denominated equity and debt securities, was $71 million and $85 million, respectively. A significant portion of the Company’s foreign currency exposure is hedged through the aforementioned total return swaps. The Company estimates that a 10% adverse change in foreign exchange rates versus US dollars would result in a decrease of approximately $0.3 million and $1.4 million in the carrying value of such investments as of March 31, 2014 and December 31, 2013, respectively, including the effect of the hedging transactions.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As of March 31, 2014 and December 31, 2013, the Company’s exposure to changes in the fair value of such investments was approximately $106 million and $104 million, respectively. The Company estimates that a hypothetical 10% adverse change in fair value would result in a decrease of approximately $10.6 million and $10.4 million in the carrying value of such investments as of March 31, 2014 and December 31,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March 31, 2014, total receivables amounted to $626 million, net of an allowance for doubtful accounts of $31 million. As of that date, Financial Advisory and Asset Management fees, and customer and related party receivables comprised 64%, 19% and 17% of total receivables, respectively. At December 31, 2013, total receivables amounted to $623 million, net of an allowance for doubtful accounts of $29 million. As of that date, Financial Advisory and Asset Management fees, and customer and related party receivables comprised 73%, 8% and 19% of total receivables, respectively. At March 31, 2014 and December 31, 2013, the Company had receivables past due or deemed uncollectible of approximately $36 million and $39 million, respectively. See also “Critical Accounting Policies and Estimates—Revenue Recognition” above and Note 3 of Notes to Condensed Consolidated Financial Statements for additional information regarding receivables.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March 31, 2014 and December 31, 2013, customer receivables included $22 million and $15 million of LFB loans, respectively. Such loans are closely monitored for counterparty creditworthiness to help minimize exposure. In addition, as of March 31, 2014,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March 31, 2014, the Company’s largest individual counterparty exposure was a Financial Advisory fee receivable of $12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$0.3 million and $1 million at March 31, 2014 and December 31, 2013, respectively, and derivative liabilities, excluding the derivative liability arising from the Company’s obligation pertaining to Lazard Fund Interests and other similar deferred compensation arrangements, amounted to $6 million and $2 million at such respective dates.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Lazard Fund Interests awards. Derivative liabilities relating to Lazard Fund Interests amounted to $213 million and $162 million at March 31, 2014 and December 31, 2013, respectively.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March 31, 2014,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short-term investments generally have floating interest rates. Based on account balances as of March 31, 2014, Lazard estimates that its annual operating income relating to cash and short-term investments and corporate indebtedness would increase by approximately $7 million in the event interest rates were to increase by 1% and decrease by approximately $2 million if rates were to decrease by 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31, 2014, the Company’s cash and cash equivalents totaled approximately $654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2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3.4</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First Supplemental Indenture, dated as of May 10, 2005, by and between the Registrant and The Bank of New York, as trustee (incorporated</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8"/>
              </w:rPr>
              <w:t>by reference to Exhibit 4.2 to the Registrant’s Registration Statement (File No. 333-126751) on Form S-4 filed on July 21, 2005).</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4.3</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24"/>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0620" w:type="dxa"/>
            <w:vAlign w:val="bottom"/>
          </w:tcPr>
          <w:p>
            <w:pPr>
              <w:ind w:left="600"/>
              <w:spacing w:after="0"/>
              <w:rPr>
                <w:sz w:val="20"/>
                <w:szCs w:val="20"/>
                <w:color w:val="auto"/>
              </w:rPr>
            </w:pPr>
            <w:r>
              <w:rPr>
                <w:rFonts w:ascii="Arial" w:cs="Arial" w:eastAsia="Arial" w:hAnsi="Arial"/>
                <w:sz w:val="18"/>
                <w:szCs w:val="18"/>
                <w:color w:val="auto"/>
              </w:rPr>
              <w:t>Form of Senior Notes (included in Exhibits 4.2, 4.3 and 4.4).</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620" w:type="dxa"/>
            <w:vAlign w:val="bottom"/>
          </w:tcPr>
          <w:p>
            <w:pPr>
              <w:ind w:left="60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Ltd, LAZ-MD Holdings LLC and LFCM</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Holdings LLC (incorporated by reference to Exhibit 2.1 to Lazard Ltd’s Quarterly Report (File No. 001-32492) on Form 10-Q filed on June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16, 2005).</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0620" w:type="dxa"/>
            <w:vAlign w:val="bottom"/>
          </w:tcPr>
          <w:p>
            <w:pPr>
              <w:ind w:left="600"/>
              <w:spacing w:after="0"/>
              <w:rPr>
                <w:sz w:val="20"/>
                <w:szCs w:val="20"/>
                <w:color w:val="auto"/>
              </w:rPr>
            </w:pPr>
            <w:r>
              <w:rPr>
                <w:rFonts w:ascii="Arial" w:cs="Arial" w:eastAsia="Arial" w:hAnsi="Arial"/>
                <w:sz w:val="18"/>
                <w:szCs w:val="18"/>
                <w:color w:val="auto"/>
                <w:w w:val="94"/>
              </w:rPr>
              <w:t>Amendment No. 1, dated as of November 6, 2006, to the Master Separation Agreement, dated as of May 10, 2005, by and among to</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Registrant, Lazard Ltd and LAZ-MD Holdings LLC (incorporated by reference to Exhibit 10.2 to the Registrant’s Quarterly Report (File No.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333-126751) on Form 10-Q filed on November 7, 2006).</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10.3</w:t>
            </w:r>
          </w:p>
        </w:tc>
        <w:tc>
          <w:tcPr>
            <w:tcW w:w="10620" w:type="dxa"/>
            <w:vAlign w:val="bottom"/>
          </w:tcPr>
          <w:p>
            <w:pPr>
              <w:ind w:left="60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the</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Registrant, Lazard Ltd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(File No. 333-126751) filed on May 9, 2008).</w:t>
            </w:r>
          </w:p>
        </w:tc>
      </w:tr>
      <w:tr>
        <w:trPr>
          <w:trHeight w:val="378"/>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440"/>
              <w:spacing w:after="0"/>
              <w:rPr>
                <w:sz w:val="20"/>
                <w:szCs w:val="20"/>
                <w:color w:val="auto"/>
              </w:rPr>
            </w:pPr>
            <w:r>
              <w:rPr>
                <w:rFonts w:ascii="Arial" w:cs="Arial" w:eastAsia="Arial" w:hAnsi="Arial"/>
                <w:sz w:val="18"/>
                <w:szCs w:val="18"/>
                <w:color w:val="auto"/>
                <w:w w:val="88"/>
              </w:rPr>
              <w:t>Class B-1 and Class C Members Transaction Agreement (incorporated by reference to Exhibit 2.2 to Lazard Ltd’s Registration Statement (File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No. 333-121407) on Form S-1 filed on December 17, 2004).</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9"/>
              </w:rPr>
              <w:t>certain members of LAZ-MD Holdings LLC (incorporated by reference to Exhibit 10.4 to the Registrant’s Quarterly Report (File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No. 333-126751) on Form 10-Q filed on November 7, 2006).</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LAZ-MD Holdings LLC and Lazard Ltd (incorporated by reference to Exhibit 10.6 to the Registrant’s Quarterly Report (File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No. 333-126751) on Form 10-Q filed on May 9, 2008).</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Freres &amp; Co LLC, Lazard</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0"/>
              </w:rPr>
              <w:t>Freres S.A.S., Lazard &amp; Co., Holdings Limited and LFCM Holdings LLC (incorporated by reference to Exhibit 10.6 to Lazard Ltd’s Quarterly</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Report (File-No. 001-32492) on Form 10-Q filed on June 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440"/>
              <w:spacing w:after="0"/>
              <w:rPr>
                <w:sz w:val="20"/>
                <w:szCs w:val="20"/>
                <w:color w:val="auto"/>
              </w:rPr>
            </w:pPr>
            <w:r>
              <w:rPr>
                <w:rFonts w:ascii="Arial" w:cs="Arial" w:eastAsia="Arial" w:hAnsi="Arial"/>
                <w:sz w:val="18"/>
                <w:szCs w:val="18"/>
                <w:color w:val="auto"/>
                <w:w w:val="96"/>
              </w:rPr>
              <w:t>Administrative Services Agreement, dated as of May 10, 2005, by and among LAZ-MD Holdings LLC, LFCM Holdings LLC and the</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0"/>
              </w:rPr>
              <w:t>Registrant (incorporated by reference to Exhibit 10.7 to Lazard Ltd’s Quarterly Report (File No. 001-32492) on Form 10-Q filed on June 16,</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Business Alliance Agreement, dated as of May 10, 2005, by and between the Registrant and LFCM Holdings LLC (incorporated by reference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to Exhibit 10.8 to Lazard Ltd’s Quarterly Report (File No. 001-32492) on Form 10-Q filed on June 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Amendment and Consent, dated February 9, 2009, to the Business Alliance Agreement, dated as of May 10, 2005, by and between the</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Registrant and LFCM Holdings LLC (incorporated by reference to Exhibit 10.12 to Lazard Ltd’s Annual Report (File No. 001-32492) on</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Form 10-K filed on March 2, 2009).</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5"/>
              </w:rPr>
              <w:t>reference to Exhibit 10.16 to Lazard Ltd’s Registration Statement (File No. 333-121407) on Form S-1/A filed on February 11,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480" w:type="dxa"/>
            <w:vAlign w:val="bottom"/>
          </w:tcPr>
          <w:p>
            <w:pPr>
              <w:ind w:left="44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Freres &amp; Co. LLC (incorporated by reference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to Exhibit 10.19 to Lazard Ltd’s Registration Statement (File No. 333-121407) on Form S-1/A filed on February 1,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Amendment dated as of February 16, 2001, by and among RCPI Landmark Properties, L.L.C. (as the successor in interest to Rockefeller</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Freres &amp; Co. LLC), to the</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Freres &amp; Co. LLC (incorporated by reference to</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Burford (Stratton) Limited, Lazard &amp; Co., Limited and Lazard LLC (incorporated by reference to Exhibit 10.21 to Lazard Ltd’s Registration</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78"/>
        </w:trPr>
        <w:tc>
          <w:tcPr>
            <w:tcW w:w="840" w:type="dxa"/>
            <w:vAlign w:val="bottom"/>
          </w:tcPr>
          <w:p>
            <w:pPr>
              <w:spacing w:after="0"/>
              <w:rPr>
                <w:sz w:val="24"/>
                <w:szCs w:val="24"/>
                <w:color w:val="auto"/>
              </w:rPr>
            </w:pPr>
          </w:p>
        </w:tc>
        <w:tc>
          <w:tcPr>
            <w:tcW w:w="10480" w:type="dxa"/>
            <w:vAlign w:val="bottom"/>
          </w:tcPr>
          <w:p>
            <w:pPr>
              <w:ind w:left="468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10.17*</w:t>
            </w:r>
          </w:p>
        </w:tc>
        <w:tc>
          <w:tcPr>
            <w:tcW w:w="10380" w:type="dxa"/>
            <w:vAlign w:val="bottom"/>
          </w:tcPr>
          <w:p>
            <w:pPr>
              <w:ind w:left="400"/>
              <w:spacing w:after="0"/>
              <w:rPr>
                <w:sz w:val="20"/>
                <w:szCs w:val="20"/>
                <w:color w:val="auto"/>
              </w:rPr>
            </w:pPr>
            <w:r>
              <w:rPr>
                <w:rFonts w:ascii="Arial" w:cs="Arial" w:eastAsia="Arial" w:hAnsi="Arial"/>
                <w:sz w:val="18"/>
                <w:szCs w:val="18"/>
                <w:color w:val="auto"/>
                <w:w w:val="91"/>
              </w:rPr>
              <w:t>Lazard Ltd’s 2005 Equity Incentive Plan (incorporated by reference to Exhibit 10.21 to Lazard Ltd’s Registration Statement (File No. 333-</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121407) on Form S-1/A filed on May 2, 2005).</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10.18*</w:t>
            </w:r>
          </w:p>
        </w:tc>
        <w:tc>
          <w:tcPr>
            <w:tcW w:w="10380" w:type="dxa"/>
            <w:vAlign w:val="bottom"/>
          </w:tcPr>
          <w:p>
            <w:pPr>
              <w:ind w:left="40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Schedule 14A (File No. 001-32492) filed on March 24, 2008).</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10.19*</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Lazard Ltd’s 2005 Bonus Plan (incorporated by reference to Exhibit 10.23 to Lazard Ltd’s Registration Statement (File No. 333-121407) on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Form S-1/A filed on March 21, 2005).</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10.20*</w:t>
            </w:r>
          </w:p>
        </w:tc>
        <w:tc>
          <w:tcPr>
            <w:tcW w:w="10380" w:type="dxa"/>
            <w:vAlign w:val="bottom"/>
          </w:tcPr>
          <w:p>
            <w:pPr>
              <w:ind w:left="40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Schedule I for, Scott D. Hoffman (incorporated by reference to Exhibit 10.26 to Lazard Ltd’s Quarterly Report (File No. 001-32492) on Form</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10-Q filed on June 16, 2005.</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10.21*</w:t>
            </w:r>
          </w:p>
        </w:tc>
        <w:tc>
          <w:tcPr>
            <w:tcW w:w="10380" w:type="dxa"/>
            <w:vAlign w:val="bottom"/>
          </w:tcPr>
          <w:p>
            <w:pPr>
              <w:ind w:left="40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2"/>
              </w:rPr>
              <w:t>of May 4, 2005, for Scott D. Hoffman (incorporated by reference to Exhibit 10.2 to the Registrant’s Current Report on Form 8-K (File No.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333-126751) filed on May 9, 2008).</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10.22*</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Amendment, dated as of February 23,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May 4, 2005 and amended as of May 7, 2008 for Scott D. Hoffman (incorporated by reference to Exhibit 10.24 to the Registrant’s Quarterly</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10.23*</w:t>
            </w:r>
          </w:p>
        </w:tc>
        <w:tc>
          <w:tcPr>
            <w:tcW w:w="10380" w:type="dxa"/>
            <w:vAlign w:val="bottom"/>
          </w:tcPr>
          <w:p>
            <w:pPr>
              <w:ind w:left="40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Ltd’s Registration Statement (File No. 333-121407) on Form S-1/A filed on April 11, 2005).</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10.24*</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March 2, 2009).</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10.25*</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333-126751) filed on March 23, 2010).</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10.26*</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Agreement Relating to Retention and Noncompetition and Other Covenants, dated as of March 18, 2005, by and between the Registrant and</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on March 1, 2010).</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10.27*</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333-126751) filed on March 23, 2010).</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10.28*</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on April 29, 2011).</w:t>
            </w:r>
          </w:p>
        </w:tc>
      </w:tr>
      <w:tr>
        <w:trPr>
          <w:trHeight w:val="331"/>
        </w:trPr>
        <w:tc>
          <w:tcPr>
            <w:tcW w:w="880" w:type="dxa"/>
            <w:vAlign w:val="bottom"/>
          </w:tcPr>
          <w:p>
            <w:pPr>
              <w:jc w:val="right"/>
              <w:ind w:right="312"/>
              <w:spacing w:after="0"/>
              <w:rPr>
                <w:sz w:val="20"/>
                <w:szCs w:val="20"/>
                <w:color w:val="auto"/>
              </w:rPr>
            </w:pPr>
            <w:r>
              <w:rPr>
                <w:rFonts w:ascii="Arial" w:cs="Arial" w:eastAsia="Arial" w:hAnsi="Arial"/>
                <w:sz w:val="18"/>
                <w:szCs w:val="18"/>
                <w:color w:val="auto"/>
                <w:w w:val="88"/>
              </w:rPr>
              <w:t>10.29*</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78"/>
        </w:trPr>
        <w:tc>
          <w:tcPr>
            <w:tcW w:w="88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Acknowledgement Letter, dated as of November 6, 2006 from the Registrant to certain managing directors of the Registrant modifying the</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terms of the retention agreements of persons party to the Amended and Restated Stockholders’ Agreement, dated as of November 6, 2006</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(incorporated by reference to Exhibit 10.23 to the Registrant’s Quarterly Report (File No. 333-126751) on Form 10-Q filed on November 7,</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2006).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380" w:type="dxa"/>
            <w:vAlign w:val="bottom"/>
          </w:tcPr>
          <w:p>
            <w:pPr>
              <w:ind w:left="400"/>
              <w:spacing w:after="0"/>
              <w:rPr>
                <w:sz w:val="20"/>
                <w:szCs w:val="20"/>
                <w:color w:val="auto"/>
              </w:rPr>
            </w:pPr>
            <w:r>
              <w:rPr>
                <w:rFonts w:ascii="Arial" w:cs="Arial" w:eastAsia="Arial" w:hAnsi="Arial"/>
                <w:sz w:val="18"/>
                <w:szCs w:val="18"/>
                <w:color w:val="auto"/>
                <w:w w:val="91"/>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7"/>
              </w:rPr>
              <w:t>reference to Exhibit 10.27 to Lazard Ltd’s Registration Statement (File No. 333-121407) on Form S-1/A filed on March 21,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Ltd and IXIS</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Corporate and Investment Bank (incorporated by reference to Exhibit 10.30 to Lazard Ltd’s Quarterly Report (File No. 001-32492) on Form</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10-Q filed on June 16,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380" w:type="dxa"/>
            <w:vAlign w:val="bottom"/>
          </w:tcPr>
          <w:p>
            <w:pPr>
              <w:ind w:left="40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380" w:type="dxa"/>
            <w:vAlign w:val="bottom"/>
          </w:tcPr>
          <w:p>
            <w:pPr>
              <w:ind w:left="40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380" w:type="dxa"/>
            <w:vAlign w:val="bottom"/>
          </w:tcPr>
          <w:p>
            <w:pPr>
              <w:ind w:left="40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(incorporated by reference to Exhibit 10.41 to Lazard Ltd’s Annual Report (File No. 001-32492) on Form 10-K filed on March 2, 2009).</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380" w:type="dxa"/>
            <w:vAlign w:val="bottom"/>
          </w:tcPr>
          <w:p>
            <w:pPr>
              <w:ind w:left="400"/>
              <w:spacing w:after="0"/>
              <w:rPr>
                <w:sz w:val="20"/>
                <w:szCs w:val="20"/>
                <w:color w:val="auto"/>
              </w:rPr>
            </w:pPr>
            <w:r>
              <w:rPr>
                <w:rFonts w:ascii="Arial" w:cs="Arial" w:eastAsia="Arial" w:hAnsi="Arial"/>
                <w:sz w:val="18"/>
                <w:szCs w:val="18"/>
                <w:color w:val="auto"/>
                <w:w w:val="95"/>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(incorporated by reference to Exhibit 10.42 to Lazard Ltd’s Annual Report (File No. 001-32492) on Form 10-K filed on March 2, 2009).</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10-Q filed on May 11, 2006).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(incorporated by reference to Exhibit 10.43 to Lazard Ltd’s Annual Report (File No. 001-32492) on Form 10-K filed on March 1, 2007).</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380" w:type="dxa"/>
            <w:vAlign w:val="bottom"/>
          </w:tcPr>
          <w:p>
            <w:pPr>
              <w:ind w:left="400"/>
              <w:spacing w:after="0"/>
              <w:rPr>
                <w:sz w:val="20"/>
                <w:szCs w:val="20"/>
                <w:color w:val="auto"/>
              </w:rPr>
            </w:pPr>
            <w:r>
              <w:rPr>
                <w:rFonts w:ascii="Arial" w:cs="Arial" w:eastAsia="Arial" w:hAnsi="Arial"/>
                <w:sz w:val="18"/>
                <w:szCs w:val="18"/>
                <w:color w:val="auto"/>
                <w:w w:val="91"/>
              </w:rPr>
              <w:t>Agreement and Plan of Merger, dated as of August 14, 2008, by and among Lazard Ltd, LAZ Sub I, Lazard Asset Management LLC and</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Lazard Asset Management Limited (incorporated by reference to Exhibit 2.1 to Lazard Ltd’s Current Report on Form 8-K (File No. 001-</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32492) filed on August 15, 2008).</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Senior Revolving Credit Agreement, dated as of September 25, 2012, among the Registrant, the Banks from time to time parties thereto, and</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4"/>
              </w:rPr>
              <w:t>Citibank, N.A., as Administrative Agent (incorporated by reference to Exhibit 10.46 to the Registrant’s Quarterly Report (File No. 333-</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126751) on Form 10-Q 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380" w:type="dxa"/>
            <w:vAlign w:val="bottom"/>
          </w:tcPr>
          <w:p>
            <w:pPr>
              <w:ind w:left="400"/>
              <w:spacing w:after="0"/>
              <w:rPr>
                <w:sz w:val="20"/>
                <w:szCs w:val="20"/>
                <w:color w:val="auto"/>
              </w:rPr>
            </w:pPr>
            <w:r>
              <w:rPr>
                <w:rFonts w:ascii="Arial" w:cs="Arial" w:eastAsia="Arial" w:hAnsi="Arial"/>
                <w:sz w:val="18"/>
                <w:szCs w:val="18"/>
                <w:color w:val="auto"/>
                <w:w w:val="89"/>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78"/>
        </w:trPr>
        <w:tc>
          <w:tcPr>
            <w:tcW w:w="88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Restricted Stock Units and Restricted Stock to Executive Officers who are or may become eligible</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(File No. 333-126751) on Form 10-Q filed on May 2,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(File No. 333-126751) on Form 10-Q filed on August 4,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420" w:type="dxa"/>
            <w:vAlign w:val="bottom"/>
          </w:tcPr>
          <w:p>
            <w:pPr>
              <w:ind w:left="40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of March 18, 2005, and amended on March 23, 2010, among the Registrant, Lazard Ltd and Kenneth M. Jacobs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2"/>
              </w:rPr>
              <w:t>of March 15, 2005 and amended on August 2, 2011, among the Registrant, Lazard Ltd and Ashish Bhutani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10.49 to the Registrant’s Quarterly Report (File No. 333-126751) on Form 10-Q filed on April 30, 2013).</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2"/>
              </w:rPr>
              <w:t>of October 4, 2004 and amended on April 1, 2011, among the Registrant, Lazard Ltd and Matthieu Bucaille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10.50 to the Registrant’s Quarterly Report (File No. 333-126751) on Form 10-Q filed on April 30, 2013).</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of May 4, 2005 and amended on May 7, 2008 and February 23, 2011, among the Registrant, Lazard Ltd and Scott D. Hoffman (incorporated</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9"/>
              </w:rPr>
              <w:t>by reference to Exhibit 10.51 to the Registrant’s Quarterly Report (File No. 333-126751) on Form 10-Q filed on April 30, 2013).</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of October 4, 2004 and amended on March 23, 2010, among the Registrant, Lazard Ltd and Alexander F. Stern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420" w:type="dxa"/>
            <w:vAlign w:val="bottom"/>
          </w:tcPr>
          <w:p>
            <w:pPr>
              <w:ind w:left="400"/>
              <w:spacing w:after="0"/>
              <w:rPr>
                <w:sz w:val="20"/>
                <w:szCs w:val="20"/>
                <w:color w:val="auto"/>
              </w:rPr>
            </w:pPr>
            <w:r>
              <w:rPr>
                <w:rFonts w:ascii="Arial" w:cs="Arial" w:eastAsia="Arial" w:hAnsi="Arial"/>
                <w:sz w:val="18"/>
                <w:szCs w:val="18"/>
                <w:color w:val="auto"/>
                <w:w w:val="91"/>
              </w:rPr>
              <w:t>Form of Agreement evidencing a grant of Performance-Based Stock Units under the 2008 Incentive Compensation Plan (incorporated by</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under the 2008 Incentive Compensation Plan</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4"/>
              </w:rPr>
              <w:t>(incorporated by reference to Exhibit 10.54 to the Registrant’s Quarterly Report (File No. 333-126751) on Form 10-Q filed on April 30,</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10.53*</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Restricted Stock Units to Named Executive Officers under the 2008 Incentive Compensation Plan</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333-126751) on Form 10-Q filed on April 30,</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2013).</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10.54*</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10.55*</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Agreement between Lazard Ltd and Kenneth M. Jacobs, dated as of February 20, 2014, evidencing a grant of Performance-Based Stock Units</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under the 2008 Incentive Compensation Plan.</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10420" w:type="dxa"/>
            <w:vAlign w:val="bottom"/>
          </w:tcPr>
          <w:p>
            <w:pPr>
              <w:ind w:left="400"/>
              <w:spacing w:after="0"/>
              <w:rPr>
                <w:sz w:val="20"/>
                <w:szCs w:val="20"/>
                <w:color w:val="auto"/>
              </w:rPr>
            </w:pPr>
            <w:r>
              <w:rPr>
                <w:rFonts w:ascii="Arial" w:cs="Arial" w:eastAsia="Arial" w:hAnsi="Arial"/>
                <w:sz w:val="18"/>
                <w:szCs w:val="18"/>
                <w:color w:val="auto"/>
              </w:rPr>
              <w:t>Computation of Ratio of Earnings to Fixed Charges.</w:t>
            </w:r>
          </w:p>
        </w:tc>
      </w:tr>
      <w:tr>
        <w:trPr>
          <w:trHeight w:val="365"/>
        </w:trPr>
        <w:tc>
          <w:tcPr>
            <w:tcW w:w="880" w:type="dxa"/>
            <w:vAlign w:val="bottom"/>
          </w:tcPr>
          <w:p>
            <w:pPr>
              <w:spacing w:after="0"/>
              <w:rPr>
                <w:sz w:val="24"/>
                <w:szCs w:val="24"/>
                <w:color w:val="auto"/>
              </w:rPr>
            </w:pPr>
          </w:p>
        </w:tc>
        <w:tc>
          <w:tcPr>
            <w:tcW w:w="10420" w:type="dxa"/>
            <w:vAlign w:val="bottom"/>
          </w:tcPr>
          <w:p>
            <w:pPr>
              <w:ind w:left="464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3980" w:type="dxa"/>
            <w:vAlign w:val="bottom"/>
          </w:tcPr>
          <w:p>
            <w:pPr>
              <w:ind w:left="360"/>
              <w:spacing w:after="0"/>
              <w:rPr>
                <w:sz w:val="20"/>
                <w:szCs w:val="20"/>
                <w:color w:val="auto"/>
              </w:rPr>
            </w:pPr>
            <w:r>
              <w:rPr>
                <w:rFonts w:ascii="Arial" w:cs="Arial" w:eastAsia="Arial" w:hAnsi="Arial"/>
                <w:sz w:val="18"/>
                <w:szCs w:val="18"/>
                <w:color w:val="auto"/>
                <w:w w:val="89"/>
              </w:rPr>
              <w:t>Rule 13a-14(a) Certification of Kenneth M. Jacobs.</w:t>
            </w:r>
          </w:p>
        </w:tc>
      </w:tr>
      <w:tr>
        <w:trPr>
          <w:trHeight w:val="33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3980" w:type="dxa"/>
            <w:vAlign w:val="bottom"/>
          </w:tcPr>
          <w:p>
            <w:pPr>
              <w:ind w:left="360"/>
              <w:spacing w:after="0"/>
              <w:rPr>
                <w:sz w:val="20"/>
                <w:szCs w:val="20"/>
                <w:color w:val="auto"/>
              </w:rPr>
            </w:pPr>
            <w:r>
              <w:rPr>
                <w:rFonts w:ascii="Arial" w:cs="Arial" w:eastAsia="Arial" w:hAnsi="Arial"/>
                <w:sz w:val="18"/>
                <w:szCs w:val="18"/>
                <w:color w:val="auto"/>
                <w:w w:val="92"/>
              </w:rPr>
              <w:t>Rule 13a-14(a) Certification of Matthieu Bucaille.</w:t>
            </w:r>
          </w:p>
        </w:tc>
      </w:tr>
      <w:tr>
        <w:trPr>
          <w:trHeight w:val="338"/>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3980" w:type="dxa"/>
            <w:vAlign w:val="bottom"/>
          </w:tcPr>
          <w:p>
            <w:pPr>
              <w:ind w:left="360"/>
              <w:spacing w:after="0"/>
              <w:rPr>
                <w:sz w:val="20"/>
                <w:szCs w:val="20"/>
                <w:color w:val="auto"/>
              </w:rPr>
            </w:pPr>
            <w:r>
              <w:rPr>
                <w:rFonts w:ascii="Arial" w:cs="Arial" w:eastAsia="Arial" w:hAnsi="Arial"/>
                <w:sz w:val="18"/>
                <w:szCs w:val="18"/>
                <w:color w:val="auto"/>
                <w:w w:val="91"/>
              </w:rPr>
              <w:t>Section 1350 Certification for Kenneth M. Jacobs.</w:t>
            </w:r>
          </w:p>
        </w:tc>
      </w:tr>
      <w:tr>
        <w:trPr>
          <w:trHeight w:val="33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3980" w:type="dxa"/>
            <w:vAlign w:val="bottom"/>
          </w:tcPr>
          <w:p>
            <w:pPr>
              <w:ind w:left="360"/>
              <w:spacing w:after="0"/>
              <w:rPr>
                <w:sz w:val="20"/>
                <w:szCs w:val="20"/>
                <w:color w:val="auto"/>
              </w:rPr>
            </w:pPr>
            <w:r>
              <w:rPr>
                <w:rFonts w:ascii="Arial" w:cs="Arial" w:eastAsia="Arial" w:hAnsi="Arial"/>
                <w:sz w:val="18"/>
                <w:szCs w:val="18"/>
                <w:color w:val="auto"/>
                <w:w w:val="95"/>
              </w:rPr>
              <w:t>Section 1350 Certification for Matthieu Bucaille.</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98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98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980" w:type="dxa"/>
            <w:vAlign w:val="bottom"/>
          </w:tcPr>
          <w:p>
            <w:pPr>
              <w:ind w:left="36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980" w:type="dxa"/>
            <w:vAlign w:val="bottom"/>
          </w:tcPr>
          <w:p>
            <w:pPr>
              <w:ind w:left="360"/>
              <w:spacing w:after="0"/>
              <w:rPr>
                <w:sz w:val="20"/>
                <w:szCs w:val="20"/>
                <w:color w:val="auto"/>
              </w:rPr>
            </w:pPr>
            <w:r>
              <w:rPr>
                <w:rFonts w:ascii="Arial" w:cs="Arial" w:eastAsia="Arial" w:hAnsi="Arial"/>
                <w:sz w:val="18"/>
                <w:szCs w:val="18"/>
                <w:color w:val="auto"/>
                <w:w w:val="95"/>
              </w:rPr>
              <w:t>XBRL Taxonomy Extension Definition Linkbase</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9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980" w:type="dxa"/>
            <w:vAlign w:val="bottom"/>
          </w:tcPr>
          <w:p>
            <w:pPr>
              <w:ind w:left="36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10.54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STOCK UNIT AGREEMENT</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AGREEMENT, dated as of February 20, 2014, between Lazard Ltd, a Bermuda exempted company (the “Company”), on behalf of its applicable Affiliate (as defined under the definitional rules of Section 1(a) below), and [NAME] (the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 follows:</w:t>
      </w:r>
    </w:p>
    <w:p>
      <w:pPr>
        <w:spacing w:after="0" w:line="269" w:lineRule="exact"/>
        <w:rPr>
          <w:sz w:val="20"/>
          <w:szCs w:val="20"/>
          <w:color w:val="auto"/>
        </w:rPr>
      </w:pPr>
    </w:p>
    <w:p>
      <w:pPr>
        <w:ind w:left="420" w:hanging="184"/>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Performance-Based Stock Units.</w:t>
      </w:r>
    </w:p>
    <w:p>
      <w:pPr>
        <w:spacing w:after="0" w:line="96" w:lineRule="exact"/>
        <w:rPr>
          <w:rFonts w:ascii="Arial" w:cs="Arial" w:eastAsia="Arial" w:hAnsi="Arial"/>
          <w:sz w:val="18"/>
          <w:szCs w:val="18"/>
          <w:b w:val="1"/>
          <w:bCs w:val="1"/>
          <w:color w:val="auto"/>
        </w:rPr>
      </w:pPr>
    </w:p>
    <w:p>
      <w:pPr>
        <w:ind w:right="160" w:firstLine="464"/>
        <w:spacing w:after="0" w:line="291" w:lineRule="auto"/>
        <w:tabs>
          <w:tab w:leader="none" w:pos="695" w:val="left"/>
        </w:tabs>
        <w:numPr>
          <w:ilvl w:val="1"/>
          <w:numId w:val="54"/>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hereby grants to the Employee, as of the date set forth above (the “Grant Date”), the target number of performance-based Stock Units (“Stock Units”) specified in Appendix A, each with respect to one Share. Subject to the terms and conditions set forth in this Agreement, the Employee will actually earn (or be deemed to earn) a number of Stock Units that is between 0% and 200% of the target number of Stock Units subject to this Agreement, such number of earned Stock Units to be determined based on achievement of the performance goals set forth on Appendix A (the “Performance Conditions”).</w:t>
      </w:r>
    </w:p>
    <w:p>
      <w:pPr>
        <w:spacing w:after="0" w:line="120" w:lineRule="exact"/>
        <w:rPr>
          <w:rFonts w:ascii="Arial" w:cs="Arial" w:eastAsia="Arial" w:hAnsi="Arial"/>
          <w:sz w:val="16"/>
          <w:szCs w:val="16"/>
          <w:color w:val="auto"/>
        </w:rPr>
      </w:pPr>
    </w:p>
    <w:p>
      <w:pPr>
        <w:ind w:right="500" w:firstLine="464"/>
        <w:spacing w:after="0" w:line="268" w:lineRule="auto"/>
        <w:tabs>
          <w:tab w:leader="none" w:pos="7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to the provisions of the Plan, the Stock Units shall vest and no longer be subject to any restriction if each of the following two conditions has been satisfied:</w:t>
      </w:r>
    </w:p>
    <w:p>
      <w:pPr>
        <w:spacing w:after="0" w:line="50" w:lineRule="exact"/>
        <w:rPr>
          <w:rFonts w:ascii="Arial" w:cs="Arial" w:eastAsia="Arial" w:hAnsi="Arial"/>
          <w:sz w:val="18"/>
          <w:szCs w:val="18"/>
          <w:color w:val="auto"/>
        </w:rPr>
      </w:pPr>
    </w:p>
    <w:p>
      <w:pPr>
        <w:ind w:left="1920" w:right="20" w:hanging="440"/>
        <w:spacing w:after="0" w:line="268" w:lineRule="auto"/>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Employee has remained continuously employed by the Company or any of its Affiliates until March 1, 2017 (such date, the “Final Service Date”, and such condition, the “Service Condition”); and</w:t>
      </w:r>
    </w:p>
    <w:p>
      <w:pPr>
        <w:spacing w:after="0" w:line="50" w:lineRule="exact"/>
        <w:rPr>
          <w:rFonts w:ascii="Arial" w:cs="Arial" w:eastAsia="Arial" w:hAnsi="Arial"/>
          <w:sz w:val="18"/>
          <w:szCs w:val="18"/>
          <w:color w:val="auto"/>
        </w:rPr>
      </w:pPr>
    </w:p>
    <w:p>
      <w:pPr>
        <w:ind w:left="1920" w:right="140" w:hanging="440"/>
        <w:spacing w:after="0" w:line="289" w:lineRule="auto"/>
        <w:tabs>
          <w:tab w:leader="none" w:pos="19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 xml:space="preserve">The Committee concludes that during the period beginning on January 1, 2014 and ending on December 31, 2016 (the “Performance Period”), the Company has achieved the Performance Conditions and specifies the level at which the Stock Units shall vest, based on the scoring, adjustment and weighting provisions set forth in Appendix 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in its sole discretion, may interpret the goals and scoring set forth in Appendix A as it deems necessary or appropriate (including, without limitation, to the extent necessary to address extraordinary events or circumstances). The ultimate score achieved based on Appendix A (which may range from 0.0 to 2.0) will be multiplied by the total target number of Stock Units in order to determine the number of Stock Units that may vest upon satisfaction of the Service Condition. Furthermore, the Committee shall determine, following the end of each fiscal year during</w:t>
      </w:r>
    </w:p>
    <w:p>
      <w:pPr>
        <w:sectPr>
          <w:pgSz w:w="11900" w:h="16838" w:orient="portrait"/>
          <w:cols w:equalWidth="0" w:num="1">
            <w:col w:w="11420"/>
          </w:cols>
          <w:pgMar w:left="240" w:top="125" w:right="239" w:bottom="1440" w:gutter="0" w:footer="0" w:header="0"/>
        </w:sectPr>
      </w:pPr>
    </w:p>
    <w:bookmarkStart w:id="81" w:name="page82"/>
    <w:bookmarkEnd w:id="81"/>
    <w:p>
      <w:pPr>
        <w:ind w:left="19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Period and in accordance with the methodology described in the first sentence of this Section 1(b)(ii), the extent to which the Company has achieved the Performance Conditions with respect to such fiscal year and, in the event that the Performance Conditions in that year have been achieved at the target level (</w:t>
      </w:r>
      <w:r>
        <w:rPr>
          <w:rFonts w:ascii="Arial" w:cs="Arial" w:eastAsia="Arial" w:hAnsi="Arial"/>
          <w:sz w:val="16"/>
          <w:szCs w:val="16"/>
          <w:u w:val="single" w:color="auto"/>
          <w:color w:val="auto"/>
        </w:rPr>
        <w:t>i.e.</w:t>
      </w:r>
      <w:r>
        <w:rPr>
          <w:rFonts w:ascii="Arial" w:cs="Arial" w:eastAsia="Arial" w:hAnsi="Arial"/>
          <w:sz w:val="16"/>
          <w:szCs w:val="16"/>
          <w:color w:val="auto"/>
        </w:rPr>
        <w:t>, the 1.0x level) or above, then the Performance Conditions will be deemed satisfied with respect to twenty-five percent (25%) of the total target number of Stock Units (any such Stock Units that are earned in accordance with this sentence, the “Fiscal Year Stock Units”). Any Fiscal Year Stock Units will vest upon satisfaction (or deemed satisfaction) of the Service Condition in accordance with Section 1(b)(i) above or Section 1(d) or 1(f) below. In the event that the Committee makes any conclusion regarding achievement of the Performance Conditions for the full Performance Period (or, in the case of Section 1(d)(i) or 1(f)(i), for a portion thereof), any Fiscal Year Stock Units will be applied to reduce the number of Stock Units that would otherwise be earned in accordance with this Agreement.</w:t>
      </w:r>
    </w:p>
    <w:p>
      <w:pPr>
        <w:spacing w:after="0" w:line="120" w:lineRule="exact"/>
        <w:rPr>
          <w:sz w:val="20"/>
          <w:szCs w:val="20"/>
          <w:color w:val="auto"/>
        </w:rPr>
      </w:pPr>
    </w:p>
    <w:p>
      <w:pPr>
        <w:ind w:right="20" w:firstLine="464"/>
        <w:spacing w:after="0" w:line="253" w:lineRule="auto"/>
        <w:tabs>
          <w:tab w:leader="none" w:pos="695"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Except as set forth in Section 1(f) below, in the event that the Employee incurs a Termination of Employment prior to the Final Service Date for any reason not set forth in Section 1(d), all unvested Stock Units (and any Remaining Shares (as defined in Section 1(d)(iii) below)) shall be forfeited by the Employee effective immediately upon such Termination of Employment. For purposes of this Section 1(c), the Employee will be deemed to have incurred a Termination of Employment on the date that the Employee provides notice of termination to the Company, and accordingly, all unvested Stock Units (and any Remaining Shares) shall be forfeited by the Employee immediately upon delivery of any such notice. In addition, all unvested Stock Units (excluding any Fiscal Year Stock Units or Dividend Equivalent Stock Units (as defined in Section 4 below)) shall be forfeited by the Employee to the extent that, following the last day of the Performance Period (or such earlier date as specified in Section 1(d) or 1(f)), the Performance Conditions with respect to such Stock Units have not been satisfied.</w:t>
      </w:r>
    </w:p>
    <w:p>
      <w:pPr>
        <w:spacing w:after="0" w:line="145" w:lineRule="exact"/>
        <w:rPr>
          <w:rFonts w:ascii="Arial" w:cs="Arial" w:eastAsia="Arial" w:hAnsi="Arial"/>
          <w:sz w:val="18"/>
          <w:szCs w:val="18"/>
          <w:color w:val="auto"/>
        </w:rPr>
      </w:pPr>
    </w:p>
    <w:p>
      <w:pPr>
        <w:ind w:left="720" w:hanging="256"/>
        <w:spacing w:after="0"/>
        <w:tabs>
          <w:tab w:leader="none" w:pos="7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 Except as set forth in Section 1(f) below, in the event that the Employee incurs a Termination of Employment prior to the Final Service Date due to</w:t>
      </w:r>
    </w:p>
    <w:p>
      <w:pPr>
        <w:spacing w:after="0" w:line="38" w:lineRule="exact"/>
        <w:rPr>
          <w:rFonts w:ascii="Arial" w:cs="Arial" w:eastAsia="Arial" w:hAnsi="Arial"/>
          <w:sz w:val="16"/>
          <w:szCs w:val="16"/>
          <w:color w:val="auto"/>
        </w:rPr>
      </w:pPr>
    </w:p>
    <w:p>
      <w:pPr>
        <w:ind w:right="100" w:firstLine="8"/>
        <w:spacing w:after="0" w:line="300" w:lineRule="auto"/>
        <w:tabs>
          <w:tab w:leader="none" w:pos="288"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the Employee’s Disability, (B) the Employee’s death or (C) a Termination of Employment by the Company other than for Cause, subject to Section 1(e) below, the Stock Units (and any Remaining Shares) held by the Employee on the Date of Termination shall no longer be subject to the Performance Conditions and the Service Condition, and any Stock Units shall be settled as set forth in Section 1(d)(iii) or Section 2 below but such Stock Units and Remaining Shares shall remain subject to forfeiture pursuant to Section 1(e) through the Final Service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 Termination of Employment due to the Employee’s death as described in clause (B) of this Section 1(d)(i) or in the case of the Employee’s death subsequent to a Termination of Employment described in this Section 1(d)(i), the Stock Units (and any Remaining Shares) will immediately vest upon the date of death and the Stock Units shall be settled through delivery of fully transferable Shares as soon as practicable following such date (or, if applicable, in the event the Employee’s death occurs more than halfway through a fiscal quarter, as soon as practicable following the date that the Committee determines the extent to which the Performance Conditions have been satisfied for the applicable measurement period). The Stock Units (excluding Fiscal Year Stock Units and Dividend Equivalent Stock Units) shall vest based on</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2" w:name="page83"/>
    <w:bookmarkEnd w:id="8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actual performance level during the period beginning on the first day of the Performance Period and ending on the last day of the most recent fiscal quarter preceding the Date of Termination (or, if the Date of Termination occurs more than halfway through a fiscal quarter, the last day of such current fiscal quarter), as determined by the Committee, and (2) deemed performance at the target level for the period beginning on the first day of the following fiscal quarter through the last day of the Performance Period.</w:t>
      </w:r>
    </w:p>
    <w:p>
      <w:pPr>
        <w:spacing w:after="0" w:line="62" w:lineRule="exact"/>
        <w:rPr>
          <w:sz w:val="20"/>
          <w:szCs w:val="20"/>
          <w:color w:val="auto"/>
        </w:rPr>
      </w:pPr>
    </w:p>
    <w:p>
      <w:pPr>
        <w:ind w:left="1920" w:hanging="440"/>
        <w:spacing w:after="0" w:line="286" w:lineRule="auto"/>
        <w:tabs>
          <w:tab w:leader="none" w:pos="19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Except as set forth in Section 1(f) below, in the event that the Employee incurs a Termination of Employment prior to the Final Service Date due to the Employee’s Retirement (as defined below), all Stock Units held by the Employee on the Date of Termination (and any Remaining Shares) shall no longer be subject to the Service Condition and, following satisfaction of the Performance Conditions and subject to Section 1(e), shall be settled as set forth in Section 1(d)(iii) below (unless already settled pursuant to such section prior to Termination of Employment) but shall remain subject to forfeiture pursuant to Section 1(e) through the Final Service Date (subject to any acceleration of vesting as otherwise set forth in this Agreement). Such Stock Units (excluding Fiscal Year Stock Units and Dividend Equivalent Stock Units) shall vest at the level determined by the Committee following the last day of the Performance Period, based on actual performance during the Performance Period. For purposes of this Agreement, “Retirement” shall mean that the Employee voluntarily incurs a Termination of Employment on or after the date on which the Employee meets all of the following retirement eligibility requirements (such date, the “Retirement Eligibility Date”): (A) minimum age fifty-six (56); (B) minimum of five (5) years of service with the Company or its Affiliates; and (C) actual age plus years of service with the Company or any of its Affiliates at least seventy (70).</w:t>
      </w:r>
    </w:p>
    <w:p>
      <w:pPr>
        <w:spacing w:after="0" w:line="43" w:lineRule="exact"/>
        <w:rPr>
          <w:rFonts w:ascii="Arial" w:cs="Arial" w:eastAsia="Arial" w:hAnsi="Arial"/>
          <w:sz w:val="16"/>
          <w:szCs w:val="16"/>
          <w:color w:val="auto"/>
        </w:rPr>
      </w:pPr>
    </w:p>
    <w:p>
      <w:pPr>
        <w:ind w:left="1920" w:right="160" w:hanging="440"/>
        <w:spacing w:after="0" w:line="286" w:lineRule="auto"/>
        <w:tabs>
          <w:tab w:leader="none" w:pos="19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the final sentence of Section 2 below, all Shares underlying the (A) Fiscal Year Stock Units, (B) Stock Units for which the Performance Conditions have been satisfied (or are deemed to be satisfied in accordance with Section 1(d)(i) or Section 1(f)(i)) and</w:t>
      </w:r>
    </w:p>
    <w:p>
      <w:pPr>
        <w:ind w:left="1920" w:right="160"/>
        <w:spacing w:after="0" w:line="287" w:lineRule="auto"/>
        <w:rPr>
          <w:rFonts w:ascii="Arial" w:cs="Arial" w:eastAsia="Arial" w:hAnsi="Arial"/>
          <w:sz w:val="16"/>
          <w:szCs w:val="16"/>
          <w:color w:val="auto"/>
        </w:rPr>
      </w:pPr>
      <w:r>
        <w:rPr>
          <w:rFonts w:ascii="Arial" w:cs="Arial" w:eastAsia="Arial" w:hAnsi="Arial"/>
          <w:sz w:val="16"/>
          <w:szCs w:val="16"/>
          <w:color w:val="auto"/>
        </w:rPr>
        <w:t>(C) Dividend Equivalent Stock Units shall be delivered to the Employee (1) in the case of any Termination of Employment due to Disability or the occurrence of the Retirement Eligibility Date, within 30 days following the later of (x) the date that the Employee is no longer required to perform any additional services in order to retain such Stock Units and (y) the date that the Committee determines the extent to which the Performance Conditions have been satisfied for the applicable measurement period, and (2) in the case of a Termination of Employment by the Company other than for Cause, as soon as practicable following the later of (x) the date that the release described in Section 1(e) below has become effective and irrevocable and (y) the date that the Committee determines the extent to which the Performance Conditions have been satisfied for the applicable measurement period (but in all cases, such settlement shall not be later than March 15 of the calendar year following the year in which such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3" w:name="page84"/>
    <w:bookmarkEnd w:id="83"/>
    <w:p>
      <w:pPr>
        <w:ind w:left="19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Units are no longer subject to a substantial risk of forfeiture within the meaning of Treasury Regulation Section 1.409A-1(d)) (the date that Shares are delivered to the Employee is an “Initial Delivery Date”). For the avoidance of doubt, there may be multiple Initial Delivery Dates for purposes of this Agreement (including as a result of achievement of Performance Conditions applicable to the Fiscal Year Stock Units and as a result of the Dividend Equivalent Stock Units). Immediately following the Initial Delivery Date with respect to any Stock Units, subject to approval of the Compliance Department of the Company or an Affiliate, the Employee will be permitted to dispose of the Applicable Percentage (as defined below) of the Shares (such Shares, the “Transferable Shares”) delivered to the Employee pursuant to this Section 1(d)(iii) immediately following the date that such Shares are delivered to the Employee. For purposes of this Agreement, the “Applicable Percentage” is the percentage of the Shares (if any) delivered to the Employee that the Company determines, in its sole discretion, is necessary to satisfy the Employee’s tax liability incurred with respect to such Shares on the date that such Shares are delivered to the Employee. All Shares delivered to the Employee on the Initial Delivery Date that are not Transferable Shares (such Shares, the “Remaining Shares”) will remain subject to the restrictions set forth in this Agreement (including Section 1(e)) until the date that such Remaining Shares otherwise would have been delivered to the Employee following the Final Service Date or such earlier date on which such Remaining Shares would have been delivered pursuant to this Agreement as a result of the Employee’s death or a Change in Control (such date, the “Final Delivery Date”). Accordingly, prior to the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relating to violation of the restrictive covenants set forth in Appendix B, which are incorporated herein by reference (the “Restrictive Covenants”) until the Final Delivery Date.</w:t>
      </w:r>
    </w:p>
    <w:p>
      <w:pPr>
        <w:spacing w:after="0" w:line="131" w:lineRule="exact"/>
        <w:rPr>
          <w:sz w:val="20"/>
          <w:szCs w:val="20"/>
          <w:color w:val="auto"/>
        </w:rPr>
      </w:pPr>
    </w:p>
    <w:p>
      <w:pPr>
        <w:ind w:left="-20" w:right="100" w:firstLine="464"/>
        <w:spacing w:after="0" w:line="290" w:lineRule="auto"/>
        <w:tabs>
          <w:tab w:leader="none" w:pos="6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in the event that the Employee incurs a Termination of Employment by the Company other than for Cause (regardless of whether the Retirement Eligibility Date precedes the date of such Termination of Employment) or due to a Retirement in accordance with Section 1(d)(ii), in each case, prior to a Change in Control, from and after the date of such Termination of Employment, in order for the Stock Units or the Remaining Shares, as applicable, to be treated as provided in Section 1(d), the Employee must sign a customary release of claims in favor of the Company and its Affiliates that is acceptable to the Company, and such release must become effective and irrevocable on or before the 65th day following the Employee’s Termination of Employment. In the event the Employee does not sign such release or revokes such release before it becomes irrevocable, the Employee shall forfeit all rights to any unvested Stock Units or Remaining Shares, as applicable.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84" w:name="page85"/>
    <w:bookmarkEnd w:id="8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Employee incurs a Termination of Employment pursuant to Section 1(d)(i) (other than as a result of death) or 1(d)(ii), and the Employee violates any of the provisions of the Restrictive Covenants prior to the Final Delivery Date, all outstanding vested or unvested Stock Units (including Fiscal Year Stock Units and Dividend Equivalent Stock Units) and, if applicable, all Remaining Shares, shall be forfeited and canceled. Notwithstanding that certain Restricted Covenants in Appendix B apply for only a limited period following a Termination of Employment, in the event that the Employee incurs a Termination of Employment due to a Retirement, the Employee will forfeit any outstanding Stock Units (including Fiscal Year Stock Units and Dividend Equivalent Stock Units) and, if applicable, any Remaining Shares, if the Employee does not comply with all of the Restrictive Covenants in Appendix B until the earlier of the Final Service Date or, as applicable, Final Delivery Date. For the avoidance of doubt, in no event shall a violation of the Restrictive Covenants in Appendix B serve as a basis for forfeiture of Stock Units (including Fiscal Year Stock Units and Dividend Equivalent Stock Units) and, if applicable, any Remaining Shares, from and after a Change in Control.</w:t>
      </w:r>
    </w:p>
    <w:p>
      <w:pPr>
        <w:spacing w:after="0" w:line="120" w:lineRule="exact"/>
        <w:rPr>
          <w:sz w:val="20"/>
          <w:szCs w:val="20"/>
          <w:color w:val="auto"/>
        </w:rPr>
      </w:pPr>
    </w:p>
    <w:p>
      <w:pPr>
        <w:ind w:right="60" w:firstLine="464"/>
        <w:spacing w:after="0" w:line="284" w:lineRule="auto"/>
        <w:tabs>
          <w:tab w:leader="none" w:pos="676" w:val="left"/>
        </w:tabs>
        <w:numPr>
          <w:ilvl w:val="1"/>
          <w:numId w:val="59"/>
        </w:numPr>
        <w:rPr>
          <w:rFonts w:ascii="Arial" w:cs="Arial" w:eastAsia="Arial" w:hAnsi="Arial"/>
          <w:sz w:val="16"/>
          <w:szCs w:val="16"/>
          <w:color w:val="auto"/>
        </w:rPr>
      </w:pPr>
      <w:r>
        <w:rPr>
          <w:rFonts w:ascii="Arial" w:cs="Arial" w:eastAsia="Arial" w:hAnsi="Arial"/>
          <w:sz w:val="16"/>
          <w:szCs w:val="16"/>
          <w:color w:val="auto"/>
        </w:rPr>
        <w:t>(i) Notwithstanding any provision of this Agreement to the contrary, in the event of a Change in Control that occurs prior to the end of the Performance Period (without regard to whether the Employee’s Retirement has occurred on or prior to the date of such Change in Control), the Performance Conditions shall no longer apply and, instead, shall be deemed to have been satisfied as of immediately prior to the Change in Control at the greater of (A) the target level and</w:t>
      </w:r>
    </w:p>
    <w:p>
      <w:pPr>
        <w:spacing w:after="0" w:line="1" w:lineRule="exact"/>
        <w:rPr>
          <w:rFonts w:ascii="Arial" w:cs="Arial" w:eastAsia="Arial" w:hAnsi="Arial"/>
          <w:sz w:val="16"/>
          <w:szCs w:val="16"/>
          <w:color w:val="auto"/>
        </w:rPr>
      </w:pPr>
    </w:p>
    <w:p>
      <w:pPr>
        <w:ind w:firstLine="8"/>
        <w:spacing w:after="0" w:line="255" w:lineRule="auto"/>
        <w:tabs>
          <w:tab w:leader="none" w:pos="2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actual performance level achieved during the period beginning at the start of the Performance Period and ending on the date of such Change in Control, as determined by the Committee prior to the Change in Control with any necessary exercise of discretion determined by the Committee prior to the Change in Control.</w:t>
      </w:r>
    </w:p>
    <w:p>
      <w:pPr>
        <w:spacing w:after="0" w:line="63" w:lineRule="exact"/>
        <w:rPr>
          <w:rFonts w:ascii="Arial" w:cs="Arial" w:eastAsia="Arial" w:hAnsi="Arial"/>
          <w:sz w:val="18"/>
          <w:szCs w:val="18"/>
          <w:color w:val="auto"/>
        </w:rPr>
      </w:pPr>
    </w:p>
    <w:p>
      <w:pPr>
        <w:ind w:left="1920" w:right="20" w:hanging="440"/>
        <w:spacing w:after="0" w:line="287" w:lineRule="auto"/>
        <w:tabs>
          <w:tab w:leader="none" w:pos="1920"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Section 1(f)(ii) and 1(f)(iii) below, following a Change in Control, the unvested Stock Units (and, if applicable, any Remaining Shares) shall remain outstanding through the Final Service Date or Final Delivery Date,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Employee incurs a Termination of Employment upon or following a Change in Control but prior to the Final Service Date under any of the circumstances described in Section 1(d)(i) or 1(d)(ii) above, the date of such Termination of Employment shall be deemed to be the Final Delivery Date, and all Shares issued in settlement of such Stock Units shall be Transferable Shares. Furthermore, in the event that the Employee incurs a Termination of Employment under any of the circumstances described in Section 1(d)(i) or 1(d)(ii) above prior to the Final Delivery Date and prior to a Change in Control, upon a Change in Control, the date of the Change in Control shall be deemed to be the Final Service Date for purposes of any Stock Units (and the Final Delivery Date for any Remaining Shares and, for purposes of Section 1(e), all Stock Units) then held by the Employee and any dividends held by an escrow agent with respect thereto, as set forth in Section 4 below.</w:t>
      </w:r>
    </w:p>
    <w:p>
      <w:pPr>
        <w:spacing w:after="0" w:line="41" w:lineRule="exact"/>
        <w:rPr>
          <w:rFonts w:ascii="Arial" w:cs="Arial" w:eastAsia="Arial" w:hAnsi="Arial"/>
          <w:sz w:val="16"/>
          <w:szCs w:val="16"/>
          <w:color w:val="auto"/>
        </w:rPr>
      </w:pPr>
    </w:p>
    <w:p>
      <w:pPr>
        <w:ind w:left="1920" w:right="140" w:hanging="440"/>
        <w:spacing w:after="0" w:line="268" w:lineRule="auto"/>
        <w:tabs>
          <w:tab w:leader="none" w:pos="19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Notwithstanding the foregoing, in the event of a Change in Control prior to the Final Service Date, unless (A) either (1) the unvested Stock Units and Remaining Shares remain outstanding following such Change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5" w:name="page86"/>
    <w:bookmarkEnd w:id="85"/>
    <w:p>
      <w:pPr>
        <w:jc w:val="both"/>
        <w:ind w:left="1940"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 or (2) provision is made in connection with the Change in Control for assumption of such Stock Units or substitution of such Stock Units and Remaining Shares for new awards covering equity interests in a successor entity, with appropriate adjustments to the number of Stock Units and Remaining Shares, as determined by the Committee prior to the Change in Control pursuant to</w:t>
      </w:r>
    </w:p>
    <w:p>
      <w:pPr>
        <w:spacing w:after="0" w:line="1" w:lineRule="exact"/>
        <w:rPr>
          <w:sz w:val="20"/>
          <w:szCs w:val="20"/>
          <w:color w:val="auto"/>
        </w:rPr>
      </w:pPr>
    </w:p>
    <w:p>
      <w:pPr>
        <w:ind w:left="1940" w:right="40"/>
        <w:spacing w:after="0" w:line="252" w:lineRule="auto"/>
        <w:rPr>
          <w:sz w:val="20"/>
          <w:szCs w:val="20"/>
          <w:color w:val="auto"/>
        </w:rPr>
      </w:pPr>
      <w:r>
        <w:rPr>
          <w:rFonts w:ascii="Arial" w:cs="Arial" w:eastAsia="Arial" w:hAnsi="Arial"/>
          <w:sz w:val="18"/>
          <w:szCs w:val="18"/>
          <w:color w:val="auto"/>
        </w:rPr>
        <w:t>Section 3(b)(ii) of the Plan, and (B) the material terms and conditions of such Stock Units and Remaining Shares as in effect immediately prior to the Change in Control are preserved following the Change in Control (including, without limitation, with respect to the vesting schedules, the intrinsic value of the Stock Units and Remaining Shares and transferability of the Shares or other securities underlying the Stock Units and Remaining Shares prior to and following the Change in Control), the date of the Change in Control shall be deemed to be the Final Service Date for purposes of such Stock Units (and the Final Delivery Date for purposes of any Remaining Shares then outstanding and, for purposes of Section 1(e), all Stock Units) and such Stock Units shall be settled within 30 days following such date.</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Settlement of Units, Restrictions on Remaining Shares.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soon as practicable (but in no event more than 30 days) after any Stock Unit has vested and is no longer subject to the applicable Service Condition and Performance Conditions, the Company shall, subject to Sections 1(d), 1(e) and 6, cause its applicable Affiliate to deliver to the Employee one or more unlegended, freely-transferable stock certificates or book-entry credits in respect of such Shares issued upon settlement of the vested Stock Units. Notwithstanding the foregoing, (a) the Company shall be entitled to hold the Shares or cash issuable upon settlement of Stock Units that have vested until the Company shall have received from the Employee a duly executed Form W-9 or W-8, as applicable, and (b)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37" w:lineRule="exact"/>
        <w:rPr>
          <w:sz w:val="20"/>
          <w:szCs w:val="20"/>
          <w:color w:val="auto"/>
        </w:rPr>
      </w:pPr>
    </w:p>
    <w:p>
      <w:pPr>
        <w:ind w:left="460" w:right="58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Final Delivery Date occurs (or is deemed to occur) with respect to the Remaining Shares, the legend set forth shall be removed from the certificates or book entry credits evidencing such Shares. Notwithstanding any provision of this Agreement to the contrary, Shares will be delivered to the Employee in settlement of any Stock Units for which all conditions have been satisfied (or deemed satisfied) no later than March 15 of the year following the year in which such Stock Units are no longer subject to a substantial risk of forfeiture within the meaning of Treasury Regulation Section 1.409A-1(d).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6" w:name="page87"/>
    <w:bookmarkEnd w:id="86"/>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Nontransferability of the Stock Units and Remaining Shares.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Until such time as the Stock Units are ultimately settled or the Remaining Shares are ultimately free from restriction, as applicable, as provided in Section 1(d), Section 1(f) or Section 2 above, the Stock Units and Remaining Shares shall not be transferable by the Employee by means of sale, assignment, exchange, encumbrance, pledge, hedge or otherwise.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Dividend Equivalents, Rights as a Shareholder.</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the Company declares and pays (or sets a record date with respect to) ordinary quarterly cash dividends on the Common Stock (a) during the Performance Period, the target number of Stock Units less any Transferable Shares and Remaining Shares (such Stock Units, the “Target Stock Units”) shall be credited with additional Stock Units (determined by dividing the aggregate dividend amount that would have been paid with respect to the Target Stock Units if they had been actual Shares by the Fair Market Value of a Share on the dividend payment date) (such additional Stock Units, the “Dividend Equivalent Stock Units”), which Dividend Equivalent Stock Units (and any additional Dividend Equivalent Stock Units that are granted while the Dividend Equivalent Stock Units are outstanding) shall be subject to the Service Condition and all other terms of this Agreement but shall not be subject to the Performance Conditions (</w:t>
      </w:r>
      <w:r>
        <w:rPr>
          <w:rFonts w:ascii="Arial" w:cs="Arial" w:eastAsia="Arial" w:hAnsi="Arial"/>
          <w:sz w:val="16"/>
          <w:szCs w:val="16"/>
          <w:u w:val="single" w:color="auto"/>
          <w:color w:val="auto"/>
        </w:rPr>
        <w:t>i.e.</w:t>
      </w:r>
      <w:r>
        <w:rPr>
          <w:rFonts w:ascii="Arial" w:cs="Arial" w:eastAsia="Arial" w:hAnsi="Arial"/>
          <w:sz w:val="16"/>
          <w:szCs w:val="16"/>
          <w:color w:val="auto"/>
        </w:rPr>
        <w:t>, the Dividend Equivalent Stock Units shall be treated as Stock Units for which the Performance Conditions have already been satisfied), or (b) after the Performance Period but while any Stock Units remain outstanding, any then outstanding Stock Units shall be credited with additional Stock Units (determined by dividing the aggregate dividend amount that would have been paid with respect to the Stock Units if they had been actual Shares by the Fair Market Value of a Share on the dividend payment date), which additional Stock Units shall vest and be settled concurrently with the underlying Stock Units and be treated as Stock Units for all purposes of this Agreement. For the avoidance of doubt, the provisions of the immediately preceding sentence shall not apply to any extraordinary dividends or distributions, which are addressed in Section 3(b)(i) of the Plan.</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the foregoing, subject to Section 1(d) and Section 2 and any other applicable law or agreement, from and after the Initial Delivery Date, the Employee will have all rights and privileges of a shareholder with respect to the Shares delivered on such Initial Delivery Date, including the right to vote the Shares and to receive dividends and other distributions with respect thereto, provided that, any dividends that are paid on the Remaining Shares prior to the Final Delivery Date (whether payable in cash or Shares) will be held until the Final Delivery Date by an escrow agent that is designated by the Company, and in the event that the Remaining Shares are forfeited in accordance with Section 1(e), such dividends will also be forfeited. For the avoidance of doubt, the determination of applicable dividends, and the calculation of amounts equivalent thereto, provided for in this Section 4 shall be made consistent with the Company’s past practice with respect to similar Awards.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7" w:name="page88"/>
    <w:bookmarkEnd w:id="87"/>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Payment of Transfer Taxes, Fees and Other Expenses.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215" w:lineRule="exact"/>
        <w:rPr>
          <w:sz w:val="20"/>
          <w:szCs w:val="20"/>
          <w:color w:val="auto"/>
        </w:rPr>
      </w:pPr>
    </w:p>
    <w:p>
      <w:pPr>
        <w:ind w:left="420" w:hanging="184"/>
        <w:spacing w:after="0"/>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 Disgorgement of Tax Benefits.</w:t>
      </w:r>
    </w:p>
    <w:p>
      <w:pPr>
        <w:spacing w:after="0" w:line="96" w:lineRule="exact"/>
        <w:rPr>
          <w:rFonts w:ascii="Arial" w:cs="Arial" w:eastAsia="Arial" w:hAnsi="Arial"/>
          <w:sz w:val="18"/>
          <w:szCs w:val="18"/>
          <w:b w:val="1"/>
          <w:bCs w:val="1"/>
          <w:color w:val="auto"/>
        </w:rPr>
      </w:pPr>
    </w:p>
    <w:p>
      <w:pPr>
        <w:ind w:right="20" w:firstLine="464"/>
        <w:spacing w:after="0" w:line="285" w:lineRule="auto"/>
        <w:tabs>
          <w:tab w:leader="none" w:pos="695"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Shares underlying the Employee’s Stock Units on the date that such Shares are issued to the Employee in accordance with this Agreement. The obligations of the Company under this Agreement shall be conditioned on compliance by the Employee with this Section 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or an Affiliate may, in the Company’s sole discretion and subject to such other terms and conditions as the Company may determine, if the Employee is not subject to withholding as a matter of applicable law as of the date that the Shares are delivered to the Employee (including if the Employee is a member of the Company who reports income from the Company and its Affiliates on Schedule K-1 to the Company’s Federal income tax return) and pursuant to the prior written approval of the Company, permit the Employee to surrender some or all of the Transferable Shares to the Company or an Affiliate and have the Company or such Affiliate remit the relevant taxes on the Employee’s behalf to the appropriate taxing authorities. Prior to an Initial Delivery Date, the Company will notify the Employee of (i) how many Shares will be delivered to the Employee on such Initial Delivery Date and (ii) the portion, if any, of the Transferable Shares that the Company or an Affiliate will retain pursuant to the immediately preceding sentence.</w:t>
      </w:r>
    </w:p>
    <w:p>
      <w:pPr>
        <w:spacing w:after="0" w:line="126" w:lineRule="exact"/>
        <w:rPr>
          <w:rFonts w:ascii="Arial" w:cs="Arial" w:eastAsia="Arial" w:hAnsi="Arial"/>
          <w:sz w:val="16"/>
          <w:szCs w:val="16"/>
          <w:color w:val="auto"/>
        </w:rPr>
      </w:pPr>
    </w:p>
    <w:p>
      <w:pPr>
        <w:ind w:firstLine="464"/>
        <w:spacing w:after="0" w:line="291" w:lineRule="auto"/>
        <w:tabs>
          <w:tab w:leader="none" w:pos="705"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the event that the Employee incurs a Termination of Employment due to a Retirement and, after such Retirement, the Employee forfeits the Remaining Shares and the dividends held in escrow in accordance with Section 4 of this Agreement, the Employee shall disgorge to the Company any tax benefit the Employee realizes from the forfeiture of any such Remaining Shares or dividends, if, as and when actually realized by the Employee. The Employee agrees to use commercially reasonable efforts to claim any tax benefit from such forfeiture that the Company reasonably determines is available to the Employee on all relevant tax returns filed after having received notice from the Company. Notwithstanding the foregoing, this Section 6(b) shall not apply from and after a Change in Control or a Termination of Employment pursuant to Section 1(d)(i).</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8" w:name="page89"/>
    <w:bookmarkEnd w:id="88"/>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 Effect of Agreement.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 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219" w:lineRule="exact"/>
        <w:rPr>
          <w:sz w:val="20"/>
          <w:szCs w:val="20"/>
          <w:color w:val="auto"/>
        </w:rPr>
      </w:pPr>
    </w:p>
    <w:p>
      <w:pPr>
        <w:ind w:left="420" w:hanging="184"/>
        <w:spacing w:after="0"/>
        <w:tabs>
          <w:tab w:leader="none" w:pos="4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40" w:firstLine="464"/>
        <w:spacing w:after="0" w:line="298" w:lineRule="auto"/>
        <w:tabs>
          <w:tab w:leader="none" w:pos="6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that could cause the application of the law of any jurisdiction other than the State of New York. In addition to the terms and conditions set forth in this Agreement and the Restrictive Covenants, the Stock Units are subject to the terms and conditions of the Plan, which is hereby incorporated by reference. By accepting the Stock Units, the Employee agrees to and is bound by the Plan and the Restrictive Covenants.</w:t>
      </w:r>
    </w:p>
    <w:p>
      <w:pPr>
        <w:spacing w:after="0" w:line="112" w:lineRule="exact"/>
        <w:rPr>
          <w:rFonts w:ascii="Arial" w:cs="Arial" w:eastAsia="Arial" w:hAnsi="Arial"/>
          <w:sz w:val="16"/>
          <w:szCs w:val="16"/>
          <w:color w:val="auto"/>
        </w:rPr>
      </w:pPr>
    </w:p>
    <w:p>
      <w:pPr>
        <w:ind w:right="80" w:firstLine="464"/>
        <w:spacing w:after="0" w:line="256" w:lineRule="auto"/>
        <w:tabs>
          <w:tab w:leader="none" w:pos="7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Subject to the provisions of Section 8(c), 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right="20" w:firstLine="464"/>
        <w:spacing w:after="0" w:line="289" w:lineRule="auto"/>
        <w:tabs>
          <w:tab w:leader="none" w:pos="6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Notwithstanding the provisions of Section 8(b),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8(c), the Employee (i) expressly consents to the application of Section 8(d)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18" w:lineRule="exact"/>
        <w:rPr>
          <w:rFonts w:ascii="Arial" w:cs="Arial" w:eastAsia="Arial" w:hAnsi="Arial"/>
          <w:sz w:val="16"/>
          <w:szCs w:val="16"/>
          <w:color w:val="auto"/>
        </w:rPr>
      </w:pPr>
    </w:p>
    <w:p>
      <w:pPr>
        <w:jc w:val="both"/>
        <w:ind w:right="260" w:firstLine="464"/>
        <w:spacing w:after="0" w:line="259" w:lineRule="auto"/>
        <w:tabs>
          <w:tab w:leader="none" w:pos="7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Employee and the Company hereby irrevocably submit to the exclusive jurisdiction of any state or federal court located in the City of New York over any suit, action, or proceeding arising out of, relating to or in connection with this Agreement or the Plan that is not otherwise required to be arbitrated or resolved in accordance with the provisions of Section 8(b).</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89" w:name="page90"/>
    <w:bookmarkEnd w:id="8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includes any suit, action or proceeding to compel arbitration or to enforce an arbitration award. The Employee and the Company acknowledge that the forum designated by this Section 8(d)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8(d). The Employee and the Company undertake not to commence any action arising out of, or relating to or in connection with this Agreement in any forum other than a forum described in this Section 8(d),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 Conflicts and Interpretation.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 Amendment.</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Stock Units shall require an instrument in writing to be signed (either in paper format or electronically) by both parties hereto, except such a modification, amendment or waiver made to cause the Plan or the Stock Units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Section 409A of the Code.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 is intended that the Stock Units shall be exempt from Section 409A of the Code pursuant to the “short-term deferral” rule applicable to such section, as set forth in the regulations or other guidance published by the Internal Revenue Service thereunder.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90" w:name="page91"/>
    <w:bookmarkEnd w:id="90"/>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Electronic Delivery.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lieu of receiving documents in paper format, the Employee hereby agrees, to the fullest extent permitted by law, to accept electronic delivery of any documents that the Company or any Affiliate may be required to deliver (including, but not limited to, prospectuses, prospectus supplements, grant or Award notifications and agreements, account statements, annual and quarterly reports, and all other forms of communications) in connection with the Stock Units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Employee has access.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Compensation Recovery Policy.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Employee acknowledges and agrees that the Employee and the Stock Units are subject to the Company’s Compensation Recovery Policy Applicable to Named Executive Officers, as in effect as of the date hereof (a copy of which has been provided to the Employee).</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Headings.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91" w:name="page92"/>
    <w:bookmarkEnd w:id="91"/>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 applicable Affiliate by a duly authorized officer and the Employee has hereunto set the Employee’s hand.</w:t>
      </w:r>
    </w:p>
    <w:p>
      <w:pPr>
        <w:spacing w:after="0" w:line="13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LAZARD LTD,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148590</wp:posOffset>
            </wp:positionV>
            <wp:extent cx="2718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418465</wp:posOffset>
            </wp:positionV>
            <wp:extent cx="2718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240" w:top="280" w:right="6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Criteria and Calculation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80" w:right="144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Employee acknowledges that the grant of the performance-based Stock Units pursuant to the Performance-Based Stock Unit Agreement (such Stock Units, the “Stock Units” and such Performance-Based Stock Unit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Stock Units will be forfeited upon a violation by the Employee of the Restrictive Covenants, and that, pursuant to the Agreement, the Firm may seek injunctive relief in order to enforce the Restrictive Covenants:</w:t>
      </w:r>
    </w:p>
    <w:p>
      <w:pPr>
        <w:spacing w:after="0" w:line="145" w:lineRule="exact"/>
        <w:rPr>
          <w:sz w:val="20"/>
          <w:szCs w:val="20"/>
          <w:color w:val="auto"/>
        </w:rPr>
      </w:pPr>
    </w:p>
    <w:p>
      <w:pPr>
        <w:ind w:firstLine="464"/>
        <w:spacing w:after="0" w:line="286"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rFonts w:ascii="Arial" w:cs="Arial" w:eastAsia="Arial" w:hAnsi="Arial"/>
          <w:sz w:val="16"/>
          <w:szCs w:val="16"/>
          <w:color w:val="auto"/>
        </w:rPr>
      </w:pPr>
    </w:p>
    <w:p>
      <w:pPr>
        <w:ind w:right="100" w:firstLine="464"/>
        <w:spacing w:after="0" w:line="291"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80" w:right="239" w:bottom="1440" w:gutter="0" w:footer="0" w:header="0"/>
        </w:sectPr>
      </w:pPr>
    </w:p>
    <w:bookmarkStart w:id="94" w:name="page95"/>
    <w:bookmarkEnd w:id="9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B, “Competitive Enterprise” shall mean a business (or business unit) that</w:t>
      </w:r>
    </w:p>
    <w:p>
      <w:pPr>
        <w:ind w:right="100" w:firstLine="8"/>
        <w:spacing w:after="0" w:line="287"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B,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4" w:lineRule="exact"/>
        <w:rPr>
          <w:rFonts w:ascii="Arial" w:cs="Arial" w:eastAsia="Arial" w:hAnsi="Arial"/>
          <w:sz w:val="16"/>
          <w:szCs w:val="16"/>
          <w:color w:val="auto"/>
        </w:rPr>
      </w:pPr>
    </w:p>
    <w:p>
      <w:pPr>
        <w:ind w:right="60" w:firstLine="464"/>
        <w:spacing w:after="0" w:line="286" w:lineRule="auto"/>
        <w:tabs>
          <w:tab w:leader="none" w:pos="69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B,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95" w:name="page96"/>
    <w:bookmarkEnd w:id="95"/>
    <w:p>
      <w:pPr>
        <w:ind w:left="-20" w:right="20" w:firstLine="464"/>
        <w:spacing w:after="0" w:line="290" w:lineRule="auto"/>
        <w:tabs>
          <w:tab w:leader="none" w:pos="68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8" w:lineRule="exact"/>
        <w:rPr>
          <w:rFonts w:ascii="Arial" w:cs="Arial" w:eastAsia="Arial" w:hAnsi="Arial"/>
          <w:sz w:val="16"/>
          <w:szCs w:val="16"/>
          <w:color w:val="auto"/>
        </w:rPr>
      </w:pPr>
    </w:p>
    <w:p>
      <w:pPr>
        <w:ind w:left="-20" w:right="60" w:firstLine="464"/>
        <w:spacing w:after="0" w:line="291" w:lineRule="auto"/>
        <w:tabs>
          <w:tab w:leader="none" w:pos="67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ind w:left="-20" w:right="20" w:firstLine="464"/>
        <w:spacing w:after="0" w:line="294" w:lineRule="auto"/>
        <w:tabs>
          <w:tab w:leader="none" w:pos="65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15" w:lineRule="exact"/>
        <w:rPr>
          <w:rFonts w:ascii="Arial" w:cs="Arial" w:eastAsia="Arial" w:hAnsi="Arial"/>
          <w:sz w:val="16"/>
          <w:szCs w:val="16"/>
          <w:color w:val="auto"/>
        </w:rPr>
      </w:pPr>
    </w:p>
    <w:p>
      <w:pPr>
        <w:ind w:left="-20" w:firstLine="464"/>
        <w:spacing w:after="0" w:line="289" w:lineRule="auto"/>
        <w:tabs>
          <w:tab w:leader="none" w:pos="68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Restrictive Covenants Generally</w:t>
      </w:r>
      <w:r>
        <w:rPr>
          <w:rFonts w:ascii="Arial" w:cs="Arial" w:eastAsia="Arial" w:hAnsi="Arial"/>
          <w:sz w:val="16"/>
          <w:szCs w:val="16"/>
          <w:color w:val="auto"/>
        </w:rPr>
        <w:t>.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provided, however,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B, with a copy of such notice delivered no later than the date of the Employee’s commencement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60" w:top="280" w:right="239" w:bottom="1440" w:gutter="0" w:footer="0" w:header="0"/>
        </w:sectPr>
      </w:pPr>
    </w:p>
    <w:bookmarkStart w:id="96" w:name="page97"/>
    <w:bookmarkEnd w:id="9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Stock Units.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8" w:lineRule="exact"/>
        <w:rPr>
          <w:sz w:val="20"/>
          <w:szCs w:val="20"/>
          <w:color w:val="auto"/>
        </w:rPr>
      </w:pPr>
    </w:p>
    <w:p>
      <w:pPr>
        <w:ind w:right="60" w:firstLine="464"/>
        <w:spacing w:after="0" w:line="255"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Other Restrictive Covenants</w:t>
      </w:r>
      <w:r>
        <w:rPr>
          <w:rFonts w:ascii="Arial" w:cs="Arial" w:eastAsia="Arial" w:hAnsi="Arial"/>
          <w:sz w:val="18"/>
          <w:szCs w:val="18"/>
          <w:color w:val="auto"/>
        </w:rPr>
        <w:t>. The Employee acknowledges that, in the event that the Employee is subject to an employment contract, the Restrictive Covenants set forth in this Appendix B constitute a supplement to such employment contract and will be entirely governed by the distinct and specific provisions of this Appendix B. The Employee acknowledges that the Restrictive Covenants set forth in this Appendix B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10.55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STOCK UNIT AGREEMENT</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AGREEMENT, dated as of February 20, 2014, between Lazard Ltd, a Bermuda exempted company (the “Company”), on behalf of its applicable Affiliate (as defined under the definitional rules of Section 1(a) below), and Kenneth M. Jacobs (the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 follows:</w:t>
      </w:r>
    </w:p>
    <w:p>
      <w:pPr>
        <w:spacing w:after="0" w:line="269" w:lineRule="exact"/>
        <w:rPr>
          <w:sz w:val="20"/>
          <w:szCs w:val="20"/>
          <w:color w:val="auto"/>
        </w:rPr>
      </w:pPr>
    </w:p>
    <w:p>
      <w:pPr>
        <w:ind w:left="400" w:hanging="172"/>
        <w:spacing w:after="0"/>
        <w:tabs>
          <w:tab w:leader="none" w:pos="4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Performance-Based Stock Units.</w:t>
      </w:r>
    </w:p>
    <w:p>
      <w:pPr>
        <w:spacing w:after="0" w:line="96" w:lineRule="exact"/>
        <w:rPr>
          <w:rFonts w:ascii="Arial" w:cs="Arial" w:eastAsia="Arial" w:hAnsi="Arial"/>
          <w:sz w:val="18"/>
          <w:szCs w:val="18"/>
          <w:b w:val="1"/>
          <w:bCs w:val="1"/>
          <w:color w:val="auto"/>
        </w:rPr>
      </w:pPr>
    </w:p>
    <w:p>
      <w:pPr>
        <w:ind w:right="160" w:firstLine="464"/>
        <w:spacing w:after="0" w:line="291" w:lineRule="auto"/>
        <w:tabs>
          <w:tab w:leader="none" w:pos="695" w:val="left"/>
        </w:tabs>
        <w:numPr>
          <w:ilvl w:val="1"/>
          <w:numId w:val="67"/>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hereby grants to the Employee, as of the date set forth above (the “Grant Date”), the target number of performance-based Stock Units (“Stock Units”) specified in Appendix A, each with respect to one Share. Subject to the terms and conditions set forth in this Agreement, the Employee will actually earn (or be deemed to earn) a number of Stock Units that is between 0% and 200% of the target number of Stock Units subject to this Agreement, such number of earned Stock Units to be determined based on achievement of the performance goals set forth on Appendix A (the “Performance Conditions”).</w:t>
      </w:r>
    </w:p>
    <w:p>
      <w:pPr>
        <w:spacing w:after="0" w:line="120" w:lineRule="exact"/>
        <w:rPr>
          <w:rFonts w:ascii="Arial" w:cs="Arial" w:eastAsia="Arial" w:hAnsi="Arial"/>
          <w:sz w:val="16"/>
          <w:szCs w:val="16"/>
          <w:color w:val="auto"/>
        </w:rPr>
      </w:pPr>
    </w:p>
    <w:p>
      <w:pPr>
        <w:ind w:right="500" w:firstLine="464"/>
        <w:spacing w:after="0" w:line="268" w:lineRule="auto"/>
        <w:tabs>
          <w:tab w:leader="none" w:pos="705"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to the provisions of the Plan, the Stock Units shall vest and no longer be subject to any restriction if each of the following two conditions has been satisfied:</w:t>
      </w:r>
    </w:p>
    <w:p>
      <w:pPr>
        <w:spacing w:after="0" w:line="50" w:lineRule="exact"/>
        <w:rPr>
          <w:rFonts w:ascii="Arial" w:cs="Arial" w:eastAsia="Arial" w:hAnsi="Arial"/>
          <w:sz w:val="18"/>
          <w:szCs w:val="18"/>
          <w:color w:val="auto"/>
        </w:rPr>
      </w:pPr>
    </w:p>
    <w:p>
      <w:pPr>
        <w:ind w:left="1920" w:right="20" w:hanging="440"/>
        <w:spacing w:after="0" w:line="268" w:lineRule="auto"/>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Employee has remained continuously employed by the Company or any of its Affiliates until March 1, 2017 (such date, the “Final Service Date”, and such condition, the “Service Condition”); and</w:t>
      </w:r>
    </w:p>
    <w:p>
      <w:pPr>
        <w:spacing w:after="0" w:line="50" w:lineRule="exact"/>
        <w:rPr>
          <w:rFonts w:ascii="Arial" w:cs="Arial" w:eastAsia="Arial" w:hAnsi="Arial"/>
          <w:sz w:val="18"/>
          <w:szCs w:val="18"/>
          <w:color w:val="auto"/>
        </w:rPr>
      </w:pPr>
    </w:p>
    <w:p>
      <w:pPr>
        <w:ind w:left="1920" w:right="140" w:hanging="440"/>
        <w:spacing w:after="0" w:line="289" w:lineRule="auto"/>
        <w:tabs>
          <w:tab w:leader="none" w:pos="1920" w:val="left"/>
        </w:tabs>
        <w:numPr>
          <w:ilvl w:val="2"/>
          <w:numId w:val="67"/>
        </w:numPr>
        <w:rPr>
          <w:rFonts w:ascii="Arial" w:cs="Arial" w:eastAsia="Arial" w:hAnsi="Arial"/>
          <w:sz w:val="16"/>
          <w:szCs w:val="16"/>
          <w:color w:val="auto"/>
        </w:rPr>
      </w:pPr>
      <w:r>
        <w:rPr>
          <w:rFonts w:ascii="Arial" w:cs="Arial" w:eastAsia="Arial" w:hAnsi="Arial"/>
          <w:sz w:val="16"/>
          <w:szCs w:val="16"/>
          <w:color w:val="auto"/>
        </w:rPr>
        <w:t xml:space="preserve">The Committee concludes that during the period beginning on January 1, 2014 and ending on December 31, 2016 (the “Performance Period”), the Company has achieved the Performance Conditions and specifies the level at which the Stock Units shall vest, based on the scoring, adjustment and weighting provisions set forth in Appendix 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in its sole discretion, may interpret the goals and scoring set forth in Appendix A as it deems necessary or appropriate (including, without limitation, to the extent necessary to address extraordinary events or circumstances). The ultimate score achieved based on Appendix A (which may range from 0.0 to 2.0) will be multiplied by the total target number of Stock Units in order to determine the number of Stock Units that may vest upon satisfaction of the Service Condition. Furthermore, the Committee shall determine, following the end of each fiscal year during</w:t>
      </w:r>
    </w:p>
    <w:p>
      <w:pPr>
        <w:sectPr>
          <w:pgSz w:w="11900" w:h="16838" w:orient="portrait"/>
          <w:cols w:equalWidth="0" w:num="1">
            <w:col w:w="11420"/>
          </w:cols>
          <w:pgMar w:left="240" w:top="125" w:right="239" w:bottom="1440" w:gutter="0" w:footer="0" w:header="0"/>
        </w:sectPr>
      </w:pPr>
    </w:p>
    <w:bookmarkStart w:id="98" w:name="page99"/>
    <w:bookmarkEnd w:id="98"/>
    <w:p>
      <w:pPr>
        <w:ind w:left="193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Period and in accordance with the methodology described in the first sentence of this Section 1(b)(ii), the extent to which the Company has achieved the Performance Conditions with respect to such fiscal year and, in the event that the Performance Conditions in that year have been achieved at the target level (</w:t>
      </w:r>
      <w:r>
        <w:rPr>
          <w:rFonts w:ascii="Arial" w:cs="Arial" w:eastAsia="Arial" w:hAnsi="Arial"/>
          <w:sz w:val="16"/>
          <w:szCs w:val="16"/>
          <w:u w:val="single" w:color="auto"/>
          <w:color w:val="auto"/>
        </w:rPr>
        <w:t>i.e.</w:t>
      </w:r>
      <w:r>
        <w:rPr>
          <w:rFonts w:ascii="Arial" w:cs="Arial" w:eastAsia="Arial" w:hAnsi="Arial"/>
          <w:sz w:val="16"/>
          <w:szCs w:val="16"/>
          <w:color w:val="auto"/>
        </w:rPr>
        <w:t>, the 1.0x level) or above, then the Performance Conditions will be deemed satisfied with respect to twenty-five percent (25%) of the total target number of Stock Units (any such Stock Units that are earned in accordance with this sentence, the “Fiscal Year Stock Units”). Any Fiscal Year Stock Units will vest upon satisfaction (or deemed satisfaction) of the Service Condition in accordance with Section 1(b)(i) above or Section 1(d) or 1(f) below and will be settled at the time set forth in Section 1(d)(iii) below. In the event that the Committee makes any conclusion regarding achievement of the Performance Conditions for the full Performance Period (or, in the case of Section 1(d)(i) or 1(f)(i), for a portion thereof), any Fiscal Year Stock Units will be applied to reduce the number of Stock Units that would otherwise be earned in accordance with this Agreement.</w:t>
      </w:r>
    </w:p>
    <w:p>
      <w:pPr>
        <w:spacing w:after="0" w:line="123" w:lineRule="exact"/>
        <w:rPr>
          <w:sz w:val="20"/>
          <w:szCs w:val="20"/>
          <w:color w:val="auto"/>
        </w:rPr>
      </w:pPr>
    </w:p>
    <w:p>
      <w:pPr>
        <w:ind w:left="-8" w:firstLine="464"/>
        <w:spacing w:after="0" w:line="253" w:lineRule="auto"/>
        <w:tabs>
          <w:tab w:leader="none" w:pos="6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Except as set forth in Section 1(f) below, in the event that the Employee incurs a Termination of Employment prior to the Final Service Date for any reason not set forth in Section 1(d), all unvested Stock Units (and any Remaining Shares (as defined in Section 1(d)(iii) below)) shall be forfeited by the Employee effective immediately upon such Termination of Employment. For purposes of this Section 1(c), the Employee will be deemed to have incurred a Termination of Employment on the date that the Employee provides notice of termination to the Company, and accordingly, all unvested Stock Units (and any Remaining Shares) shall be forfeited by the Employee immediately upon delivery of any such notice. In addition, all unvested Stock Units (excluding any Fiscal Year Stock Units or Dividend Equivalent Stock Units (as defined in Section 4 below)) shall be forfeited by the Employee to the extent that, following the last day of the Performance Period (or such earlier date as specified in Section 1(d) or 1(f)), the Performance Conditions with respect to such Stock Units have not been satisfied.</w:t>
      </w:r>
    </w:p>
    <w:p>
      <w:pPr>
        <w:spacing w:after="0" w:line="145" w:lineRule="exact"/>
        <w:rPr>
          <w:rFonts w:ascii="Arial" w:cs="Arial" w:eastAsia="Arial" w:hAnsi="Arial"/>
          <w:sz w:val="18"/>
          <w:szCs w:val="18"/>
          <w:color w:val="auto"/>
        </w:rPr>
      </w:pPr>
    </w:p>
    <w:p>
      <w:pPr>
        <w:ind w:left="712" w:hanging="256"/>
        <w:spacing w:after="0"/>
        <w:tabs>
          <w:tab w:leader="none" w:pos="712" w:val="left"/>
        </w:tabs>
        <w:numPr>
          <w:ilvl w:val="1"/>
          <w:numId w:val="68"/>
        </w:numPr>
        <w:rPr>
          <w:rFonts w:ascii="Arial" w:cs="Arial" w:eastAsia="Arial" w:hAnsi="Arial"/>
          <w:sz w:val="16"/>
          <w:szCs w:val="16"/>
          <w:color w:val="auto"/>
        </w:rPr>
      </w:pPr>
      <w:r>
        <w:rPr>
          <w:rFonts w:ascii="Arial" w:cs="Arial" w:eastAsia="Arial" w:hAnsi="Arial"/>
          <w:sz w:val="16"/>
          <w:szCs w:val="16"/>
          <w:color w:val="auto"/>
        </w:rPr>
        <w:t>(i) Except as set forth in Section 1(f) below, in the event that the Employee incurs a Termination of Employment prior to the Final Service Date due to</w:t>
      </w:r>
    </w:p>
    <w:p>
      <w:pPr>
        <w:spacing w:after="0" w:line="38" w:lineRule="exact"/>
        <w:rPr>
          <w:rFonts w:ascii="Arial" w:cs="Arial" w:eastAsia="Arial" w:hAnsi="Arial"/>
          <w:sz w:val="16"/>
          <w:szCs w:val="16"/>
          <w:color w:val="auto"/>
        </w:rPr>
      </w:pPr>
    </w:p>
    <w:p>
      <w:pPr>
        <w:ind w:left="-8" w:right="80" w:firstLine="8"/>
        <w:spacing w:after="0" w:line="287" w:lineRule="auto"/>
        <w:tabs>
          <w:tab w:leader="none" w:pos="2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Employee’s Disability, (B) the Employee’s death or (C) a Termination of Employment by the Company other than for Cause, subject to Section 1(e) below, the Stock Units (and any Remaining Shares) held by the Employee on the Date of Termination shall no longer be subject to the Performance Conditions and the Service Condition, and any Stock Units shall be settled as set forth in Section 1(d)(iii) or Section 2 below but such Stock Units and Remaining Shares shall remain subject to forfeiture pursuant to Section 1(e) through the Final Service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Termination of Employment due to the Employee’s death as described in clause (B) of this Section 1(d)(i) or in the case of the Employee’s death subsequent to a Termination of Employment described in this Section 1(d)(i), the Stock Units (and any Remaining Shares) will immediately vest upon the date of death and the Stock Units shall be settled through delivery of fully transferable Shares as soon as practicable following such date (or, if applicable, in the event the Employee’s death occurs more than halfway through a fiscal quarter, as soon as practicable following the date that the Committee determines the extent to which the Performance Conditions have been satisfied for the applicable measurement period). The Stock Units</w:t>
      </w:r>
    </w:p>
    <w:p>
      <w:pPr>
        <w:spacing w:after="0" w:line="10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52"/>
          </w:cols>
          <w:pgMar w:left="248" w:top="280" w:right="299" w:bottom="1440" w:gutter="0" w:footer="0" w:header="0"/>
        </w:sectPr>
      </w:pPr>
    </w:p>
    <w:bookmarkStart w:id="99" w:name="page100"/>
    <w:bookmarkEnd w:id="9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(excluding Fiscal Year Stock Units and Dividend Equivalent Stock Units) shall vest based on (1) the actual performance level during the period beginning on the first day of the Performance Period and ending on the last day of the most recent fiscal quarter preceding the Date of Termination (or, if the Date of Termination occurs more than halfway through a fiscal quarter, the last day of such current fiscal quarter), as determined by the Committee, and (2) deemed performance at the target level for the period beginning on the first day of the following fiscal quarter through the last day of the Performance Period.</w:t>
      </w:r>
    </w:p>
    <w:p>
      <w:pPr>
        <w:spacing w:after="0" w:line="32" w:lineRule="exact"/>
        <w:rPr>
          <w:sz w:val="20"/>
          <w:szCs w:val="20"/>
          <w:color w:val="auto"/>
        </w:rPr>
      </w:pPr>
    </w:p>
    <w:p>
      <w:pPr>
        <w:ind w:left="1920" w:hanging="440"/>
        <w:spacing w:after="0" w:line="287" w:lineRule="auto"/>
        <w:tabs>
          <w:tab w:leader="none" w:pos="1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Except as set forth in Section 1(f) below, in the event that the Employee incurs a Termination of Employment prior to the Final Service Date due to the Employee’s Retirement (as defined below), all Stock Units held by the Employee on the Date of Termination (and any Remaining Shares) shall no longer be subject to the Service Condition and, following satisfaction of the Performance Conditions and subject to Section 1(e), shall be settled as set forth in Section 1(d)(iii) below (unless already settled pursuant to such section prior to Termination of Employment) but shall remain subject to forfeiture pursuant to Section 1(e) through the Final Service Date (subject to any acceleration of vesting as otherwise set forth in this Agreement). Such Stock Units (excluding Fiscal Year Stock Units and Dividend Equivalent Stock Units) shall vest at the level determined by the Committee following the last day of the Performance Period, based on actual performance during the Performance Period. For purposes of this Agreement, the terms “Retirement” and “Retirement Eligibility Date” shall have the meanings set forth in Section 1(g) of this Agreement or any earlier date on or following September 12, 2014 if the Employee’s spouse dies or becomes disabled.</w:t>
      </w:r>
    </w:p>
    <w:p>
      <w:pPr>
        <w:spacing w:after="0" w:line="41" w:lineRule="exact"/>
        <w:rPr>
          <w:rFonts w:ascii="Arial" w:cs="Arial" w:eastAsia="Arial" w:hAnsi="Arial"/>
          <w:sz w:val="16"/>
          <w:szCs w:val="16"/>
          <w:color w:val="auto"/>
        </w:rPr>
      </w:pPr>
    </w:p>
    <w:p>
      <w:pPr>
        <w:ind w:left="1920" w:right="180" w:hanging="440"/>
        <w:spacing w:after="0" w:line="284" w:lineRule="auto"/>
        <w:tabs>
          <w:tab w:leader="none" w:pos="1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Subject to the final sentence of Section 2 below and except for any such earlier dates as provided below in the case of Fiscal Year Stock Units and Dividend Equivalent Stock Units, all Shares underlying the Stock Units for which the Performance Conditions have been satisfied (or are deemed to be satisfied in accordance with Section 1(d)(i) or Section 1(f)(i)) shall be delivered to the Employee</w:t>
      </w:r>
    </w:p>
    <w:p>
      <w:pPr>
        <w:spacing w:after="0" w:line="1" w:lineRule="exact"/>
        <w:rPr>
          <w:rFonts w:ascii="Arial" w:cs="Arial" w:eastAsia="Arial" w:hAnsi="Arial"/>
          <w:sz w:val="16"/>
          <w:szCs w:val="16"/>
          <w:color w:val="auto"/>
        </w:rPr>
      </w:pPr>
    </w:p>
    <w:p>
      <w:pPr>
        <w:jc w:val="both"/>
        <w:ind w:left="1920" w:right="340" w:firstLine="6"/>
        <w:spacing w:after="0" w:line="300" w:lineRule="auto"/>
        <w:tabs>
          <w:tab w:leader="none" w:pos="2208" w:val="left"/>
        </w:tabs>
        <w:numPr>
          <w:ilvl w:val="1"/>
          <w:numId w:val="70"/>
        </w:numPr>
        <w:rPr>
          <w:rFonts w:ascii="Arial" w:cs="Arial" w:eastAsia="Arial" w:hAnsi="Arial"/>
          <w:sz w:val="15"/>
          <w:szCs w:val="15"/>
          <w:color w:val="auto"/>
        </w:rPr>
      </w:pPr>
      <w:r>
        <w:rPr>
          <w:rFonts w:ascii="Arial" w:cs="Arial" w:eastAsia="Arial" w:hAnsi="Arial"/>
          <w:sz w:val="15"/>
          <w:szCs w:val="15"/>
          <w:color w:val="auto"/>
        </w:rPr>
        <w:t>in the case of any Termination of Employment due to Disability, within 30 days following the later of (1) the date that the Employee is no longer required to perform any additional services in order to retain such Stock Units and (2) the date that the Committee determines the extent to which the Performance Conditions have been satisfied for the applicable measurement period,</w:t>
      </w:r>
    </w:p>
    <w:p>
      <w:pPr>
        <w:spacing w:after="0" w:line="1" w:lineRule="exact"/>
        <w:rPr>
          <w:rFonts w:ascii="Arial" w:cs="Arial" w:eastAsia="Arial" w:hAnsi="Arial"/>
          <w:sz w:val="15"/>
          <w:szCs w:val="15"/>
          <w:color w:val="auto"/>
        </w:rPr>
      </w:pPr>
    </w:p>
    <w:p>
      <w:pPr>
        <w:ind w:left="2200" w:hanging="274"/>
        <w:spacing w:after="0"/>
        <w:tabs>
          <w:tab w:leader="none" w:pos="22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the case of a Termination of Employment by the Company other than for Cause, as soon as practicable following the later of</w:t>
      </w:r>
    </w:p>
    <w:p>
      <w:pPr>
        <w:spacing w:after="0" w:line="32" w:lineRule="exact"/>
        <w:rPr>
          <w:sz w:val="20"/>
          <w:szCs w:val="20"/>
          <w:color w:val="auto"/>
        </w:rPr>
      </w:pPr>
    </w:p>
    <w:p>
      <w:pPr>
        <w:ind w:left="1920" w:right="100" w:firstLine="6"/>
        <w:spacing w:after="0" w:line="320" w:lineRule="auto"/>
        <w:tabs>
          <w:tab w:leader="none" w:pos="2169"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date that the release described in Section 1(e) below has become effective and irrevocable and (2) the date that the Committee determines the extent to which the Performance Conditions have been satisfied for the applicable measurement period or (C) in the case of a Change of Control, within 30 days following the occurrence of such Change in Control (the date that Shares are delivered to the Employee is an “Initial Delivery Date”). In the case of the Fiscal Year Stock Units, the Initial Delivery Date shall occur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0" w:name="page101"/>
    <w:bookmarkEnd w:id="100"/>
    <w:p>
      <w:pPr>
        <w:ind w:left="740" w:right="1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30 days following the date that the Committee determines the extent to which the Performance Conditions have been satisfied for the applicable fiscal year. In the case of the Dividend Equivalent Stock Units, the Initial Delivery Date shall occur within 30 days following the later of (x) September 12, 2014 and (y) the date that the applicable dividend is paid to the Company’s shareholders. Notwithstanding any provision herein to the contrary, in all cases, the Initial Delivery Date shall not be later than March 15</w:t>
      </w:r>
    </w:p>
    <w:p>
      <w:pPr>
        <w:spacing w:after="0" w:line="3" w:lineRule="exact"/>
        <w:rPr>
          <w:sz w:val="20"/>
          <w:szCs w:val="20"/>
          <w:color w:val="auto"/>
        </w:rPr>
      </w:pPr>
    </w:p>
    <w:p>
      <w:pPr>
        <w:ind w:left="740" w:right="60"/>
        <w:spacing w:after="0" w:line="281" w:lineRule="auto"/>
        <w:rPr>
          <w:sz w:val="20"/>
          <w:szCs w:val="20"/>
          <w:color w:val="auto"/>
        </w:rPr>
      </w:pPr>
      <w:r>
        <w:rPr>
          <w:rFonts w:ascii="Arial" w:cs="Arial" w:eastAsia="Arial" w:hAnsi="Arial"/>
          <w:sz w:val="16"/>
          <w:szCs w:val="16"/>
          <w:color w:val="auto"/>
        </w:rPr>
        <w:t>of the calendar year following the calendar year in which such Stock Units are no longer subject to a substantial risk of forfeiture within the meaning of Treasury Regulation Section 1.409A-1(d). Except in the case of the delivery of Shares upon (1) the Employee’s death, (2) a Change in Control in which any of the conditions set forth in clauses (A) and (B) of Section 1(f)(iii) are not satisfied or</w:t>
      </w:r>
    </w:p>
    <w:p>
      <w:pPr>
        <w:spacing w:after="0" w:line="2" w:lineRule="exact"/>
        <w:rPr>
          <w:sz w:val="20"/>
          <w:szCs w:val="20"/>
          <w:color w:val="auto"/>
        </w:rPr>
      </w:pPr>
    </w:p>
    <w:p>
      <w:pPr>
        <w:ind w:left="740" w:hanging="1"/>
        <w:spacing w:after="0" w:line="284" w:lineRule="auto"/>
        <w:tabs>
          <w:tab w:leader="none" w:pos="98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Employee’s Termination of Employment upon or immediately following a Change in Control under any of the circumstances described in Section 1(d)(i) or 1(d)(ii), the Employee agrees to make a timely election (or elections, as necessary) pursuant to Section 83(b) of the Code with respect to all Shares that are delivered to the Employee prior to January 1, 2017, whether pursuant to this Section 1(d)(iii), Section 1(g)(ii) or any other section of this Agreement. Immediately following the Initial Delivery Date with respect to any Stock Units, subject to approval of the Compliance Department of the Company or an Affiliate, the Employee will be permitted to dispose of the Applicable Percentage (as defined below) of the Shares (such Shares, the “Transferable Shares”) delivered to the Employee pursuant to this Section 1(d)(iii) immediately following the date that such Shares are delivered to the Employee. For purposes of this Agreement, the “Applicable Percentage” is the percentage of the Shares delivered to the Employee that the Company determines, in its sole discretion, is necessary to satisfy the Employee’s tax liability incurred with respect to such Shares on the date that such Shares are delivered to the Employee. All Shares delivered to the Employee on the Initial Delivery Date that are not Transferable Shares (such Shares, the “Remaining Shares”) will remain subject to the restrictions set forth in this Agreement (including Section 1(e)) until the date that such Remaining Shares otherwise would have been delivered to the Employee following the Final Service Date or such earlier date on which such Remaining Shares would have been delivered pursuant to this Agreement as a result of the Employee’s death or a Change in Control (such date, the “Final Delivery Date”). Accordingly, prior to the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relating to violation of the restrictive covenants set forth in Appendix B, which are incorporated herein by reference (the “Restrictive Covenants”) until the Final Delivery Date.</w:t>
      </w:r>
    </w:p>
    <w:p>
      <w:pPr>
        <w:spacing w:after="0" w:line="1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280" w:right="239" w:bottom="1440" w:gutter="0" w:footer="0" w:header="0"/>
        </w:sectPr>
      </w:pPr>
    </w:p>
    <w:bookmarkStart w:id="101" w:name="page102"/>
    <w:bookmarkEnd w:id="101"/>
    <w:p>
      <w:pPr>
        <w:ind w:left="-8" w:firstLine="464"/>
        <w:spacing w:after="0" w:line="284" w:lineRule="auto"/>
        <w:tabs>
          <w:tab w:leader="none" w:pos="687" w:val="left"/>
        </w:tabs>
        <w:numPr>
          <w:ilvl w:val="1"/>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provision of this Agreement to the contrary, in the event that the Employee incurs a Termination of Employment by the Company other than for Cause (regardless of whether the Retirement Eligibility Date precedes the date of such Termination of Employment) or due to a Retirement in accordance with Section 1(d)(ii), in each case, prior to a Change in Control, from and after the date of such Termination of Employment, in order for the Stock Units or the Remaining Shares, as applicable, to be treated as provided in Section 1(d), the Employee must sign a release of claims in favor of the Company and its Affiliates, which requirement shall be satisfied (i) upon a Termination of Employment other than for Cause, by the Employee’s signing the Waiver and General Release attached as Exhibit A (the “Release”) to Schedule I to the Agreement Relating to Retention and Noncompetition and Other Covenants by and among the Company, Lazard Group LLC and the Employee as amended (“Schedule I”) that is required to be signed as a condition to receipt of severance benefits, modified as necessary to include the Stock Units or the Remaining Shares, as applicable, as consideration for the Release (it being agreed that the Employee need not sign two releases) and (ii) upon a Retirement, by the signing of a release that contains the substantive provisions set forth in the Release, modified as necessary to reflect the Employee’s rights in connection with a Retirement, and which release shall be at least as favorable to the Employee as the release used for other retiring award holders. In either case, such Release must become effective and irrevocable on or before the 65th day following the Employee’s Termination of Employment. In the event the Employee does not sign such Release or revokes such Release before it becomes irrevocable, the Employee shall forfeit all rights to any unvested Stock Units or Remaining Shares, as applicable. In the event that the Employee incurs a Termination of Employment pursuant to Section 1(d)(i) (other than as a result of death) or 1(d)(ii), and the Employee violates any of the provisions of the Restrictive Covenants prior to the Final Delivery Date, all outstanding vested or unvested Stock Units (including Fiscal Year Stock Units and Dividend Equivalent Stock Units) and, if applicable, all Remaining Shares, shall be forfeited and canceled. Notwithstanding that certain Restricted Covenants in Appendix B apply for only a limited period following a Termination of Employment, in the event that the Employee incurs a Termination of Employment due to a Retirement, the Employee will forfeit any outstanding Stock Units (including Fiscal Year Stock Units and Dividend Equivalent Stock Units) and, if applicable, any Remaining Shares, if the Employee does not comply with all of the Restrictive Covenants in Appendix B until the earlier of the Final Service Date or, as applicable, Final Delivery Date. For the avoidance of doubt, in no event shall a violation of the Restrictive Covenants in Appendix B serve as a basis for forfeiture of Stock Units (including Fiscal Year Stock Units and Dividend Equivalent Stock Units) and, if applicable, any Remaining Shares, from and after a Change in Control.</w:t>
      </w:r>
    </w:p>
    <w:p>
      <w:pPr>
        <w:spacing w:after="0" w:line="127" w:lineRule="exact"/>
        <w:rPr>
          <w:rFonts w:ascii="Arial" w:cs="Arial" w:eastAsia="Arial" w:hAnsi="Arial"/>
          <w:sz w:val="16"/>
          <w:szCs w:val="16"/>
          <w:color w:val="auto"/>
        </w:rPr>
      </w:pPr>
    </w:p>
    <w:p>
      <w:pPr>
        <w:ind w:left="-8" w:right="80" w:firstLine="464"/>
        <w:spacing w:after="0" w:line="284" w:lineRule="auto"/>
        <w:tabs>
          <w:tab w:leader="none" w:pos="668" w:val="left"/>
        </w:tabs>
        <w:numPr>
          <w:ilvl w:val="1"/>
          <w:numId w:val="73"/>
        </w:numPr>
        <w:rPr>
          <w:rFonts w:ascii="Arial" w:cs="Arial" w:eastAsia="Arial" w:hAnsi="Arial"/>
          <w:sz w:val="16"/>
          <w:szCs w:val="16"/>
          <w:color w:val="auto"/>
        </w:rPr>
      </w:pPr>
      <w:r>
        <w:rPr>
          <w:rFonts w:ascii="Arial" w:cs="Arial" w:eastAsia="Arial" w:hAnsi="Arial"/>
          <w:sz w:val="16"/>
          <w:szCs w:val="16"/>
          <w:color w:val="auto"/>
        </w:rPr>
        <w:t>(i) Notwithstanding any provision of this Agreement to the contrary, in the event of a Change in Control that occurs prior to the end of the Performance Period (without regard to whether the Employee’s Retirement has occurred on or prior to the date of such Change in Control), the Performance Conditions shall no longer apply and, instead, shall be deemed to have been satisfied as of immediately prior to the Change in Control at the greater of (A) the target level and</w:t>
      </w:r>
    </w:p>
    <w:p>
      <w:pPr>
        <w:spacing w:after="0" w:line="1" w:lineRule="exact"/>
        <w:rPr>
          <w:rFonts w:ascii="Arial" w:cs="Arial" w:eastAsia="Arial" w:hAnsi="Arial"/>
          <w:sz w:val="16"/>
          <w:szCs w:val="16"/>
          <w:color w:val="auto"/>
        </w:rPr>
      </w:pPr>
    </w:p>
    <w:p>
      <w:pPr>
        <w:ind w:left="-8" w:right="20" w:firstLine="8"/>
        <w:spacing w:after="0" w:line="255" w:lineRule="auto"/>
        <w:tabs>
          <w:tab w:leader="none" w:pos="2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actual performance level achieved during the period beginning at the start of the Performance Period and ending on the date of such Change in Control, as determined by the Committee prior to the Change in Control with any necessary exercise of discretion determined by the Committee prior to the Change in Control.</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02" w:name="page103"/>
    <w:bookmarkEnd w:id="102"/>
    <w:p>
      <w:pPr>
        <w:ind w:left="1900" w:hanging="440"/>
        <w:spacing w:after="0" w:line="287" w:lineRule="auto"/>
        <w:tabs>
          <w:tab w:leader="none" w:pos="1900" w:val="left"/>
        </w:tabs>
        <w:numPr>
          <w:ilvl w:val="1"/>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otherwise provided in this Section 1(f)(ii) and 1(f)(iii) below, following a Change in Control, all Remaining Shares that were outstanding immediately prior to the Change in Control, and all Remaining Shares that were issued in connection with the Change in Control pursuant to Section 1(d)(iii) above, shall remain outstanding through the Final Delivery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Employee incurs a Termination of Employment upon or following a Change in Control but prior to the Final Service Date under any of the circumstances described in Section 1(d)(i) or 1(d)(ii) above, the date of such Termination of Employment shall be deemed to be the Final Delivery Date. Furthermore, in the event that the Employee incurs a Termination of Employment under any of the circumstances described in Section 1(d)(i) or 1(d)(ii) above prior to the Final Delivery Date and prior to a Change in Control, upon a Change in Control, the date of the Change in Control shall be deemed to be the Final Service Date for purposes of any Stock Units (and the Final Delivery Date for any Remaining Shares) then held by the Employee and any dividends held by an escrow agent with respect thereto, as set forth in Section 4 below.</w:t>
      </w:r>
    </w:p>
    <w:p>
      <w:pPr>
        <w:spacing w:after="0" w:line="41" w:lineRule="exact"/>
        <w:rPr>
          <w:rFonts w:ascii="Arial" w:cs="Arial" w:eastAsia="Arial" w:hAnsi="Arial"/>
          <w:sz w:val="16"/>
          <w:szCs w:val="16"/>
          <w:color w:val="auto"/>
        </w:rPr>
      </w:pPr>
    </w:p>
    <w:p>
      <w:pPr>
        <w:ind w:left="1900" w:right="20" w:hanging="440"/>
        <w:spacing w:after="0" w:line="288" w:lineRule="auto"/>
        <w:tabs>
          <w:tab w:leader="none" w:pos="19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prior to the Final Service Date, unless (A) either (1) the Remaining Shares remain outstanding following such Change in Control or (2) provision is made in connection with the Change in Control for substitution of such Remaining Shares for new awards covering equity interests in a successor entity, with appropriate adjustments to the number of Remaining Shares, as determined by the Committee prior to the Change in Control pursuant to Section 3(b)(ii) of the Plan, and (B) the material terms and conditions of such Remaining Shares as in effect immediately prior to the Change in Control are preserved following the Change in Control (including, without limitation, with respect to the vesting schedules, the intrinsic value of the Remaining Shares and transferability of the Shares or other securities underlying the Remaining Shares prior to and following the Change in Control), the date of the Change in Control shall be deemed to be the Final Delivery Date for purposes of any Remaining Shares then outstanding.</w:t>
      </w:r>
    </w:p>
    <w:p>
      <w:pPr>
        <w:spacing w:after="0" w:line="119" w:lineRule="exact"/>
        <w:rPr>
          <w:rFonts w:ascii="Arial" w:cs="Arial" w:eastAsia="Arial" w:hAnsi="Arial"/>
          <w:sz w:val="16"/>
          <w:szCs w:val="16"/>
          <w:color w:val="auto"/>
        </w:rPr>
      </w:pPr>
    </w:p>
    <w:p>
      <w:pPr>
        <w:ind w:left="-20" w:right="40" w:firstLine="464"/>
        <w:spacing w:after="0" w:line="298" w:lineRule="auto"/>
        <w:tabs>
          <w:tab w:leader="none" w:pos="685"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For purposes of this Agreement and any other agreement between the Employee and the Company that governs the Employee’s Stock Units and Remaining Shares that was entered into prior to the date of this Agreement (a “Prior Stock Unit Agreement”), “Retirement” shall mean that the Employee voluntarily incurs a Termination of Employment on or after the date on which the Employee meets the following retirement eligibility requirement (such date, the “Retirement Eligibility Date”): the Employee has remained actively employed by the Company or its Affiliates through March 31, 2016.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03" w:name="page104"/>
    <w:bookmarkEnd w:id="103"/>
    <w:p>
      <w:pPr>
        <w:ind w:left="720" w:right="160" w:hanging="440"/>
        <w:spacing w:after="0" w:line="253"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of this Agreement or any Prior Stock Unit Agreement to the contrary, in the case of any Stock Units that were outstanding immediately prior to the date of this Agreement and that have a Final Service Date that is scheduled to occur after March 2, 2015, unless such Stock Units are forfeited prior to March 15, 2015, such Stock Units shall be settled through the issuance of Shares no later than March 15, 2015, and such Shares (other than any Shares that are deemed to be Transferable Shares) shall remain subject to forfeiture based on the Employee’s continued service through March 1, 2016 (subject to any acceleration of vesting that may occur prior to such date in accordance with this Agreement, the applicable Prior Stock Unit Agreement or Schedule I).</w:t>
      </w:r>
    </w:p>
    <w:p>
      <w:pPr>
        <w:spacing w:after="0" w:line="66" w:lineRule="exact"/>
        <w:rPr>
          <w:rFonts w:ascii="Arial" w:cs="Arial" w:eastAsia="Arial" w:hAnsi="Arial"/>
          <w:sz w:val="18"/>
          <w:szCs w:val="18"/>
          <w:color w:val="auto"/>
        </w:rPr>
      </w:pPr>
    </w:p>
    <w:p>
      <w:pPr>
        <w:ind w:left="720" w:hanging="440"/>
        <w:spacing w:after="0" w:line="284" w:lineRule="auto"/>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Schedule I, this Agreement or any Prior Stock Unit Agreement to the contrary, solely for purposes of the Employee’s Stock Units (including Fiscal Year Stock Units and Dividend Equivalent Stock Units) and Remaining Shares granted pursuant to this Agreement or any Prior Stock Unit Agreement, from September 12, 2014 through the Retirement Eligibility Date, any determination by the Employee that Good Reason (as defined in Schedule I) exists (and any determination by the Employee of whether an event constituting Good Reason has been cured by the Company) will be deemed to be correct so long as such determination is made in good faith taking into account all relevant facts and the Employee complies with all procedures set forth in paragraph 4 of Schedule I regarding termination of employment for Good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Board of Directors determines in good faith taking into account all relevant facts that the Employee would not have been entitled to resign for Good Reason but for the terms of this Section 1(g)(iii) (</w:t>
      </w:r>
      <w:r>
        <w:rPr>
          <w:rFonts w:ascii="Arial" w:cs="Arial" w:eastAsia="Arial" w:hAnsi="Arial"/>
          <w:sz w:val="16"/>
          <w:szCs w:val="16"/>
          <w:u w:val="single" w:color="auto"/>
          <w:color w:val="auto"/>
        </w:rPr>
        <w:t>i.e.</w:t>
      </w:r>
      <w:r>
        <w:rPr>
          <w:rFonts w:ascii="Arial" w:cs="Arial" w:eastAsia="Arial" w:hAnsi="Arial"/>
          <w:sz w:val="16"/>
          <w:szCs w:val="16"/>
          <w:color w:val="auto"/>
        </w:rPr>
        <w:t>, the Board of Directors determines that, in the absence of this Section 1(g)(iii), the alleged Good Reason event would not constitute Good Reason under Schedule I or that the actions taken by the Company have adequately cured such event if it in fact constituted Good Reason), then the Employee will nevertheless be entitled to resign for Good Reason, but such Termination of Employment will be treated as a Retirement, rather than a Termination of Employment without Cause, for purposes of determining the treatment of any Stock Units (and any Remaining Shares) granted under this Agreement or any Prior Stock Unit Agreement and then held by the Employee in connection with such Termination of Employment (including, without limitation, for purposes of determining the level of vesting of any such Stock Units, the duration of the restrictive covenants applicable to such Stock Units and Remaining Shares and the disgorgement of tax benefits in the event of forfeiture of any Remaining Shares). Notwithstanding any provision of this Agreement to the contrary, for purposes of this Section 1(g), when the terms “Dividend Equivalent Stock Units”, “Final Service Date”, “Fiscal Year Stock Units”, “Remaining Shares”, “Stock Units” and “Transferable Shares” are used, they shall have the meaning attributable to such terms</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80" w:right="259" w:bottom="1440" w:gutter="0" w:footer="0" w:header="0"/>
        </w:sectPr>
      </w:pPr>
    </w:p>
    <w:bookmarkStart w:id="104" w:name="page105"/>
    <w:bookmarkEnd w:id="104"/>
    <w:p>
      <w:pPr>
        <w:ind w:left="1940"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this Agreement or the applicable Prior Stock Unit Agreement, as the context requires. For the avoidance of doubt, in no event shall the requirement to sign a release as set forth in Section 1(e) of this Agreement with respect to the Stock Units granted under this Agreement apply to the Stock Units and Remaining Shares granted under any Prior Agreements.</w:t>
      </w:r>
    </w:p>
    <w:p>
      <w:pPr>
        <w:spacing w:after="0" w:line="26" w:lineRule="exact"/>
        <w:rPr>
          <w:sz w:val="20"/>
          <w:szCs w:val="20"/>
          <w:color w:val="auto"/>
        </w:rPr>
      </w:pPr>
    </w:p>
    <w:p>
      <w:pPr>
        <w:ind w:left="1920" w:right="40" w:hanging="440"/>
        <w:spacing w:after="0" w:line="268" w:lineRule="auto"/>
        <w:tabs>
          <w:tab w:leader="none" w:pos="19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parties acknowledge and agree that this Agreement constitutes an amendment to the Prior Stock Unit Agreements to the extent set forth in this Section 1(g).</w:t>
      </w:r>
    </w:p>
    <w:p>
      <w:pPr>
        <w:spacing w:after="0" w:line="206" w:lineRule="exact"/>
        <w:rPr>
          <w:rFonts w:ascii="Arial" w:cs="Arial" w:eastAsia="Arial" w:hAnsi="Arial"/>
          <w:sz w:val="18"/>
          <w:szCs w:val="18"/>
          <w:color w:val="auto"/>
        </w:rPr>
      </w:pPr>
    </w:p>
    <w:p>
      <w:pPr>
        <w:ind w:left="360" w:hanging="176"/>
        <w:spacing w:after="0"/>
        <w:tabs>
          <w:tab w:leader="none" w:pos="3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Units, Restrictions on Remaining Shares.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soon as practicable (but in no event more than 30 days) after any Stock Unit has vested and is no longer subject to the applicable Service Condition and Performance Conditions, the Company shall, subject to Sections 1(d), 1(e) and 6, cause its applicable Affiliate to deliver to the Employee one or more unlegended, freely-transferable stock certificates or book-entry credits in respect of such Shares issued upon settlement of the vested Stock Units. Notwithstanding the foregoing, (a) the Company shall be entitled to hold the Shares or cash issuable upon settlement of Stock Units that have vested until the Company shall have received from the Employee a duly executed Form W-9 or W-8, as applicable, and (b)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37" w:lineRule="exact"/>
        <w:rPr>
          <w:sz w:val="20"/>
          <w:szCs w:val="20"/>
          <w:color w:val="auto"/>
        </w:rPr>
      </w:pPr>
    </w:p>
    <w:p>
      <w:pPr>
        <w:ind w:left="460" w:right="58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Final Delivery Date occurs (or is deemed to occur) with respect to the Remaining Shares, the legend set forth shall be removed from the certificates or book entry credits evidencing such Shares. Notwithstanding any provision of this Agreement to the contrary, Shares will be delivered to the Employee in settlement of any Stock Units for which all conditions have been satisfied (or deemed satisfied) no later than March 15 of the year following the year in which such Stock Units are no longer subject to a substantial risk of forfeiture within the meaning of Treasury Regulation Section 1.409A-1(d).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Nontransferability of the Stock Units and Remaining Shares.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Until such time as the Stock Units are ultimately settled or the Remaining Shares are ultimately free from restriction, as applicable, as provided in Section 1(d), Section 1(f) or Section 2 above, the Stock Units and Remaining Shares shall not be transferable by the Employee by means of sale, assignment, exchange, encumbrance, pledge, hedge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5" w:name="page106"/>
    <w:bookmarkEnd w:id="105"/>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Dividend Equivalents, Rights as a Shareholder.</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the Company declares and pays (or sets a record date with respect to) ordinary quarterly cash dividends on the Common Stock (a) during the Performance Period, the target number of Stock Units less any Transferable Shares and Remaining Shares (such Stock Units, the “Target Stock Units”) shall be credited with additional Stock Units (determined by dividing the aggregate dividend amount that would have been paid with respect to the Target Stock Units if they had been actual Shares by the Fair Market Value of a Share on the dividend payment date) (such additional Stock Units, the “Dividend Equivalent Stock Units”), which Dividend Equivalent Stock Units (and any additional Dividend Equivalent Stock Units that are granted while the Dividend Equivalent Stock Units are outstanding) shall be subject to the Service Condition and all other terms of this Agreement but shall not be subject to the Performance Conditions (</w:t>
      </w:r>
      <w:r>
        <w:rPr>
          <w:rFonts w:ascii="Arial" w:cs="Arial" w:eastAsia="Arial" w:hAnsi="Arial"/>
          <w:sz w:val="16"/>
          <w:szCs w:val="16"/>
          <w:u w:val="single" w:color="auto"/>
          <w:color w:val="auto"/>
        </w:rPr>
        <w:t>i.e.</w:t>
      </w:r>
      <w:r>
        <w:rPr>
          <w:rFonts w:ascii="Arial" w:cs="Arial" w:eastAsia="Arial" w:hAnsi="Arial"/>
          <w:sz w:val="16"/>
          <w:szCs w:val="16"/>
          <w:color w:val="auto"/>
        </w:rPr>
        <w:t>, the Dividend Equivalent Stock Units shall be treated as Stock Units for which the Performance Conditions have already been satisfied), or (b) after the Performance Period but while any Stock Units remain outstanding, any then outstanding Stock Units shall be credited with additional Stock Units (determined by dividing the aggregate dividend amount that would have been paid with respect to the Stock Units if they had been actual Shares by the Fair Market Value of a Share on the dividend payment date), which additional Stock Units shall vest and be settled concurrently with the underlying Stock Units and be treated as Stock Units for all purposes of this Agreement. For the avoidance of doubt, the provisions of the immediately preceding sentence shall not apply to any extraordinary dividends or distributions, which are addressed in Section 3(b)(i) of the Plan. All Dividend Equivalent Stock Units shall be settled in accordance with Section 1(d)(iii) above.</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the foregoing, subject to Section 1(d) and Section 2 and any other applicable law or agreement, from and after the Initial Delivery Date, the Employee will have all rights and privileges of a shareholder with respect to the Shares delivered on such Initial Delivery Date, including the right to vote the Shares and to receive dividends and other distributions with respect thereto, provided that, any dividends that are paid on the Remaining Shares prior to the Final Delivery Date (whether payable in cash or Shares) will be held until the Final Delivery Date by an escrow agent that is designated by the Company, and in the event that the Remaining Shares are forfeited in accordance with Section 1(e), such dividends will also be forfeited. For the avoidance of doubt, the determination of applicable dividends, and the calculation of amounts equivalent thereto, provided for in this Section 4 shall be made consistent with the Company’s past practice with respect to similar Awards.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 Payment of Transfer Taxes, Fees and Other Expenses.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06" w:name="page107"/>
    <w:bookmarkEnd w:id="106"/>
    <w:p>
      <w:pPr>
        <w:ind w:left="360" w:hanging="176"/>
        <w:spacing w:after="0"/>
        <w:tabs>
          <w:tab w:leader="none" w:pos="3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and Withholding; Disgorgement of Tax Benefits.</w:t>
      </w:r>
    </w:p>
    <w:p>
      <w:pPr>
        <w:spacing w:after="0" w:line="96" w:lineRule="exact"/>
        <w:rPr>
          <w:rFonts w:ascii="Arial" w:cs="Arial" w:eastAsia="Arial" w:hAnsi="Arial"/>
          <w:sz w:val="18"/>
          <w:szCs w:val="18"/>
          <w:b w:val="1"/>
          <w:bCs w:val="1"/>
          <w:color w:val="auto"/>
        </w:rPr>
      </w:pPr>
    </w:p>
    <w:p>
      <w:pPr>
        <w:ind w:right="20" w:firstLine="464"/>
        <w:spacing w:after="0" w:line="285" w:lineRule="auto"/>
        <w:tabs>
          <w:tab w:leader="none" w:pos="6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Shares underlying the Employee’s Stock Units on the date that such Shares are issued to the Employee in accordance with this Agreement. The obligations of the Company under this Agreement shall be conditioned on compliance by the Employee with this Section 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or an Affiliate may, in the Company’s sole discretion and subject to such other terms and conditions as the Company may determine, if the Employee is not subject to withholding as a matter of applicable law as of the date that the Shares are delivered to the Employee (including if the Employee is a member of the Company who reports income from the Company and its Affiliates on Schedule K-1 to the Company’s Federal income tax return) and pursuant to the prior written approval of the Company, permit the Employee to surrender some or all of the Transferable Shares to the Company or an Affiliate and have the Company or such Affiliate remit the relevant taxes on the Employee’s behalf to the appropriate taxing authorities. Prior to an Initial Delivery Date, the Company will notify the Employee of (i) how many Shares will be delivered to the Employee on such Initial Delivery Date and (ii) the portion, if any, of the Transferable Shares that the Company or an Affiliate will retain pursuant to the immediately preceding sentence.</w:t>
      </w:r>
    </w:p>
    <w:p>
      <w:pPr>
        <w:spacing w:after="0" w:line="126" w:lineRule="exact"/>
        <w:rPr>
          <w:rFonts w:ascii="Arial" w:cs="Arial" w:eastAsia="Arial" w:hAnsi="Arial"/>
          <w:sz w:val="16"/>
          <w:szCs w:val="16"/>
          <w:color w:val="auto"/>
        </w:rPr>
      </w:pPr>
    </w:p>
    <w:p>
      <w:pPr>
        <w:ind w:firstLine="464"/>
        <w:spacing w:after="0" w:line="291" w:lineRule="auto"/>
        <w:tabs>
          <w:tab w:leader="none" w:pos="7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the event that the Employee incurs a Termination of Employment due to a Retirement and, after such Retirement, the Employee forfeits the Remaining Shares and the dividends held in escrow in accordance with Section 4 of this Agreement, the Employee shall disgorge to the Company any tax benefit the Employee realizes from the forfeiture of any such Remaining Shares or dividends, if, as and when actually realized by the Employee. The Employee agrees to use commercially reasonable efforts to claim any tax benefit from such forfeiture that the Company reasonably determines is available to the Employee on all relevant tax returns filed after having received notice from the Company. Notwithstanding the foregoing, this Section 6(b) shall not apply from and after a Change in Control or a Termination of Employment pursuant to Section 1(d)(i).</w:t>
      </w:r>
    </w:p>
    <w:p>
      <w:pPr>
        <w:spacing w:after="0" w:line="195" w:lineRule="exact"/>
        <w:rPr>
          <w:rFonts w:ascii="Arial" w:cs="Arial" w:eastAsia="Arial" w:hAnsi="Arial"/>
          <w:sz w:val="16"/>
          <w:szCs w:val="16"/>
          <w:color w:val="auto"/>
        </w:rPr>
      </w:pPr>
    </w:p>
    <w:p>
      <w:pPr>
        <w:ind w:left="360" w:hanging="176"/>
        <w:spacing w:after="0"/>
        <w:tabs>
          <w:tab w:leader="none" w:pos="3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Agreement.</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7" w:name="page108"/>
    <w:bookmarkEnd w:id="107"/>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207" w:lineRule="exact"/>
        <w:rPr>
          <w:sz w:val="20"/>
          <w:szCs w:val="20"/>
          <w:color w:val="auto"/>
        </w:rPr>
      </w:pPr>
    </w:p>
    <w:p>
      <w:pPr>
        <w:ind w:left="360" w:hanging="176"/>
        <w:spacing w:after="0"/>
        <w:tabs>
          <w:tab w:leader="none" w:pos="3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firstLine="464"/>
        <w:spacing w:after="0" w:line="298" w:lineRule="auto"/>
        <w:tabs>
          <w:tab w:leader="none" w:pos="695"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that could cause the application of the law of any jurisdiction other than the State of New York. In addition to the terms and conditions set forth in this Agreement and the Restrictive Covenants, the Stock Units are subject to the terms and conditions of the Plan, which is hereby incorporated by reference. By accepting the Stock Units, the Employee agrees to and is bound by the Plan and the Restrictive Covenants.</w:t>
      </w:r>
    </w:p>
    <w:p>
      <w:pPr>
        <w:spacing w:after="0" w:line="112" w:lineRule="exact"/>
        <w:rPr>
          <w:rFonts w:ascii="Arial" w:cs="Arial" w:eastAsia="Arial" w:hAnsi="Arial"/>
          <w:sz w:val="16"/>
          <w:szCs w:val="16"/>
          <w:color w:val="auto"/>
        </w:rPr>
      </w:pPr>
    </w:p>
    <w:p>
      <w:pPr>
        <w:ind w:right="80" w:firstLine="464"/>
        <w:spacing w:after="0" w:line="256" w:lineRule="auto"/>
        <w:tabs>
          <w:tab w:leader="none" w:pos="7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Subject to the provisions of Section 8(c), 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firstLine="464"/>
        <w:spacing w:after="0" w:line="289" w:lineRule="auto"/>
        <w:tabs>
          <w:tab w:leader="none" w:pos="695"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Notwithstanding the provisions of Section 8(b),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8(c), the Employee (i) expressly consents to the application of Section 8(d)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18" w:lineRule="exact"/>
        <w:rPr>
          <w:rFonts w:ascii="Arial" w:cs="Arial" w:eastAsia="Arial" w:hAnsi="Arial"/>
          <w:sz w:val="16"/>
          <w:szCs w:val="16"/>
          <w:color w:val="auto"/>
        </w:rPr>
      </w:pPr>
    </w:p>
    <w:p>
      <w:pPr>
        <w:ind w:right="40" w:firstLine="464"/>
        <w:spacing w:after="0" w:line="253" w:lineRule="auto"/>
        <w:tabs>
          <w:tab w:leader="none" w:pos="7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Employee and the Company hereby irrevocably submit to the exclusive jurisdiction of any state or federal court located in the City of New York over any suit, action, or proceeding arising out of, relating to or in connection with this Agreement or the Plan that is not otherwise required to be arbitrated or resolved in accordance with the provisions of Section 8(b). This includes any suit, action or proceeding to compel arbitration or to enforce an arbitration award. The Employee and the Company acknowledge that the forum designated by this Section 8(d)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8(d). The agreement of the Employee and the Company as to forum is independent of the law that may be applied in the action, and the Employee and the Company agree to such forum even if the forum may under applicable law</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08" w:name="page109"/>
    <w:bookmarkEnd w:id="10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8(d). The Employee and the Company undertake not to commence any action arising out of, or relating to or in connection with this Agreement in any forum other than a forum described in this Section 8(d),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9. Conflicts and Interpretation.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10. Amendment.</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Stock Units shall require an instrument in writing to be signed (either in paper format or electronically) by both parties hereto, except such a modification, amendment or waiver made to cause the Plan or the Stock Units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11. Section 409A of the Code.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intended that the Stock Units shall be exempt from Section 409A of the Code pursuant to the “short-term deferral” rule applicable to such section, as set forth in the regulations or other guidance published by the Internal Revenue Service thereunder.</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12. Electronic Delivery.</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lieu of receiving documents in paper format, the Employee hereby agrees, to the fullest extent permitted by law, to accept electronic delivery of any documents that the Company or any Affiliate may be required to deliver (including, but not limited to, prospectuses, prospectus supplements, grant or Award notifications and agreements, account statements, annual and quarterly reports, and all other forms of communications) in connection with the Stock Units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Employee has access.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09" w:name="page110"/>
    <w:bookmarkEnd w:id="109"/>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Compensation Recovery Policy.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Employee acknowledges and agrees that the Employee and the Stock Units are subject to the Company’s Compensation Recovery Policy Applicable to Named Executive Officers, as in effect as of the date hereof (a copy of which has been provided to the Employee).</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14. Headings.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10" w:name="page111"/>
    <w:bookmarkEnd w:id="110"/>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 applicable Affiliate by a duly authorized officer and the Employee has hereunto set the Employee’s hand.</w:t>
      </w:r>
    </w:p>
    <w:p>
      <w:pPr>
        <w:spacing w:after="0" w:line="13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LAZARD LTD,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148590</wp:posOffset>
            </wp:positionV>
            <wp:extent cx="2718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418465</wp:posOffset>
            </wp:positionV>
            <wp:extent cx="2718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240" w:top="280" w:right="6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Criteria and Calculation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80"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Employee acknowledges that the grant of the performance-based Stock Units pursuant to the Performance-Based Stock Unit Agreement (such Stock Units, the “Stock Units” and such Performance-Based Stock Unit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Stock Units will be forfeited upon a violation by the Employee of the Restrictive Covenants, and that, pursuant to the Agreement, the Firm may seek injunctive relief in order to enforce the Restrictive Covenants:</w:t>
      </w:r>
    </w:p>
    <w:p>
      <w:pPr>
        <w:spacing w:after="0" w:line="145" w:lineRule="exact"/>
        <w:rPr>
          <w:sz w:val="20"/>
          <w:szCs w:val="20"/>
          <w:color w:val="auto"/>
        </w:rPr>
      </w:pPr>
    </w:p>
    <w:p>
      <w:pPr>
        <w:ind w:firstLine="464"/>
        <w:spacing w:after="0" w:line="286"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rFonts w:ascii="Arial" w:cs="Arial" w:eastAsia="Arial" w:hAnsi="Arial"/>
          <w:sz w:val="16"/>
          <w:szCs w:val="16"/>
          <w:color w:val="auto"/>
        </w:rPr>
      </w:pPr>
    </w:p>
    <w:p>
      <w:pPr>
        <w:ind w:right="100" w:firstLine="464"/>
        <w:spacing w:after="0" w:line="291"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80" w:right="239" w:bottom="1440" w:gutter="0" w:footer="0" w:header="0"/>
        </w:sectPr>
      </w:pPr>
    </w:p>
    <w:bookmarkStart w:id="113" w:name="page114"/>
    <w:bookmarkEnd w:id="11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B, “Competitive Enterprise” shall mean a business (or business unit) that</w:t>
      </w:r>
    </w:p>
    <w:p>
      <w:pPr>
        <w:ind w:right="100" w:firstLine="8"/>
        <w:spacing w:after="0" w:line="287" w:lineRule="auto"/>
        <w:tabs>
          <w:tab w:leader="none" w:pos="2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B,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4" w:lineRule="exact"/>
        <w:rPr>
          <w:rFonts w:ascii="Arial" w:cs="Arial" w:eastAsia="Arial" w:hAnsi="Arial"/>
          <w:sz w:val="16"/>
          <w:szCs w:val="16"/>
          <w:color w:val="auto"/>
        </w:rPr>
      </w:pPr>
    </w:p>
    <w:p>
      <w:pPr>
        <w:ind w:right="60" w:firstLine="464"/>
        <w:spacing w:after="0" w:line="286" w:lineRule="auto"/>
        <w:tabs>
          <w:tab w:leader="none" w:pos="69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B,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114" w:name="page115"/>
    <w:bookmarkEnd w:id="114"/>
    <w:p>
      <w:pPr>
        <w:ind w:left="-20" w:right="20" w:firstLine="464"/>
        <w:spacing w:after="0" w:line="290" w:lineRule="auto"/>
        <w:tabs>
          <w:tab w:leader="none" w:pos="68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8" w:lineRule="exact"/>
        <w:rPr>
          <w:rFonts w:ascii="Arial" w:cs="Arial" w:eastAsia="Arial" w:hAnsi="Arial"/>
          <w:sz w:val="16"/>
          <w:szCs w:val="16"/>
          <w:color w:val="auto"/>
        </w:rPr>
      </w:pPr>
    </w:p>
    <w:p>
      <w:pPr>
        <w:ind w:left="-20" w:right="60" w:firstLine="464"/>
        <w:spacing w:after="0" w:line="291" w:lineRule="auto"/>
        <w:tabs>
          <w:tab w:leader="none" w:pos="67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ind w:left="-20" w:right="20" w:firstLine="464"/>
        <w:spacing w:after="0" w:line="294" w:lineRule="auto"/>
        <w:tabs>
          <w:tab w:leader="none" w:pos="656"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15" w:lineRule="exact"/>
        <w:rPr>
          <w:rFonts w:ascii="Arial" w:cs="Arial" w:eastAsia="Arial" w:hAnsi="Arial"/>
          <w:sz w:val="16"/>
          <w:szCs w:val="16"/>
          <w:color w:val="auto"/>
        </w:rPr>
      </w:pPr>
    </w:p>
    <w:p>
      <w:pPr>
        <w:ind w:left="-20" w:firstLine="464"/>
        <w:spacing w:after="0" w:line="289" w:lineRule="auto"/>
        <w:tabs>
          <w:tab w:leader="none" w:pos="68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Restrictive Covenants Generally</w:t>
      </w:r>
      <w:r>
        <w:rPr>
          <w:rFonts w:ascii="Arial" w:cs="Arial" w:eastAsia="Arial" w:hAnsi="Arial"/>
          <w:sz w:val="16"/>
          <w:szCs w:val="16"/>
          <w:color w:val="auto"/>
        </w:rPr>
        <w:t>.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provided, however,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B, with a copy of such notice delivered no later than the date of the Employee’s commencement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60" w:top="280" w:right="239" w:bottom="1440" w:gutter="0" w:footer="0" w:header="0"/>
        </w:sectPr>
      </w:pPr>
    </w:p>
    <w:bookmarkStart w:id="115" w:name="page116"/>
    <w:bookmarkEnd w:id="1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Stock Units.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8" w:lineRule="exact"/>
        <w:rPr>
          <w:sz w:val="20"/>
          <w:szCs w:val="20"/>
          <w:color w:val="auto"/>
        </w:rPr>
      </w:pPr>
    </w:p>
    <w:p>
      <w:pPr>
        <w:ind w:right="60" w:firstLine="464"/>
        <w:spacing w:after="0" w:line="255"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Other Restrictive Covenants</w:t>
      </w:r>
      <w:r>
        <w:rPr>
          <w:rFonts w:ascii="Arial" w:cs="Arial" w:eastAsia="Arial" w:hAnsi="Arial"/>
          <w:sz w:val="18"/>
          <w:szCs w:val="18"/>
          <w:color w:val="auto"/>
        </w:rPr>
        <w:t>. The Employee acknowledges that, in the event that the Employee is subject to an employment contract, the Restrictive Covenants set forth in this Appendix B constitute a supplement to such employment contract and will be entirely governed by the distinct and specific provisions of this Appendix B. The Employee acknowledges that the Restrictive Covenants set forth in this Appendix B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116" w:name="page117"/>
    <w:bookmarkEnd w:id="116"/>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80" w:type="dxa"/>
            <w:vAlign w:val="bottom"/>
            <w:gridSpan w:val="7"/>
            <w:vMerge w:val="restart"/>
          </w:tcPr>
          <w:p>
            <w:pPr>
              <w:jc w:val="right"/>
              <w:ind w:right="120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7"/>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gridSpan w:val="4"/>
          </w:tcPr>
          <w:p>
            <w:pPr>
              <w:ind w:left="20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107,388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219,009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121,593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241,791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$ 246,809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(181,988)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111,317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116,255</w:t>
            </w: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114,998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121,656</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132,785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330,326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237,848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356,789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$ 368,465</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(49,203)</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91,359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94,211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$ 102,249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24,278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24,896</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20,787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19,407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111,317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116,255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114,998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$ 121,656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132,785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32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2.97(d)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2.05(e)</w:t>
            </w:r>
          </w:p>
        </w:tc>
        <w:tc>
          <w:tcPr>
            <w:tcW w:w="12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3.03(f)</w:t>
            </w:r>
          </w:p>
        </w:tc>
        <w:tc>
          <w:tcPr>
            <w:tcW w:w="1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fixed charges to total fixed charges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80" w:hanging="452"/>
        <w:spacing w:after="0" w:line="305" w:lineRule="auto"/>
        <w:tabs>
          <w:tab w:leader="none" w:pos="4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charges of (i) $64,703 associated with the cost saving initiatives announced by the Company in October 2012, (ii) $54,087 pertaining to the refinancing of the 2015 Notes and the issuance of the 2020 Notes and</w:t>
      </w:r>
    </w:p>
    <w:p>
      <w:pPr>
        <w:ind w:left="460" w:right="3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charges, the ratio of earnings to fixed charges would have been 4.14.</w:t>
      </w:r>
    </w:p>
    <w:p>
      <w:pPr>
        <w:spacing w:after="0" w:line="56" w:lineRule="exact"/>
        <w:rPr>
          <w:rFonts w:ascii="Arial" w:cs="Arial" w:eastAsia="Arial" w:hAnsi="Arial"/>
          <w:sz w:val="15"/>
          <w:szCs w:val="15"/>
          <w:color w:val="auto"/>
        </w:rPr>
      </w:pPr>
    </w:p>
    <w:p>
      <w:pPr>
        <w:ind w:left="460" w:right="80" w:hanging="452"/>
        <w:spacing w:after="0" w:line="323" w:lineRule="auto"/>
        <w:tabs>
          <w:tab w:leader="none" w:pos="4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charges, the ratio of earnings to fixed charges would have been 3.14.</w:t>
      </w:r>
    </w:p>
    <w:p>
      <w:pPr>
        <w:spacing w:after="0" w:line="16" w:lineRule="exact"/>
        <w:rPr>
          <w:rFonts w:ascii="Arial" w:cs="Arial" w:eastAsia="Arial" w:hAnsi="Arial"/>
          <w:sz w:val="15"/>
          <w:szCs w:val="15"/>
          <w:color w:val="auto"/>
        </w:rPr>
      </w:pPr>
    </w:p>
    <w:p>
      <w:pPr>
        <w:ind w:left="460" w:right="4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charges, the ratio of earnings to fixed charges would have been 3.95.</w:t>
      </w:r>
    </w:p>
    <w:p>
      <w:pPr>
        <w:sectPr>
          <w:pgSz w:w="11900" w:h="16838" w:orient="portrait"/>
          <w:cols w:equalWidth="0" w:num="1">
            <w:col w:w="11420"/>
          </w:cols>
          <w:pgMar w:left="240" w:top="125" w:right="239" w:bottom="1440" w:gutter="0" w:footer="0" w:header="0"/>
        </w:sectPr>
      </w:pPr>
    </w:p>
    <w:bookmarkStart w:id="117" w:name="page118"/>
    <w:bookmarkEnd w:id="117"/>
    <w:p>
      <w:pPr>
        <w:ind w:left="452" w:hanging="452"/>
        <w:spacing w:after="0" w:line="298" w:lineRule="auto"/>
        <w:tabs>
          <w:tab w:leader="none" w:pos="452"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share-based incentive awards previously granted to our former Chairman and Chief Executive Officer and (iii) the acceleration of amortization expense of $60,512 relating to the accelerated vesting of the unamortized portion of previously awarded deferred cash incentive awards. Excluding the impact of such charges, the ratio of earnings to fixed charges would have been 1.21.</w:t>
      </w:r>
    </w:p>
    <w:p>
      <w:pPr>
        <w:sectPr>
          <w:pgSz w:w="11900" w:h="16838" w:orient="portrait"/>
          <w:cols w:equalWidth="0" w:num="1">
            <w:col w:w="11312"/>
          </w:cols>
          <w:pgMar w:left="248" w:top="28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2014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2014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2"/>
    </w:lvl>
  </w:abstractNum>
  <w:abstractNum w:abstractNumId="7">
    <w:nsid w:val="32FFF902"/>
    <w:multiLevelType w:val="hybridMultilevel"/>
    <w:lvl w:ilvl="0">
      <w:lvlJc w:val="left"/>
      <w:lvlText w:val="%1."/>
      <w:numFmt w:val="decimal"/>
      <w:start w:val="3"/>
    </w:lvl>
  </w:abstractNum>
  <w:abstractNum w:abstractNumId="8">
    <w:nsid w:val="684A481A"/>
    <w:multiLevelType w:val="hybridMultilevel"/>
    <w:lvl w:ilvl="0">
      <w:lvlJc w:val="left"/>
      <w:lvlText w:val="%1."/>
      <w:numFmt w:val="decimal"/>
      <w:start w:val="4"/>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decimal"/>
      <w:start w:val="5"/>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1)"/>
      <w:numFmt w:val="lowerLetter"/>
      <w:start w:val="4"/>
    </w:lvl>
  </w:abstractNum>
  <w:abstractNum w:abstractNumId="15">
    <w:nsid w:val="12E685FB"/>
    <w:multiLevelType w:val="hybridMultilevel"/>
    <w:lvl w:ilvl="0">
      <w:lvlJc w:val="left"/>
      <w:lvlText w:val="%1."/>
      <w:numFmt w:val="decimal"/>
      <w:start w:val="6"/>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1."/>
      <w:numFmt w:val="decimal"/>
      <w:start w:val="7"/>
    </w:lvl>
  </w:abstractNum>
  <w:abstractNum w:abstractNumId="18">
    <w:nsid w:val="374A3FE6"/>
    <w:multiLevelType w:val="hybridMultilevel"/>
    <w:lvl w:ilvl="0">
      <w:lvlJc w:val="left"/>
      <w:lvlText w:val="%1."/>
      <w:numFmt w:val="decimal"/>
      <w:start w:val="8"/>
    </w:lvl>
  </w:abstractNum>
  <w:abstractNum w:abstractNumId="19">
    <w:nsid w:val="4F4EF005"/>
    <w:multiLevelType w:val="hybridMultilevel"/>
    <w:lvl w:ilvl="0">
      <w:lvlJc w:val="left"/>
      <w:lvlText w:val="%1"/>
      <w:numFmt w:val="decimal"/>
      <w:start w:val="1"/>
    </w:lvl>
    <w:lvl w:ilvl="1">
      <w:lvlJc w:val="left"/>
      <w:lvlText w:val="(%2)"/>
      <w:numFmt w:val="lowerLetter"/>
      <w:start w:val="1"/>
    </w:lvl>
  </w:abstractNum>
  <w:abstractNum w:abstractNumId="20">
    <w:nsid w:val="23F9C13C"/>
    <w:multiLevelType w:val="hybridMultilevel"/>
    <w:lvl w:ilvl="0">
      <w:lvlJc w:val="left"/>
      <w:lvlText w:val="%1."/>
      <w:numFmt w:val="decimal"/>
      <w:start w:val="9"/>
    </w:lvl>
    <w:lvl w:ilvl="1">
      <w:lvlJc w:val="left"/>
      <w:lvlText w:val="%2"/>
      <w:numFmt w:val="lowerLetter"/>
      <w:start w:val="1"/>
    </w:lvl>
  </w:abstractNum>
  <w:abstractNum w:abstractNumId="21">
    <w:nsid w:val="649BB77C"/>
    <w:multiLevelType w:val="hybridMultilevel"/>
    <w:lvl w:ilvl="0">
      <w:lvlJc w:val="left"/>
      <w:lvlText w:val="%1."/>
      <w:numFmt w:val="decimal"/>
      <w:start w:val="10"/>
    </w:lvl>
  </w:abstractNum>
  <w:abstractNum w:abstractNumId="22">
    <w:nsid w:val="275AC794"/>
    <w:multiLevelType w:val="hybridMultilevel"/>
    <w:lvl w:ilvl="0">
      <w:lvlJc w:val="left"/>
      <w:lvlText w:val="%1."/>
      <w:numFmt w:val="decimal"/>
      <w:start w:val="1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decimal"/>
      <w:start w:val="12"/>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lowerLetter"/>
      <w:start w:val="1"/>
    </w:lvl>
  </w:abstractNum>
  <w:abstractNum w:abstractNumId="27">
    <w:nsid w:val="47398C89"/>
    <w:multiLevelType w:val="hybridMultilevel"/>
    <w:lvl w:ilvl="0">
      <w:lvlJc w:val="left"/>
      <w:lvlText w:val="%1."/>
      <w:numFmt w:val="decimal"/>
      <w:start w:val="13"/>
    </w:lvl>
  </w:abstractNum>
  <w:abstractNum w:abstractNumId="28">
    <w:nsid w:val="354FE9F9"/>
    <w:multiLevelType w:val="hybridMultilevel"/>
    <w:lvl w:ilvl="0">
      <w:lvlJc w:val="left"/>
      <w:lvlText w:val="%1."/>
      <w:numFmt w:val="decimal"/>
      <w:start w:val="14"/>
    </w:lvl>
  </w:abstractNum>
  <w:abstractNum w:abstractNumId="29">
    <w:nsid w:val="15B5AF5C"/>
    <w:multiLevelType w:val="hybridMultilevel"/>
    <w:lvl w:ilvl="0">
      <w:lvlJc w:val="left"/>
      <w:lvlText w:val="%1."/>
      <w:numFmt w:val="decimal"/>
      <w:start w:val="15"/>
    </w:lvl>
  </w:abstractNum>
  <w:abstractNum w:abstractNumId="30">
    <w:nsid w:val="741226BB"/>
    <w:multiLevelType w:val="hybridMultilevel"/>
    <w:lvl w:ilvl="0">
      <w:lvlJc w:val="left"/>
      <w:lvlText w:val="%1."/>
      <w:numFmt w:val="decimal"/>
      <w:start w:val="16"/>
    </w:lvl>
  </w:abstractNum>
  <w:abstractNum w:abstractNumId="31">
    <w:nsid w:val="D34B6A8"/>
    <w:multiLevelType w:val="hybridMultilevel"/>
    <w:lvl w:ilvl="0">
      <w:lvlJc w:val="left"/>
      <w:lvlText w:val="%1."/>
      <w:numFmt w:val="decimal"/>
      <w:start w:val="17"/>
    </w:lvl>
  </w:abstractNum>
  <w:abstractNum w:abstractNumId="32">
    <w:nsid w:val="10233C99"/>
    <w:multiLevelType w:val="hybridMultilevel"/>
    <w:lvl w:ilvl="0">
      <w:lvlJc w:val="left"/>
      <w:lvlText w:val="%1."/>
      <w:numFmt w:val="decimal"/>
      <w:start w:val="18"/>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lowerRoman"/>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2"/>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2"/>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
    <w:nsid w:val="42C296BD"/>
    <w:multiLevelType w:val="hybridMultilevel"/>
    <w:lvl w:ilvl="0">
      <w:lvlJc w:val="left"/>
      <w:lvlText w:val="%1"/>
      <w:numFmt w:val="upperLetter"/>
      <w:start w:val="1"/>
    </w:lvl>
    <w:lvl w:ilvl="1">
      <w:lvlJc w:val="left"/>
      <w:lvlText w:val="(%2)"/>
      <w:numFmt w:val="lowerLetter"/>
      <w:start w:val="3"/>
    </w:lvl>
  </w:abstractNum>
  <w:abstractNum w:abstractNumId="55">
    <w:nsid w:val="168E121F"/>
    <w:multiLevelType w:val="hybridMultilevel"/>
    <w:lvl w:ilvl="0">
      <w:lvlJc w:val="left"/>
      <w:lvlText w:val="(%1)"/>
      <w:numFmt w:val="upperLetter"/>
      <w:start w:val="1"/>
    </w:lvl>
    <w:lvl w:ilvl="1">
      <w:lvlJc w:val="left"/>
      <w:lvlText w:val="%2"/>
      <w:numFmt w:val="lowerLetter"/>
      <w:start w:val="1"/>
    </w:lvl>
  </w:abstractNum>
  <w:abstractNum w:abstractNumId="56">
    <w:nsid w:val="1EBA5D23"/>
    <w:multiLevelType w:val="hybridMultilevel"/>
    <w:lvl w:ilvl="0">
      <w:lvlJc w:val="left"/>
      <w:lvlText w:val="(%1)"/>
      <w:numFmt w:val="lowerRoman"/>
      <w:start w:val="2"/>
    </w:lvl>
  </w:abstractNum>
  <w:abstractNum w:abstractNumId="57">
    <w:nsid w:val="661E3F1E"/>
    <w:multiLevelType w:val="hybridMultilevel"/>
    <w:lvl w:ilvl="0">
      <w:lvlJc w:val="left"/>
      <w:lvlText w:val="(%1)"/>
      <w:numFmt w:val="lowerLetter"/>
      <w:start w:val="5"/>
    </w:lvl>
  </w:abstractNum>
  <w:abstractNum w:abstractNumId="58">
    <w:nsid w:val="5DC79EA8"/>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59">
    <w:nsid w:val="540A471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60">
    <w:nsid w:val="7BD3EE7B"/>
    <w:multiLevelType w:val="hybridMultilevel"/>
    <w:lvl w:ilvl="0">
      <w:lvlJc w:val="left"/>
      <w:lvlText w:val="%1."/>
      <w:numFmt w:val="decimal"/>
      <w:start w:val="6"/>
    </w:lvl>
    <w:lvl w:ilvl="1">
      <w:lvlJc w:val="left"/>
      <w:lvlText w:val="(%2)"/>
      <w:numFmt w:val="lowerLetter"/>
      <w:start w:val="1"/>
    </w:lvl>
  </w:abstractNum>
  <w:abstractNum w:abstractNumId="61">
    <w:nsid w:val="51D9C564"/>
    <w:multiLevelType w:val="hybridMultilevel"/>
    <w:lvl w:ilvl="0">
      <w:lvlJc w:val="left"/>
      <w:lvlText w:val="%1."/>
      <w:numFmt w:val="decimal"/>
      <w:start w:val="8"/>
    </w:lvl>
    <w:lvl w:ilvl="1">
      <w:lvlJc w:val="left"/>
      <w:lvlText w:val="(%2)"/>
      <w:numFmt w:val="lowerLetter"/>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24"/>
    </w:lvl>
    <w:lvl w:ilvl="1">
      <w:lvlJc w:val="left"/>
      <w:lvlText w:val="(%2)"/>
      <w:numFmt w:val="lowerLetter"/>
      <w:start w:val="3"/>
    </w:lvl>
  </w:abstractNum>
  <w:abstractNum w:abstractNumId="64">
    <w:nsid w:val="11447B73"/>
    <w:multiLevelType w:val="hybridMultilevel"/>
    <w:lvl w:ilvl="0">
      <w:lvlJc w:val="left"/>
      <w:lvlText w:val="(%1)"/>
      <w:numFmt w:val="lowerLetter"/>
      <w:start w:val="4"/>
    </w:lvl>
  </w:abstractNum>
  <w:abstractNum w:abstractNumId="65">
    <w:nsid w:val="42963E5A"/>
    <w:multiLevelType w:val="hybridMultilevel"/>
    <w:lvl w:ilvl="0">
      <w:lvlJc w:val="left"/>
      <w:lvlText w:val="(%1)"/>
      <w:numFmt w:val="lowerLetter"/>
      <w:start w:val="8"/>
    </w:lvl>
  </w:abstractNum>
  <w:abstractNum w:abstractNumId="66">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8F2B15E"/>
    <w:multiLevelType w:val="hybridMultilevel"/>
    <w:lvl w:ilvl="0">
      <w:lvlJc w:val="left"/>
      <w:lvlText w:val="%1"/>
      <w:numFmt w:val="upperLetter"/>
      <w:start w:val="1"/>
    </w:lvl>
    <w:lvl w:ilvl="1">
      <w:lvlJc w:val="left"/>
      <w:lvlText w:val="(%2)"/>
      <w:numFmt w:val="lowerLetter"/>
      <w:start w:val="3"/>
    </w:lvl>
  </w:abstractNum>
  <w:abstractNum w:abstractNumId="68">
    <w:nsid w:val="1A32234B"/>
    <w:multiLevelType w:val="hybridMultilevel"/>
    <w:lvl w:ilvl="0">
      <w:lvlJc w:val="left"/>
      <w:lvlText w:val="(%1)"/>
      <w:numFmt w:val="upperLetter"/>
      <w:start w:val="1"/>
    </w:lvl>
    <w:lvl w:ilvl="1">
      <w:lvlJc w:val="left"/>
      <w:lvlText w:val="%2"/>
      <w:numFmt w:val="lowerLetter"/>
      <w:start w:val="1"/>
    </w:lvl>
  </w:abstractNum>
  <w:abstractNum w:abstractNumId="69">
    <w:nsid w:val="3B0FD379"/>
    <w:multiLevelType w:val="hybridMultilevel"/>
    <w:lvl w:ilvl="0">
      <w:lvlJc w:val="left"/>
      <w:lvlText w:val="(%1)"/>
      <w:numFmt w:val="lowerRoman"/>
      <w:start w:val="2"/>
    </w:lvl>
    <w:lvl w:ilvl="1">
      <w:lvlJc w:val="left"/>
      <w:lvlText w:val="(%2)"/>
      <w:numFmt w:val="upperLetter"/>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3"/>
    </w:lvl>
  </w:abstractNum>
  <w:abstractNum w:abstractNumId="72">
    <w:nsid w:val="60B6DF70"/>
    <w:multiLevelType w:val="hybridMultilevel"/>
    <w:lvl w:ilvl="0">
      <w:lvlJc w:val="left"/>
      <w:lvlText w:val="%1"/>
      <w:numFmt w:val="upperLetter"/>
      <w:start w:val="1"/>
    </w:lvl>
    <w:lvl w:ilvl="1">
      <w:lvlJc w:val="left"/>
      <w:lvlText w:val="(%2)"/>
      <w:numFmt w:val="lowerLetter"/>
      <w:start w:val="5"/>
    </w:lvl>
  </w:abstractNum>
  <w:abstractNum w:abstractNumId="73">
    <w:nsid w:val="6A5EE64"/>
    <w:multiLevelType w:val="hybridMultilevel"/>
    <w:lvl w:ilvl="0">
      <w:lvlJc w:val="left"/>
      <w:lvlText w:val="(%1)"/>
      <w:numFmt w:val="upperLetter"/>
      <w:start w:val="2"/>
    </w:lvl>
    <w:lvl w:ilvl="1">
      <w:lvlJc w:val="left"/>
      <w:lvlText w:val="%2"/>
      <w:numFmt w:val="lowerLetter"/>
      <w:start w:val="1"/>
    </w:lvl>
  </w:abstractNum>
  <w:abstractNum w:abstractNumId="74">
    <w:nsid w:val="14330624"/>
    <w:multiLevelType w:val="hybridMultilevel"/>
    <w:lvl w:ilvl="0">
      <w:lvlJc w:val="left"/>
      <w:lvlText w:val="%1"/>
      <w:numFmt w:val="lowerLetter"/>
      <w:start w:val="1"/>
    </w:lvl>
    <w:lvl w:ilvl="1">
      <w:lvlJc w:val="left"/>
      <w:lvlText w:val="(%2)"/>
      <w:numFmt w:val="lowerRoman"/>
      <w:start w:val="2"/>
    </w:lvl>
  </w:abstractNum>
  <w:abstractNum w:abstractNumId="75">
    <w:nsid w:val="7FFFCA11"/>
    <w:multiLevelType w:val="hybridMultilevel"/>
    <w:lvl w:ilvl="0">
      <w:lvlJc w:val="left"/>
      <w:lvlText w:val="(%1)"/>
      <w:numFmt w:val="lowerLetter"/>
      <w:start w:val="7"/>
    </w:lvl>
    <w:lvl w:ilvl="1">
      <w:lvlJc w:val="left"/>
      <w:lvlText w:val="%2"/>
      <w:numFmt w:val="lowerRoman"/>
      <w:start w:val="1"/>
    </w:lvl>
  </w:abstractNum>
  <w:abstractNum w:abstractNumId="76">
    <w:nsid w:val="1A27709E"/>
    <w:multiLevelType w:val="hybridMultilevel"/>
    <w:lvl w:ilvl="0">
      <w:lvlJc w:val="left"/>
      <w:lvlText w:val="(%1)"/>
      <w:numFmt w:val="lowerRoman"/>
      <w:start w:val="2"/>
    </w:lvl>
  </w:abstractNum>
  <w:abstractNum w:abstractNumId="77">
    <w:nsid w:val="71EA1109"/>
    <w:multiLevelType w:val="hybridMultilevel"/>
    <w:lvl w:ilvl="0">
      <w:lvlJc w:val="left"/>
      <w:lvlText w:val="%1"/>
      <w:numFmt w:val="decimal"/>
      <w:start w:val="1"/>
    </w:lvl>
    <w:lvl w:ilvl="1">
      <w:lvlJc w:val="left"/>
      <w:lvlText w:val="(%2)"/>
      <w:numFmt w:val="lowerRoman"/>
      <w:start w:val="4"/>
    </w:lvl>
  </w:abstractNum>
  <w:abstractNum w:abstractNumId="78">
    <w:nsid w:val="100F59DC"/>
    <w:multiLevelType w:val="hybridMultilevel"/>
    <w:lvl w:ilvl="0">
      <w:lvlJc w:val="left"/>
      <w:lvlText w:val="%1."/>
      <w:numFmt w:val="decimal"/>
      <w:start w:val="2"/>
    </w:lvl>
    <w:lvl w:ilvl="1">
      <w:lvlJc w:val="left"/>
      <w:lvlText w:val="%2"/>
      <w:numFmt w:val="lowerRoman"/>
      <w:start w:val="1"/>
    </w:lvl>
  </w:abstractNum>
  <w:abstractNum w:abstractNumId="79">
    <w:nsid w:val="7FB7E0AA"/>
    <w:multiLevelType w:val="hybridMultilevel"/>
    <w:lvl w:ilvl="0">
      <w:lvlJc w:val="left"/>
      <w:lvlText w:val="%1."/>
      <w:numFmt w:val="decimal"/>
      <w:start w:val="6"/>
    </w:lvl>
    <w:lvl w:ilvl="1">
      <w:lvlJc w:val="left"/>
      <w:lvlText w:val="(%2)"/>
      <w:numFmt w:val="lowerLetter"/>
      <w:start w:val="1"/>
    </w:lvl>
  </w:abstractNum>
  <w:abstractNum w:abstractNumId="80">
    <w:nsid w:val="6EB5BD4"/>
    <w:multiLevelType w:val="hybridMultilevel"/>
    <w:lvl w:ilvl="0">
      <w:lvlJc w:val="left"/>
      <w:lvlText w:val="%1."/>
      <w:numFmt w:val="decimal"/>
      <w:start w:val="8"/>
    </w:lvl>
    <w:lvl w:ilvl="1">
      <w:lvlJc w:val="left"/>
      <w:lvlText w:val="(%2)"/>
      <w:numFmt w:val="lowerLetter"/>
      <w:start w:val="1"/>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lowerLetter"/>
      <w:start w:val="24"/>
    </w:lvl>
    <w:lvl w:ilvl="1">
      <w:lvlJc w:val="left"/>
      <w:lvlText w:val="(%2)"/>
      <w:numFmt w:val="lowerLetter"/>
      <w:start w:val="3"/>
    </w:lvl>
  </w:abstractNum>
  <w:abstractNum w:abstractNumId="83">
    <w:nsid w:val="885E1B"/>
    <w:multiLevelType w:val="hybridMultilevel"/>
    <w:lvl w:ilvl="0">
      <w:lvlJc w:val="left"/>
      <w:lvlText w:val="(%1)"/>
      <w:numFmt w:val="lowerLetter"/>
      <w:start w:val="4"/>
    </w:lvl>
  </w:abstractNum>
  <w:abstractNum w:abstractNumId="84">
    <w:nsid w:val="76272110"/>
    <w:multiLevelType w:val="hybridMultilevel"/>
    <w:lvl w:ilvl="0">
      <w:lvlJc w:val="left"/>
      <w:lvlText w:val="(%1)"/>
      <w:numFmt w:val="lowerLetter"/>
      <w:start w:val="8"/>
    </w:lvl>
  </w:abstractNum>
  <w:abstractNum w:abstractNumId="85">
    <w:nsid w:val="4C04A8AF"/>
    <w:multiLevelType w:val="hybridMultilevel"/>
    <w:lvl w:ilvl="0">
      <w:lvlJc w:val="left"/>
      <w:lvlText w:val="(%1)"/>
      <w:numFmt w:val="lowerLetter"/>
      <w:start w:val="1"/>
    </w:lvl>
    <w:lvl w:ilvl="1">
      <w:lvlJc w:val="left"/>
      <w:lvlText w:val="•"/>
      <w:numFmt w:val="bullet"/>
      <w:start w:val="1"/>
    </w:lvl>
  </w:abstractNum>
  <w:abstractNum w:abstractNumId="86">
    <w:nsid w:val="1716703B"/>
    <w:multiLevelType w:val="hybridMultilevel"/>
    <w:lvl w:ilvl="0">
      <w:lvlJc w:val="left"/>
      <w:lvlText w:val="(%1)"/>
      <w:numFmt w:val="lowerLetter"/>
      <w:start w:val="7"/>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2019-12-07T09:09:30Z</dcterms:created>
  <dcterms:modified xsi:type="dcterms:W3CDTF">2019-12-07T09:09:30Z</dcterms:modified>
</cp:coreProperties>
</file>