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72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19"/>
                <w:szCs w:val="19"/>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89"/>
              </w:rPr>
              <w:t>51-0278097</w:t>
            </w:r>
          </w:p>
        </w:tc>
        <w:tc>
          <w:tcPr>
            <w:tcW w:w="600" w:type="dxa"/>
            <w:vAlign w:val="bottom"/>
          </w:tcPr>
          <w:p>
            <w:pPr>
              <w:spacing w:after="0"/>
              <w:rPr>
                <w:sz w:val="19"/>
                <w:szCs w:val="19"/>
                <w:color w:val="auto"/>
              </w:rPr>
            </w:pPr>
          </w:p>
        </w:tc>
      </w:tr>
      <w:tr>
        <w:trPr>
          <w:trHeight w:val="151"/>
        </w:trPr>
        <w:tc>
          <w:tcPr>
            <w:tcW w:w="7220" w:type="dxa"/>
            <w:vAlign w:val="bottom"/>
            <w:gridSpan w:val="3"/>
          </w:tcPr>
          <w:p>
            <w:pPr>
              <w:jc w:val="center"/>
              <w:ind w:right="210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38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72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9"/>
        </w:trPr>
        <w:tc>
          <w:tcPr>
            <w:tcW w:w="41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49"/>
        </w:trPr>
        <w:tc>
          <w:tcPr>
            <w:tcW w:w="416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416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New York, NY 10112</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7220" w:type="dxa"/>
            <w:vAlign w:val="bottom"/>
            <w:gridSpan w:val="3"/>
          </w:tcPr>
          <w:p>
            <w:pPr>
              <w:jc w:val="center"/>
              <w:ind w:left="3397"/>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0"/>
        </w:trPr>
        <w:tc>
          <w:tcPr>
            <w:tcW w:w="7220" w:type="dxa"/>
            <w:vAlign w:val="bottom"/>
            <w:gridSpan w:val="3"/>
          </w:tcPr>
          <w:p>
            <w:pPr>
              <w:jc w:val="center"/>
              <w:ind w:left="3417"/>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3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02"/>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5"/>
        </w:trPr>
        <w:tc>
          <w:tcPr>
            <w:tcW w:w="83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75"/>
        </w:trPr>
        <w:tc>
          <w:tcPr>
            <w:tcW w:w="79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20" w:firstLine="342"/>
        <w:spacing w:after="0" w:line="253" w:lineRule="auto"/>
        <w:rPr>
          <w:sz w:val="20"/>
          <w:szCs w:val="20"/>
          <w:color w:val="auto"/>
        </w:rPr>
      </w:pPr>
      <w:r>
        <w:rPr>
          <w:rFonts w:ascii="Arial" w:cs="Arial" w:eastAsia="Arial" w:hAnsi="Arial"/>
          <w:sz w:val="18"/>
          <w:szCs w:val="18"/>
          <w:color w:val="auto"/>
        </w:rPr>
        <w:t>As of June 30, 2013, none of the Registrant’s common membership interests were held by non-affiliates. As of June 30, 2013, LAZ-MD Holdings LLC held 710,009 common memberships interests of the Registrant, representing approximately 0.5% of the Registrant’s then outstanding common membership interests. As of January 31, 2014, LAZ-MD Holdings LLC held 710,009 common membership interests, or 0.5% of the Registrant’s then outstanding common membership interests. If LAZ-MD Holdings LLC is not deemed an “affiliate” of the Registrant, then as of June 30, 2013 there would have been 710,009 outstanding common membership interests of the Registrant held by non-affiliates, with a market value of $22,826,789 (assuming each common membership interest has a value equivalent to one share of Lazard Ltd Class A common stock and based on a closing price per share of $32.15 of Lazard Ltd Class A common stock on June 30, 2013).</w:t>
      </w:r>
    </w:p>
    <w:p>
      <w:pPr>
        <w:spacing w:after="0" w:line="39" w:lineRule="exact"/>
        <w:rPr>
          <w:sz w:val="24"/>
          <w:szCs w:val="24"/>
          <w:color w:val="auto"/>
        </w:rPr>
      </w:pPr>
    </w:p>
    <w:p>
      <w:pPr>
        <w:ind w:right="500" w:firstLine="342"/>
        <w:spacing w:after="0" w:line="268" w:lineRule="auto"/>
        <w:rPr>
          <w:sz w:val="20"/>
          <w:szCs w:val="20"/>
          <w:color w:val="auto"/>
        </w:rPr>
      </w:pPr>
      <w:r>
        <w:rPr>
          <w:rFonts w:ascii="Arial" w:cs="Arial" w:eastAsia="Arial" w:hAnsi="Arial"/>
          <w:sz w:val="18"/>
          <w:szCs w:val="18"/>
          <w:color w:val="auto"/>
        </w:rPr>
        <w:t>As of January 31, 2014, in addition to profit participation interests, there were 129,766,090 common membership interests and two managing member interests outstanding.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8">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48">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December 31, 2013 of approximately 99.5%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 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41 cities in key business and financial centers across 26 countries throughout Europe, North America,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For the years ended December 31, 2013, 2012 and 2011, our Financial Advisory segment net revenue totaled $981 million, $1.049 billion and $992 million, respectively, accounting for approximately 49%, 55% and 54%, respectively, of our consolidated net revenue for such years. We earned $1 million or more from 235 clients, 255 clients and 241 clients for the years ended December 31, 2013, 2012 and 2011, respectively. For the years ended December 31, 2013, 2012 and 2011, the ten largest fee paying clients constituted approximately 19%, 18% and 14% of our Financial Advisory segment net revenue, respectively, with no client individually constituting more than 10% of segment net revenue during any of these years. For the years ended December 31, 2013, 2012 and 2011, our Financial Advisory segment reported operating income (loss) of $21 million, $(9) million and $62 million, respectively. Operating income in 2013 and 2012 included charges of $47 million and $78 million, respectively, associated with the cost saving initiatives (as described in Note 16 of Notes to Consolidated Financial Statements) announced by the Company in October 2012. Excluding the impact of such charges, our Financial Advisory segment had operating income of $68 million and $69 million in the years ended December 31, 2013 and 2012, respectively. At December 31, 2013, 2012 and 2011, our Financial Advisory segment had total assets of $715 million, $793 million and $768 million, respectively.</w:t>
      </w:r>
    </w:p>
    <w:p>
      <w:pPr>
        <w:spacing w:after="0" w:line="12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as well as a presence in Argentina, Australia, Belgium, Brazil, Chile, China, Colombia, Germany, Hong Kong, India, Italy, Japan, the Netherlands, Panama, Peru, Singapore, Spain, Sweden, Switzerland and the Middle East Region.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Over the past several years, our Financial Advisory segment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Australia Holdings Pty Limited, and, along with the Company’s existing financial advisory business in Australia, referred to below as “Lazard Australia”, and we entered into a joint cooperation agreement with Raiffeisen Investment AG (“Raiffeisen”) for merger and acquisition advisory services in Russia and the Central and Eastern European (the “CEE”) region. The cooperation agreement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 In 2012, we integrated our Brazilian operations based in São Paulo, and established a Lazard Africa initiative to leverage our sovereign and corporate expertise in this rapidly growing region, for our clients in both developed and developing countries.</w:t>
      </w:r>
    </w:p>
    <w:p>
      <w:pPr>
        <w:spacing w:after="0" w:line="12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 other debt, including convertible securities, originating public underwritings of equity, debt and convertible securities and originating and executing private placements of partnership and similar interests in alternative investment funds such as leveraged buyout, mezzanine or real estate focused funds.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also have been at the forefront of providing independent advice to governments and governmental agencies challenged by the economic environment. Lazard’s Sovereign Advisory Group has advised a number of countries with respect to sovereign debt and other issues.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10, 2005, Lazard Group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(“LFCM Holdings”), an entity owned by former and current managing directors (including our executive officers) of Lazard Group. We refer to these businesses, assets and liabilities as the “separated businesses” and these transfers collectively as the “separation.” In connection with the separation, we entered into a business alliance agreement dated as of May 10, 2005 by and among Lazard Group, LAZ-MD Holdings LLC (“LAZ-MD Holdings”), an entity owned by former and current managing directors of Lazard Group, and LFCM Holdings (the “business alliance agreement”), pursuant to which a subsidiary of LFCM Holdings generally underwrites and distributes U.S. securities offerings originated by our Financial Advisory business in a manner intended to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similar to our practice prior to the separation, with revenue from such offerings generally continuing to be divided evenly between Lazard Group and LFCM Holdings. Consistent with any obligations to LFCM Holdings, we may explore capital markets opportunities in the future.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2013, our Financial Advisory segment had 132 managing directors and 701 other professionals (which includes directors, vice presidents, associates and analysts).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developing new client relationships, including leveraging the broad geographic footprint and strong relationships in our Asset Management business,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and Sovereign Advisory Groups,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 and</w:t>
      </w:r>
    </w:p>
    <w:p>
      <w:pPr>
        <w:spacing w:after="0" w:line="50" w:lineRule="exact"/>
        <w:rPr>
          <w:rFonts w:ascii="Arial" w:cs="Arial" w:eastAsia="Arial" w:hAnsi="Arial"/>
          <w:sz w:val="18"/>
          <w:szCs w:val="18"/>
          <w:color w:val="auto"/>
        </w:rPr>
      </w:pPr>
    </w:p>
    <w:p>
      <w:pPr>
        <w:ind w:left="900" w:right="14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broadening our geographic presence by adding new offices, including, since the beginning of 2007, offices in Australia (Melbourne and Perth), Switzerland (Zurich) and the Middle East Region, as well as new regional offices in the U.S. (Boston, Minneapolis and Charlotte), acquiring a 50% interest in a financial advisory firm with offices in Central and South America (Argentina, Chile, Colombia, Panama and Peru), integrating our Brazilian operations based in São Paulo, establishing the Lazard Africa initiative and entering into a joint cooperation agreement with respect to Russia and the CEE region, as well as a strategic alliance with a financial advisory firm in Mexico.</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the developed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we have broadened our geographic footprint through acquisitions, investments and alliances.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Recapitalization and Relationship with Natixis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May 10, 2005, Lazard Ltd completed the initial equity public offering (the “equity public offering”) of Class A common stock of Lazard Ltd (“Class A common stock” or “common stock”), a public offering of equity security units of Lazard Ltd, private placements under an investment agreement with IXIS Corporate &amp; Investment Bank (“IXIS” or, following its merger with and into its parent, “Natixis”) and a private offering of 7.125% senior notes due 2015 of Lazard Group, primarily to recapitalize Lazard Group. We refer to these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Group and Natixis had in place a cooperation arrangement to place and underwrite securities in the French capital markets under a common brand, “Lazard-Natixis,” and cooperate in their respective origination, syndication, placement and other activities. The cooperation arrangement primarily covered French listed companies included in the Société des Bourses Francaises (“SBF”) 120 Index and initial public offerings with an expected resulting market capitalization of at least €500 million. The term of the cooperation arrangement expired on December 31, 2012. Discussions have occurred, and may occur in the future, regarding the execution of a new form of cooperation arrangement.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analyzing, among other things, a company’s financial position, productivity and opportunities in light of its valuation.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2013, total assets under management (“AUM”) were $187 billion, of which approximately 82% was invested in equities, 14% in fixed income, 3% in alternative investments and 1% in private equity funds. As of the same date, within the equity platform, approximately 25% of our AUM was invested in emerging markets strategies, 21%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19% in global investment strategies and 17% in local investment strategies. Within the fixed income platform, approximately 5% of our AUM was invested in emerging markets strategies, 6%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 in global investment strategies and 2% in local investment strategies. Our top ten clients accounted for 24%, 23% and 22% of our total AUM at December 31, 2013, 2012 and 2011, respectively, with no client individually constituting more than 10% of our Asset Management segment net revenue during any of the respective years. Approximately 90% of our AUM as of December 31, 2013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high-net worth individuals.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2013, measured by broad product strategy and by office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For the years ended December 31, 2013, 2012 and 2011, our Asset Management segment net revenue totaled $1.039 billion, $896 million and $897 million, respectively, accounting for approximately 52%, 47% and 49%, respectively, of our consolidated net revenue for such years. For the years ended December 31, 2013, 2012 and 2011, our Asset Management segment reported operating income of $335 million, $237 million and $268 million, respectively. Operating income in 2013 and 2012 included charges of $0.2 million and $13 million, respectively, associated with the cost saving initiatives announced by the Company in October 2012, and, in 2013, included a charge of $12 million relating to private equity incentive compensation (as described in “Management’s Discussion and Analysis of Financial Condition and Results of Operations”). Excluding the impact of such charges, our Asset Management segment had operating income of $347 million and $250 million in the years ended December 31, 2013 and 2012, respectively. At December 31, 2013, 2012 and 2011, our Asset Management segment had total assets of $612 million, $567 million and $584 million,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largest Asset Management businesses are Lazard Asset Management LLC and its subsidiaries (“LAM”), with offices in New York, San Francisco, Boston, Chicago, Toronto, Montreal, London, Milan, Frankfurt, Hamburg, Zurich, Tokyo, Hong Kong, Sydney, Seoul, Singapore and Manama (aggregating approximately $168 billion in total AUM as of December 31, 2013), and Lazard Frères Gestion SAS (“LFG”), with offices in Paris, Bordeaux, Brussels, Lyon and Nantes (aggregating approximately $18 billion in total AUM as of December 31, 2013). These operations, with 72 managing directors and 362 professionals as of December 31, 2013, provide our asset management business with both a global presence and a local identity.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a company’s financial position, productivity and opportunities in light of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Equity</w:t>
            </w:r>
          </w:p>
        </w:tc>
        <w:tc>
          <w:tcPr>
            <w:tcW w:w="192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Thematic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Convertibles**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Listed Infrastructure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Trend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340" w:type="dxa"/>
            <w:vAlign w:val="bottom"/>
            <w:gridSpan w:val="2"/>
          </w:tcPr>
          <w:p>
            <w:pPr>
              <w:ind w:left="880"/>
              <w:spacing w:after="0"/>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160"/>
        <w:spacing w:after="0"/>
        <w:rPr>
          <w:sz w:val="20"/>
          <w:szCs w:val="20"/>
          <w:color w:val="auto"/>
        </w:rPr>
      </w:pPr>
      <w:r>
        <w:rPr>
          <w:rFonts w:ascii="Arial" w:cs="Arial" w:eastAsia="Arial" w:hAnsi="Arial"/>
          <w:sz w:val="14"/>
          <w:szCs w:val="14"/>
          <w:b w:val="1"/>
          <w:bCs w:val="1"/>
          <w:i w:val="1"/>
          <w:iCs w:val="1"/>
          <w:color w:val="auto"/>
        </w:rPr>
        <w:t>Global Ex</w:t>
      </w:r>
    </w:p>
    <w:p>
      <w:pPr>
        <w:ind w:left="2160"/>
        <w:spacing w:after="0" w:line="221" w:lineRule="auto"/>
        <w:rPr>
          <w:sz w:val="20"/>
          <w:szCs w:val="20"/>
          <w:color w:val="auto"/>
        </w:rPr>
      </w:pPr>
      <w:r>
        <w:rPr>
          <w:rFonts w:ascii="Arial" w:cs="Arial" w:eastAsia="Arial" w:hAnsi="Arial"/>
          <w:sz w:val="14"/>
          <w:szCs w:val="14"/>
          <w:color w:val="auto"/>
        </w:rPr>
        <w:t>Global Ex-U.K.</w:t>
      </w:r>
    </w:p>
    <w:p>
      <w:pPr>
        <w:ind w:left="2160"/>
        <w:spacing w:after="0" w:line="221" w:lineRule="auto"/>
        <w:rPr>
          <w:sz w:val="20"/>
          <w:szCs w:val="20"/>
          <w:color w:val="auto"/>
        </w:rPr>
      </w:pPr>
      <w:r>
        <w:rPr>
          <w:rFonts w:ascii="Arial" w:cs="Arial" w:eastAsia="Arial" w:hAnsi="Arial"/>
          <w:sz w:val="14"/>
          <w:szCs w:val="14"/>
          <w:color w:val="auto"/>
        </w:rPr>
        <w:t>Global Ex-Japan</w:t>
      </w:r>
    </w:p>
    <w:p>
      <w:pPr>
        <w:ind w:left="2160"/>
        <w:spacing w:after="0"/>
        <w:rPr>
          <w:sz w:val="20"/>
          <w:szCs w:val="20"/>
          <w:color w:val="auto"/>
        </w:rPr>
      </w:pPr>
      <w:r>
        <w:rPr>
          <w:rFonts w:ascii="Arial" w:cs="Arial" w:eastAsia="Arial" w:hAnsi="Arial"/>
          <w:sz w:val="14"/>
          <w:szCs w:val="14"/>
          <w:color w:val="auto"/>
        </w:rPr>
        <w:t>Global Ex-Australia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Fixed Income and Cash</w:t>
      </w:r>
      <w:r>
        <w:rPr>
          <w:sz w:val="20"/>
          <w:szCs w:val="20"/>
          <w:color w:val="auto"/>
        </w:rPr>
        <w:tab/>
      </w:r>
      <w:r>
        <w:rPr>
          <w:rFonts w:ascii="Arial" w:cs="Arial" w:eastAsia="Arial" w:hAnsi="Arial"/>
          <w:sz w:val="12"/>
          <w:szCs w:val="12"/>
          <w:b w:val="1"/>
          <w:bCs w:val="1"/>
          <w:i w:val="1"/>
          <w:iCs w:val="1"/>
          <w:color w:val="auto"/>
        </w:rPr>
        <w:t>Global</w:t>
      </w:r>
    </w:p>
    <w:p>
      <w:pPr>
        <w:spacing w:after="0" w:line="223" w:lineRule="auto"/>
        <w:tabs>
          <w:tab w:leader="none" w:pos="2140" w:val="left"/>
        </w:tabs>
        <w:rPr>
          <w:sz w:val="20"/>
          <w:szCs w:val="20"/>
          <w:color w:val="auto"/>
        </w:rPr>
      </w:pPr>
      <w:r>
        <w:rPr>
          <w:rFonts w:ascii="Arial" w:cs="Arial" w:eastAsia="Arial" w:hAnsi="Arial"/>
          <w:sz w:val="14"/>
          <w:szCs w:val="14"/>
          <w:b w:val="1"/>
          <w:bCs w:val="1"/>
          <w:color w:val="auto"/>
        </w:rPr>
        <w:t>Management</w:t>
      </w:r>
      <w:r>
        <w:rPr>
          <w:sz w:val="20"/>
          <w:szCs w:val="20"/>
          <w:color w:val="auto"/>
        </w:rPr>
        <w:tab/>
      </w:r>
      <w:r>
        <w:rPr>
          <w:rFonts w:ascii="Arial" w:cs="Arial" w:eastAsia="Arial" w:hAnsi="Arial"/>
          <w:sz w:val="14"/>
          <w:szCs w:val="14"/>
          <w:color w:val="auto"/>
        </w:rPr>
        <w:t>Core Fixed Income</w:t>
      </w:r>
    </w:p>
    <w:p>
      <w:pPr>
        <w:ind w:left="2160"/>
        <w:spacing w:after="0" w:line="222" w:lineRule="auto"/>
        <w:rPr>
          <w:sz w:val="20"/>
          <w:szCs w:val="20"/>
          <w:color w:val="auto"/>
        </w:rPr>
      </w:pPr>
      <w:r>
        <w:rPr>
          <w:rFonts w:ascii="Arial" w:cs="Arial" w:eastAsia="Arial" w:hAnsi="Arial"/>
          <w:sz w:val="14"/>
          <w:szCs w:val="14"/>
          <w:color w:val="auto"/>
        </w:rPr>
        <w:t>High Yield</w:t>
      </w:r>
    </w:p>
    <w:p>
      <w:pPr>
        <w:ind w:left="2160"/>
        <w:spacing w:after="0"/>
        <w:rPr>
          <w:sz w:val="20"/>
          <w:szCs w:val="20"/>
          <w:color w:val="auto"/>
        </w:rPr>
      </w:pPr>
      <w:r>
        <w:rPr>
          <w:rFonts w:ascii="Arial" w:cs="Arial" w:eastAsia="Arial" w:hAnsi="Arial"/>
          <w:sz w:val="14"/>
          <w:szCs w:val="14"/>
          <w:color w:val="auto"/>
        </w:rPr>
        <w:t>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Alternative</w:t>
      </w:r>
      <w:r>
        <w:rPr>
          <w:sz w:val="20"/>
          <w:szCs w:val="20"/>
          <w:color w:val="auto"/>
        </w:rPr>
        <w:tab/>
      </w:r>
      <w:r>
        <w:rPr>
          <w:rFonts w:ascii="Arial" w:cs="Arial" w:eastAsia="Arial" w:hAnsi="Arial"/>
          <w:sz w:val="14"/>
          <w:szCs w:val="14"/>
          <w:b w:val="1"/>
          <w:bCs w:val="1"/>
          <w:i w:val="1"/>
          <w:iCs w:val="1"/>
          <w:color w:val="auto"/>
        </w:rPr>
        <w:t>Global</w:t>
      </w:r>
    </w:p>
    <w:p>
      <w:pPr>
        <w:ind w:left="2160"/>
        <w:spacing w:after="0" w:line="224" w:lineRule="auto"/>
        <w:rPr>
          <w:sz w:val="20"/>
          <w:szCs w:val="20"/>
          <w:color w:val="auto"/>
        </w:rPr>
      </w:pPr>
      <w:r>
        <w:rPr>
          <w:rFonts w:ascii="Arial" w:cs="Arial" w:eastAsia="Arial" w:hAnsi="Arial"/>
          <w:sz w:val="14"/>
          <w:szCs w:val="14"/>
          <w:color w:val="auto"/>
        </w:rPr>
        <w:t>Fund of Hedge Funds</w:t>
      </w:r>
    </w:p>
    <w:p>
      <w:pPr>
        <w:jc w:val="right"/>
        <w:ind w:right="480"/>
        <w:spacing w:after="0" w:line="221" w:lineRule="auto"/>
        <w:rPr>
          <w:sz w:val="20"/>
          <w:szCs w:val="20"/>
          <w:color w:val="auto"/>
        </w:rPr>
      </w:pPr>
      <w:r>
        <w:rPr>
          <w:rFonts w:ascii="Arial" w:cs="Arial" w:eastAsia="Arial" w:hAnsi="Arial"/>
          <w:sz w:val="14"/>
          <w:szCs w:val="14"/>
          <w:color w:val="auto"/>
        </w:rPr>
        <w:t>Fund of Closed-End Funds</w:t>
      </w:r>
    </w:p>
    <w:p>
      <w:pPr>
        <w:jc w:val="right"/>
        <w:ind w:right="460"/>
        <w:spacing w:after="0" w:line="222" w:lineRule="auto"/>
        <w:rPr>
          <w:sz w:val="20"/>
          <w:szCs w:val="20"/>
          <w:color w:val="auto"/>
        </w:rPr>
      </w:pPr>
      <w:r>
        <w:rPr>
          <w:rFonts w:ascii="Arial" w:cs="Arial" w:eastAsia="Arial" w:hAnsi="Arial"/>
          <w:sz w:val="14"/>
          <w:szCs w:val="14"/>
          <w:color w:val="auto"/>
        </w:rPr>
        <w:t>(Long and Long/Short)</w:t>
      </w:r>
    </w:p>
    <w:p>
      <w:pPr>
        <w:ind w:left="2160"/>
        <w:spacing w:after="0" w:line="221" w:lineRule="auto"/>
        <w:rPr>
          <w:sz w:val="20"/>
          <w:szCs w:val="20"/>
          <w:color w:val="auto"/>
        </w:rPr>
      </w:pPr>
      <w:r>
        <w:rPr>
          <w:rFonts w:ascii="Arial" w:cs="Arial" w:eastAsia="Arial" w:hAnsi="Arial"/>
          <w:sz w:val="14"/>
          <w:szCs w:val="14"/>
          <w:color w:val="auto"/>
        </w:rPr>
        <w:t>Convertible</w:t>
      </w:r>
    </w:p>
    <w:p>
      <w:pPr>
        <w:ind w:left="2160"/>
        <w:spacing w:after="0" w:line="222" w:lineRule="auto"/>
        <w:rPr>
          <w:sz w:val="20"/>
          <w:szCs w:val="20"/>
          <w:color w:val="auto"/>
        </w:rPr>
      </w:pPr>
      <w:r>
        <w:rPr>
          <w:rFonts w:ascii="Arial" w:cs="Arial" w:eastAsia="Arial" w:hAnsi="Arial"/>
          <w:sz w:val="14"/>
          <w:szCs w:val="14"/>
          <w:color w:val="auto"/>
        </w:rPr>
        <w:t>Long/Short Equity</w:t>
      </w:r>
    </w:p>
    <w:p>
      <w:pPr>
        <w:ind w:left="2160"/>
        <w:spacing w:after="0"/>
        <w:rPr>
          <w:sz w:val="20"/>
          <w:szCs w:val="20"/>
          <w:color w:val="auto"/>
        </w:rPr>
      </w:pPr>
      <w:r>
        <w:rPr>
          <w:rFonts w:ascii="Arial" w:cs="Arial" w:eastAsia="Arial" w:hAnsi="Arial"/>
          <w:sz w:val="12"/>
          <w:szCs w:val="12"/>
          <w:color w:val="auto"/>
        </w:rPr>
        <w:t>Arbitrage/Relative Value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4"/>
          <w:szCs w:val="14"/>
          <w:b w:val="1"/>
          <w:bCs w:val="1"/>
          <w:u w:val="single" w:color="auto"/>
          <w:color w:val="auto"/>
        </w:rPr>
        <w:t>Multi-Regional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Large Capitalization**</w:t>
      </w:r>
    </w:p>
    <w:p>
      <w:pPr>
        <w:spacing w:after="0"/>
        <w:rPr>
          <w:sz w:val="20"/>
          <w:szCs w:val="20"/>
          <w:color w:val="auto"/>
        </w:rPr>
      </w:pPr>
      <w:r>
        <w:rPr>
          <w:rFonts w:ascii="Arial" w:cs="Arial" w:eastAsia="Arial" w:hAnsi="Arial"/>
          <w:sz w:val="14"/>
          <w:szCs w:val="14"/>
          <w:color w:val="auto"/>
        </w:rPr>
        <w:t>Small Capitalization**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Continental European</w:t>
      </w:r>
    </w:p>
    <w:p>
      <w:pPr>
        <w:spacing w:after="0" w:line="221" w:lineRule="auto"/>
        <w:rPr>
          <w:sz w:val="20"/>
          <w:szCs w:val="20"/>
          <w:color w:val="auto"/>
        </w:rPr>
      </w:pPr>
      <w:r>
        <w:rPr>
          <w:rFonts w:ascii="Arial" w:cs="Arial" w:eastAsia="Arial" w:hAnsi="Arial"/>
          <w:sz w:val="14"/>
          <w:szCs w:val="14"/>
          <w:color w:val="auto"/>
        </w:rPr>
        <w:t>Small Cap</w:t>
      </w:r>
    </w:p>
    <w:p>
      <w:pPr>
        <w:spacing w:after="0" w:line="221" w:lineRule="auto"/>
        <w:rPr>
          <w:sz w:val="20"/>
          <w:szCs w:val="20"/>
          <w:color w:val="auto"/>
        </w:rPr>
      </w:pPr>
      <w:r>
        <w:rPr>
          <w:rFonts w:ascii="Arial" w:cs="Arial" w:eastAsia="Arial" w:hAnsi="Arial"/>
          <w:sz w:val="14"/>
          <w:szCs w:val="14"/>
          <w:color w:val="auto"/>
        </w:rPr>
        <w:t>Multi Cap</w:t>
      </w:r>
    </w:p>
    <w:p>
      <w:pPr>
        <w:spacing w:after="0" w:line="222" w:lineRule="auto"/>
        <w:rPr>
          <w:sz w:val="20"/>
          <w:szCs w:val="20"/>
          <w:color w:val="auto"/>
        </w:rPr>
      </w:pPr>
      <w:r>
        <w:rPr>
          <w:rFonts w:ascii="Arial" w:cs="Arial" w:eastAsia="Arial" w:hAnsi="Arial"/>
          <w:sz w:val="14"/>
          <w:szCs w:val="14"/>
          <w:color w:val="auto"/>
        </w:rPr>
        <w:t>Eurozone</w:t>
      </w:r>
    </w:p>
    <w:p>
      <w:pPr>
        <w:spacing w:after="0"/>
        <w:rPr>
          <w:sz w:val="20"/>
          <w:szCs w:val="20"/>
          <w:color w:val="auto"/>
        </w:rPr>
      </w:pPr>
      <w:r>
        <w:rPr>
          <w:rFonts w:ascii="Arial" w:cs="Arial" w:eastAsia="Arial" w:hAnsi="Arial"/>
          <w:sz w:val="14"/>
          <w:szCs w:val="14"/>
          <w:color w:val="auto"/>
        </w:rPr>
        <w:t>Euro-Trend (Thematic)</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Asian</w:t>
      </w:r>
    </w:p>
    <w:p>
      <w:pPr>
        <w:spacing w:after="0"/>
        <w:rPr>
          <w:sz w:val="20"/>
          <w:szCs w:val="20"/>
          <w:color w:val="auto"/>
        </w:rPr>
      </w:pPr>
      <w:r>
        <w:rPr>
          <w:rFonts w:ascii="Arial" w:cs="Arial" w:eastAsia="Arial" w:hAnsi="Arial"/>
          <w:sz w:val="14"/>
          <w:szCs w:val="14"/>
          <w:color w:val="auto"/>
        </w:rPr>
        <w:t>Asia Ex-Japan</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 Australasia and Far East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line="221" w:lineRule="auto"/>
        <w:rPr>
          <w:sz w:val="20"/>
          <w:szCs w:val="20"/>
          <w:color w:val="auto"/>
        </w:rPr>
      </w:pPr>
      <w:r>
        <w:rPr>
          <w:rFonts w:ascii="Arial" w:cs="Arial" w:eastAsia="Arial" w:hAnsi="Arial"/>
          <w:sz w:val="14"/>
          <w:szCs w:val="14"/>
          <w:color w:val="auto"/>
        </w:rPr>
        <w:t>Multi-Capitalization</w:t>
      </w:r>
    </w:p>
    <w:p>
      <w:pPr>
        <w:spacing w:after="0" w:line="222" w:lineRule="auto"/>
        <w:rPr>
          <w:sz w:val="20"/>
          <w:szCs w:val="20"/>
          <w:color w:val="auto"/>
        </w:rPr>
      </w:pPr>
      <w:r>
        <w:rPr>
          <w:rFonts w:ascii="Arial" w:cs="Arial" w:eastAsia="Arial" w:hAnsi="Arial"/>
          <w:sz w:val="14"/>
          <w:szCs w:val="14"/>
          <w:color w:val="auto"/>
        </w:rPr>
        <w:t>Quantitative</w:t>
      </w:r>
    </w:p>
    <w:p>
      <w:pPr>
        <w:spacing w:after="0"/>
        <w:rPr>
          <w:sz w:val="20"/>
          <w:szCs w:val="20"/>
          <w:color w:val="auto"/>
        </w:rPr>
      </w:pPr>
      <w:r>
        <w:rPr>
          <w:rFonts w:ascii="Arial" w:cs="Arial" w:eastAsia="Arial" w:hAnsi="Arial"/>
          <w:sz w:val="14"/>
          <w:szCs w:val="14"/>
          <w:color w:val="auto"/>
        </w:rPr>
        <w:t>Real Estate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Core Fixed Income</w:t>
      </w:r>
    </w:p>
    <w:p>
      <w:pPr>
        <w:spacing w:after="0" w:line="221" w:lineRule="auto"/>
        <w:rPr>
          <w:sz w:val="20"/>
          <w:szCs w:val="20"/>
          <w:color w:val="auto"/>
        </w:rPr>
      </w:pPr>
      <w:r>
        <w:rPr>
          <w:rFonts w:ascii="Arial" w:cs="Arial" w:eastAsia="Arial" w:hAnsi="Arial"/>
          <w:sz w:val="14"/>
          <w:szCs w:val="14"/>
          <w:color w:val="auto"/>
        </w:rPr>
        <w:t>High Yield</w:t>
      </w:r>
    </w:p>
    <w:p>
      <w:pPr>
        <w:spacing w:after="0" w:line="222"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Duration Overlay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Fixed Income**</w:t>
      </w:r>
    </w:p>
    <w:p>
      <w:pPr>
        <w:spacing w:after="0" w:line="221"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Corporate Bonds**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Local</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Emerging Markets</w:t>
            </w:r>
          </w:p>
        </w:tc>
      </w:tr>
      <w:tr>
        <w:trPr>
          <w:trHeight w:val="131"/>
        </w:trPr>
        <w:tc>
          <w:tcPr>
            <w:tcW w:w="1020" w:type="dxa"/>
            <w:vAlign w:val="bottom"/>
          </w:tcPr>
          <w:p>
            <w:pPr>
              <w:spacing w:after="0" w:line="131" w:lineRule="exact"/>
              <w:rPr>
                <w:sz w:val="20"/>
                <w:szCs w:val="20"/>
                <w:color w:val="auto"/>
              </w:rPr>
            </w:pPr>
            <w:r>
              <w:rPr>
                <w:rFonts w:ascii="Arial" w:cs="Arial" w:eastAsia="Arial" w:hAnsi="Arial"/>
                <w:sz w:val="14"/>
                <w:szCs w:val="14"/>
                <w:b w:val="1"/>
                <w:bCs w:val="1"/>
                <w:i w:val="1"/>
                <w:iCs w:val="1"/>
                <w:color w:val="auto"/>
              </w:rPr>
              <w:t>U.S.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2"/>
          </w:tcPr>
          <w:p>
            <w:pPr>
              <w:ind w:left="560"/>
              <w:spacing w:after="0" w:line="131" w:lineRule="exact"/>
              <w:rPr>
                <w:sz w:val="20"/>
                <w:szCs w:val="20"/>
                <w:color w:val="auto"/>
              </w:rPr>
            </w:pPr>
            <w:r>
              <w:rPr>
                <w:rFonts w:ascii="Arial" w:cs="Arial" w:eastAsia="Arial" w:hAnsi="Arial"/>
                <w:sz w:val="14"/>
                <w:szCs w:val="14"/>
                <w:b w:val="1"/>
                <w:bCs w:val="1"/>
                <w:i w:val="1"/>
                <w:iCs w:val="1"/>
                <w:color w:val="auto"/>
              </w:rPr>
              <w:t>Global</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Large 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Large Capitalization</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Mid 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Small Capitalization</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Small/Mid 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Quantitative</w:t>
            </w:r>
          </w:p>
        </w:tc>
      </w:tr>
      <w:tr>
        <w:trPr>
          <w:trHeight w:val="149"/>
        </w:trPr>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Multi-Capitalization</w:t>
            </w:r>
          </w:p>
        </w:tc>
        <w:tc>
          <w:tcPr>
            <w:tcW w:w="198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88"/>
              </w:rPr>
              <w:t>Multi Strategies Managed</w:t>
            </w:r>
          </w:p>
        </w:tc>
      </w:tr>
      <w:tr>
        <w:trPr>
          <w:trHeight w:val="172"/>
        </w:trPr>
        <w:tc>
          <w:tcPr>
            <w:tcW w:w="19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980" w:type="dxa"/>
            <w:vAlign w:val="bottom"/>
            <w:gridSpan w:val="2"/>
          </w:tcPr>
          <w:p>
            <w:pPr>
              <w:ind w:left="560"/>
              <w:spacing w:after="0"/>
              <w:rPr>
                <w:sz w:val="20"/>
                <w:szCs w:val="20"/>
                <w:color w:val="auto"/>
              </w:rPr>
            </w:pPr>
            <w:r>
              <w:rPr>
                <w:rFonts w:ascii="Arial" w:cs="Arial" w:eastAsia="Arial" w:hAnsi="Arial"/>
                <w:sz w:val="14"/>
                <w:szCs w:val="14"/>
                <w:color w:val="auto"/>
              </w:rPr>
              <w:t>Volatility</w:t>
            </w:r>
          </w:p>
        </w:tc>
      </w:tr>
    </w:tbl>
    <w:p>
      <w:pPr>
        <w:spacing w:after="0" w:line="57"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Other</w:t>
      </w:r>
      <w:r>
        <w:rPr>
          <w:sz w:val="20"/>
          <w:szCs w:val="20"/>
          <w:color w:val="auto"/>
        </w:rPr>
        <w:tab/>
      </w:r>
      <w:r>
        <w:rPr>
          <w:rFonts w:ascii="Arial" w:cs="Arial" w:eastAsia="Arial" w:hAnsi="Arial"/>
          <w:sz w:val="14"/>
          <w:szCs w:val="14"/>
          <w:b w:val="1"/>
          <w:bCs w:val="1"/>
          <w:i w:val="1"/>
          <w:iCs w:val="1"/>
          <w:color w:val="auto"/>
        </w:rPr>
        <w:t>Latin America</w:t>
      </w:r>
    </w:p>
    <w:p>
      <w:pPr>
        <w:spacing w:after="0"/>
        <w:tabs>
          <w:tab w:leader="none" w:pos="2480" w:val="left"/>
        </w:tabs>
        <w:rPr>
          <w:sz w:val="20"/>
          <w:szCs w:val="20"/>
          <w:color w:val="auto"/>
        </w:rPr>
      </w:pPr>
      <w:r>
        <w:rPr>
          <w:rFonts w:ascii="Arial" w:cs="Arial" w:eastAsia="Arial" w:hAnsi="Arial"/>
          <w:sz w:val="14"/>
          <w:szCs w:val="14"/>
          <w:color w:val="auto"/>
        </w:rPr>
        <w:t>U.K. (Large Capitalization)</w:t>
      </w:r>
      <w:r>
        <w:rPr>
          <w:sz w:val="20"/>
          <w:szCs w:val="20"/>
          <w:color w:val="auto"/>
        </w:rPr>
        <w:tab/>
      </w:r>
      <w:r>
        <w:rPr>
          <w:rFonts w:ascii="Arial" w:cs="Arial" w:eastAsia="Arial" w:hAnsi="Arial"/>
          <w:sz w:val="12"/>
          <w:szCs w:val="12"/>
          <w:color w:val="auto"/>
        </w:rPr>
        <w:t>Latin America</w:t>
      </w:r>
    </w:p>
    <w:p>
      <w:pPr>
        <w:spacing w:after="0" w:line="221" w:lineRule="auto"/>
        <w:rPr>
          <w:sz w:val="20"/>
          <w:szCs w:val="20"/>
          <w:color w:val="auto"/>
        </w:rPr>
      </w:pPr>
      <w:r>
        <w:rPr>
          <w:rFonts w:ascii="Arial" w:cs="Arial" w:eastAsia="Arial" w:hAnsi="Arial"/>
          <w:sz w:val="14"/>
          <w:szCs w:val="14"/>
          <w:color w:val="auto"/>
        </w:rPr>
        <w:t>U.K. (Small Capitalization)</w:t>
      </w:r>
    </w:p>
    <w:p>
      <w:pPr>
        <w:spacing w:after="0" w:line="222" w:lineRule="auto"/>
        <w:rPr>
          <w:sz w:val="20"/>
          <w:szCs w:val="20"/>
          <w:color w:val="auto"/>
        </w:rPr>
      </w:pPr>
      <w:r>
        <w:rPr>
          <w:rFonts w:ascii="Arial" w:cs="Arial" w:eastAsia="Arial" w:hAnsi="Arial"/>
          <w:sz w:val="14"/>
          <w:szCs w:val="14"/>
          <w:color w:val="auto"/>
        </w:rPr>
        <w:t>U.K. Quantitative</w:t>
      </w:r>
    </w:p>
    <w:p>
      <w:pPr>
        <w:spacing w:after="0" w:line="221" w:lineRule="auto"/>
        <w:rPr>
          <w:sz w:val="20"/>
          <w:szCs w:val="20"/>
          <w:color w:val="auto"/>
        </w:rPr>
      </w:pPr>
      <w:r>
        <w:rPr>
          <w:rFonts w:ascii="Arial" w:cs="Arial" w:eastAsia="Arial" w:hAnsi="Arial"/>
          <w:sz w:val="14"/>
          <w:szCs w:val="14"/>
          <w:color w:val="auto"/>
        </w:rPr>
        <w:t>Australia</w:t>
      </w:r>
    </w:p>
    <w:p>
      <w:pPr>
        <w:spacing w:after="0" w:line="222" w:lineRule="auto"/>
        <w:rPr>
          <w:sz w:val="20"/>
          <w:szCs w:val="20"/>
          <w:color w:val="auto"/>
        </w:rPr>
      </w:pPr>
      <w:r>
        <w:rPr>
          <w:rFonts w:ascii="Arial" w:cs="Arial" w:eastAsia="Arial" w:hAnsi="Arial"/>
          <w:sz w:val="14"/>
          <w:szCs w:val="14"/>
          <w:color w:val="auto"/>
        </w:rPr>
        <w:t>France (Large Capitalization)*</w:t>
      </w:r>
    </w:p>
    <w:p>
      <w:pPr>
        <w:spacing w:after="0" w:line="221" w:lineRule="auto"/>
        <w:rPr>
          <w:sz w:val="20"/>
          <w:szCs w:val="20"/>
          <w:color w:val="auto"/>
        </w:rPr>
      </w:pPr>
      <w:r>
        <w:rPr>
          <w:rFonts w:ascii="Arial" w:cs="Arial" w:eastAsia="Arial" w:hAnsi="Arial"/>
          <w:sz w:val="14"/>
          <w:szCs w:val="14"/>
          <w:color w:val="auto"/>
        </w:rPr>
        <w:t>France (Small Capitalization)*</w:t>
      </w:r>
    </w:p>
    <w:p>
      <w:pPr>
        <w:spacing w:after="0" w:line="222" w:lineRule="auto"/>
        <w:rPr>
          <w:sz w:val="20"/>
          <w:szCs w:val="20"/>
          <w:color w:val="auto"/>
        </w:rPr>
      </w:pPr>
      <w:r>
        <w:rPr>
          <w:rFonts w:ascii="Arial" w:cs="Arial" w:eastAsia="Arial" w:hAnsi="Arial"/>
          <w:sz w:val="14"/>
          <w:szCs w:val="14"/>
          <w:color w:val="auto"/>
        </w:rPr>
        <w:t>Japan**</w:t>
      </w:r>
    </w:p>
    <w:p>
      <w:pPr>
        <w:spacing w:after="0"/>
        <w:rPr>
          <w:sz w:val="20"/>
          <w:szCs w:val="20"/>
          <w:color w:val="auto"/>
        </w:rPr>
      </w:pPr>
      <w:r>
        <w:rPr>
          <w:rFonts w:ascii="Arial" w:cs="Arial" w:eastAsia="Arial" w:hAnsi="Arial"/>
          <w:sz w:val="14"/>
          <w:szCs w:val="14"/>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U.S.</w:t>
      </w:r>
      <w:r>
        <w:rPr>
          <w:sz w:val="20"/>
          <w:szCs w:val="20"/>
          <w:color w:val="auto"/>
        </w:rPr>
        <w:tab/>
      </w:r>
      <w:r>
        <w:rPr>
          <w:rFonts w:ascii="Arial" w:cs="Arial" w:eastAsia="Arial" w:hAnsi="Arial"/>
          <w:sz w:val="14"/>
          <w:szCs w:val="14"/>
          <w:b w:val="1"/>
          <w:bCs w:val="1"/>
          <w:i w:val="1"/>
          <w:iCs w:val="1"/>
          <w:color w:val="auto"/>
        </w:rPr>
        <w:t>Global</w:t>
      </w:r>
    </w:p>
    <w:p>
      <w:pPr>
        <w:spacing w:after="0"/>
        <w:tabs>
          <w:tab w:leader="none" w:pos="2480" w:val="left"/>
        </w:tabs>
        <w:rPr>
          <w:sz w:val="20"/>
          <w:szCs w:val="20"/>
          <w:color w:val="auto"/>
        </w:rPr>
      </w:pPr>
      <w:r>
        <w:rPr>
          <w:rFonts w:ascii="Arial" w:cs="Arial" w:eastAsia="Arial" w:hAnsi="Arial"/>
          <w:sz w:val="14"/>
          <w:szCs w:val="14"/>
          <w:color w:val="auto"/>
        </w:rPr>
        <w:t>Core Fixed Income</w:t>
      </w:r>
      <w:r>
        <w:rPr>
          <w:sz w:val="20"/>
          <w:szCs w:val="20"/>
          <w:color w:val="auto"/>
        </w:rPr>
        <w:tab/>
      </w:r>
      <w:r>
        <w:rPr>
          <w:rFonts w:ascii="Arial" w:cs="Arial" w:eastAsia="Arial" w:hAnsi="Arial"/>
          <w:sz w:val="12"/>
          <w:szCs w:val="12"/>
          <w:color w:val="auto"/>
        </w:rPr>
        <w:t>Emerging Debt</w:t>
      </w:r>
    </w:p>
    <w:p>
      <w:pPr>
        <w:spacing w:after="0"/>
        <w:tabs>
          <w:tab w:leader="none" w:pos="2480" w:val="left"/>
        </w:tabs>
        <w:rPr>
          <w:sz w:val="20"/>
          <w:szCs w:val="20"/>
          <w:color w:val="auto"/>
        </w:rPr>
      </w:pPr>
      <w:r>
        <w:rPr>
          <w:rFonts w:ascii="Arial" w:cs="Arial" w:eastAsia="Arial" w:hAnsi="Arial"/>
          <w:sz w:val="14"/>
          <w:szCs w:val="14"/>
          <w:color w:val="auto"/>
        </w:rPr>
        <w:t>High Yield</w:t>
      </w:r>
      <w:r>
        <w:rPr>
          <w:sz w:val="20"/>
          <w:szCs w:val="20"/>
          <w:color w:val="auto"/>
        </w:rPr>
        <w:tab/>
      </w:r>
      <w:r>
        <w:rPr>
          <w:rFonts w:ascii="Arial" w:cs="Arial" w:eastAsia="Arial" w:hAnsi="Arial"/>
          <w:sz w:val="12"/>
          <w:szCs w:val="12"/>
          <w:color w:val="auto"/>
        </w:rPr>
        <w:t>Emerging Corporates</w:t>
      </w:r>
    </w:p>
    <w:p>
      <w:pPr>
        <w:spacing w:after="0" w:line="222" w:lineRule="auto"/>
        <w:rPr>
          <w:sz w:val="20"/>
          <w:szCs w:val="20"/>
          <w:color w:val="auto"/>
        </w:rPr>
      </w:pPr>
      <w:r>
        <w:rPr>
          <w:rFonts w:ascii="Arial" w:cs="Arial" w:eastAsia="Arial" w:hAnsi="Arial"/>
          <w:sz w:val="14"/>
          <w:szCs w:val="14"/>
          <w:color w:val="auto"/>
        </w:rPr>
        <w:t>Short Duration</w:t>
      </w:r>
    </w:p>
    <w:p>
      <w:pPr>
        <w:spacing w:after="0" w:line="221" w:lineRule="auto"/>
        <w:rPr>
          <w:sz w:val="20"/>
          <w:szCs w:val="20"/>
          <w:color w:val="auto"/>
        </w:rPr>
      </w:pPr>
      <w:r>
        <w:rPr>
          <w:rFonts w:ascii="Arial" w:cs="Arial" w:eastAsia="Arial" w:hAnsi="Arial"/>
          <w:sz w:val="14"/>
          <w:szCs w:val="14"/>
          <w:color w:val="auto"/>
        </w:rPr>
        <w:t>Municipals</w:t>
      </w:r>
    </w:p>
    <w:p>
      <w:pPr>
        <w:spacing w:after="0"/>
        <w:rPr>
          <w:sz w:val="20"/>
          <w:szCs w:val="20"/>
          <w:color w:val="auto"/>
        </w:rPr>
      </w:pPr>
      <w:r>
        <w:rPr>
          <w:rFonts w:ascii="Arial" w:cs="Arial" w:eastAsia="Arial" w:hAnsi="Arial"/>
          <w:sz w:val="14"/>
          <w:szCs w:val="14"/>
          <w:color w:val="auto"/>
        </w:rPr>
        <w:t>Cash Management*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Non-U.S.</w:t>
      </w:r>
    </w:p>
    <w:p>
      <w:pPr>
        <w:spacing w:after="0"/>
        <w:rPr>
          <w:sz w:val="20"/>
          <w:szCs w:val="20"/>
          <w:color w:val="auto"/>
        </w:rPr>
      </w:pPr>
      <w:r>
        <w:rPr>
          <w:rFonts w:ascii="Arial" w:cs="Arial" w:eastAsia="Arial" w:hAnsi="Arial"/>
          <w:sz w:val="14"/>
          <w:szCs w:val="14"/>
          <w:color w:val="auto"/>
        </w:rPr>
        <w:t>U.K. Fixed Income</w:t>
      </w:r>
    </w:p>
    <w:p>
      <w:pPr>
        <w:spacing w:after="0" w:line="205"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Non-U.S.</w:t>
      </w:r>
      <w:r>
        <w:rPr>
          <w:sz w:val="20"/>
          <w:szCs w:val="20"/>
          <w:color w:val="auto"/>
        </w:rPr>
        <w:tab/>
      </w:r>
      <w:r>
        <w:rPr>
          <w:rFonts w:ascii="Arial" w:cs="Arial" w:eastAsia="Arial" w:hAnsi="Arial"/>
          <w:sz w:val="12"/>
          <w:szCs w:val="12"/>
          <w:b w:val="1"/>
          <w:bCs w:val="1"/>
          <w:i w:val="1"/>
          <w:iCs w:val="1"/>
          <w:color w:val="auto"/>
        </w:rPr>
        <w:t>Global</w:t>
      </w:r>
    </w:p>
    <w:p>
      <w:pPr>
        <w:spacing w:after="0"/>
        <w:tabs>
          <w:tab w:leader="none" w:pos="2480" w:val="left"/>
        </w:tabs>
        <w:rPr>
          <w:sz w:val="20"/>
          <w:szCs w:val="20"/>
          <w:color w:val="auto"/>
        </w:rPr>
      </w:pPr>
      <w:r>
        <w:rPr>
          <w:rFonts w:ascii="Arial" w:cs="Arial" w:eastAsia="Arial" w:hAnsi="Arial"/>
          <w:sz w:val="14"/>
          <w:szCs w:val="14"/>
          <w:color w:val="auto"/>
        </w:rPr>
        <w:t>Japan (Long/Short)</w:t>
      </w:r>
      <w:r>
        <w:rPr>
          <w:sz w:val="20"/>
          <w:szCs w:val="20"/>
          <w:color w:val="auto"/>
        </w:rPr>
        <w:tab/>
      </w:r>
      <w:r>
        <w:rPr>
          <w:rFonts w:ascii="Arial" w:cs="Arial" w:eastAsia="Arial" w:hAnsi="Arial"/>
          <w:sz w:val="12"/>
          <w:szCs w:val="12"/>
          <w:color w:val="auto"/>
        </w:rPr>
        <w:t>Emerging Income</w:t>
      </w:r>
    </w:p>
    <w:p>
      <w:pPr>
        <w:ind w:left="2500"/>
        <w:spacing w:after="0"/>
        <w:rPr>
          <w:sz w:val="20"/>
          <w:szCs w:val="20"/>
          <w:color w:val="auto"/>
        </w:rPr>
      </w:pPr>
      <w:r>
        <w:rPr>
          <w:rFonts w:ascii="Arial" w:cs="Arial" w:eastAsia="Arial" w:hAnsi="Arial"/>
          <w:sz w:val="14"/>
          <w:szCs w:val="14"/>
          <w:color w:val="auto"/>
        </w:rPr>
        <w:t>Emerging Debt</w:t>
      </w:r>
    </w:p>
    <w:p>
      <w:pPr>
        <w:spacing w:after="0" w:line="748" w:lineRule="exact"/>
        <w:rPr>
          <w:sz w:val="20"/>
          <w:szCs w:val="20"/>
          <w:color w:val="auto"/>
        </w:rPr>
      </w:pPr>
    </w:p>
    <w:p>
      <w:pPr>
        <w:sectPr>
          <w:pgSz w:w="11900" w:h="16838" w:orient="portrait"/>
          <w:cols w:equalWidth="0" w:num="3">
            <w:col w:w="4100" w:space="720"/>
            <w:col w:w="1900" w:space="500"/>
            <w:col w:w="4140"/>
          </w:cols>
          <w:pgMar w:left="240" w:top="459" w:right="29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Distribution</w:t>
      </w:r>
      <w:r>
        <w:rPr>
          <w:rFonts w:ascii="Arial" w:cs="Arial" w:eastAsia="Arial" w:hAnsi="Arial"/>
          <w:sz w:val="16"/>
          <w:szCs w:val="16"/>
          <w:color w:val="auto"/>
        </w:rPr>
        <w:t>. We distribute our products through a broad array of marketing channels on a global basis. LAM’s marketing, sales and client service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are organized through a global market delivery and service network, with distribution professionals located in cities including New York, Boston, Chicago, San Francisco, London, Milan, Montreal, Toronto, Singapore, Frankfurt, Hamburg, Zurich, Tokyo, Sydney, Hong Kong, Manama and Seoul.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 and leveraging the broad geographic footprint and strong client relationships in our Financial Advisory business,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an emerging markets fixed income team, an asian equity team and a global real estate investment team,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continued to expand the geographic reach of our Asset Management business, including through opening offices in Switzerland and Singapore.</w:t>
      </w:r>
    </w:p>
    <w:p>
      <w:pPr>
        <w:spacing w:after="0" w:line="19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In this regard, in September 2011, LAM acquired the assets of Grubb &amp; Ellis Alesco Global Advisors, LLC (“Alesco”). Alesco is an investment advisor located in San Francisco, California, focusing on real estate securities and managing three registered mutual funds.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through organic growth, acquisitions or otherwise. We may also continue to expand our geographic reach. In 2014, we announced our expansion in the Middle East with plans to open a Dubai office.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Historically, Lazard has made selected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The acquisition of Edgewater was structured as a purchase by Lazard of interests in a holding company that owns interests in the general partner and management company entities of the current Edgewater private equity funds (the “Edgewater Acquisition”). As of December 31, 2013, Edgewater had approximately $1 billion of AUM and unfunded fee-earning commitments.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Australia, we operate our private equity business through Lazard Australia, which, as of December 31, 2013, had approximately $173 million of AUM and unfunded fee-earning commitments.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LFCM Holdings, through certain subsidiaries of Lazard Alternative Investments Holdings LLC (“LAI”), operates the alternative investment business (including private equity activities) that was transferred to it in the separation. We retained an investment in certain of the funds that were or are still operated by LAI and its subsidiaries. We are entitled to receive a portion of the carry attributable to our investment in a fund previously formed and managed by LAI (net of compensation payable to investment professionals who manage this fund). In addition, pursuant to the business alliance agreement, we retained an option to acquire the North American and European fund management activities of LAI and have the right to participate in the governance of LAI and to consent to certain actions. On December 15, 2009, we exercised our option to acquire the right to conduct private equity activities in Europe. While the remaining option to purchase the management entities of LAI’s North American businesses (the “North American Option”) is currently exercisable at any time prior to May 10, 2014, during the fourth quarter of 2011, we determined that we are unlikely to exercise such option (see Note 18 of Notes to Consolidated Financial Statements).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2009, the business alliance agreement with LFCM Holdings was amended to remove certain restrictions on our ability to engage in private equity activities in North America and to reduce the price of the North American 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2013, we employed 2,403 people, which included 132 managing directors and 701 other professionals in our Financial Advisory segment and 72 managing directors and 376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October 2012 we announced a number of cost saving initiatives to reduce our expenses, which have impacted the number of people that we employ. See “Management’s Discussion and Analysis of Financial Condition — Cost Saving Initiatives” below.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Citigroup, Credit Suisse, Deutsche Bank, Evercore Partners, Goldman Sachs, Greenhill, JPMorgan Chase, Mediobanca, Morgan Stanley, Rothschild and UBS. In our Restructuring practice, our primary competitors are The Blackstone Group, Evercore Partners, Greenhill, Houlihan Lokey, Moelis &amp; Company and Rothschild.</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and Schroders, Alliance Bernstein, Capital Management &amp; Research, Fidelity, Franklin Templeton, Invesco, JP Morgan Asset Management, Lord Abbett and MFS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 At the same time, demand for independent financial advice has increased and has created opportunities for new entrants, including a number of boutique financial advisory firms.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the Financial Industry Regulatory Authority (“FINRA”)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registration category that includes placement agents that solicit investments from public pension funds on behalf of investment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2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Conduct Authority (the “FCA”). We also have other subsidiaries that are registered as broker-dealers (or have similar non-U.S. registration) in various jurisdictions.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its subsidiary, our Paris-based banking affiliate, Lazard Frères Banque SA (“LFB”). The investment services activities of the Paris group, exercised through LFB and other subsidiaries of CFLF, primarily LFG,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result of certain recent changes effected by the Dodd-Frank Wall Street Reform and Consumer Protection Act (the “Dodd-Frank Act”) related to the regulation of over-the-counter swaps and other derivative instruments, LAM and certain of its subsidiaries have recently registered with the U.S. Commodity Futures Trading Commission (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and German banking authorities,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among other things, in censure, fine, the issuance of cease-and-desist orders or the suspension or expulsion or other disciplining of a broker-dealer or its directors, officers or employees.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Over the last several years, global financial markets experienced extraordinary disruption and volatility. As a result, the U.S. and other governments and institutions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21, 2014,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55</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54</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1,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53</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51</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and Lazard Group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47</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Lazard Group files current, annual and quarterly reports, and other information required by the Exchange Act with the SEC. You may read and copy any document the company files at the SEC’s public reference room located at 100 F Street, N.E., Washington, D.C. 20549, U.S.A. Please call the SEC at</w:t>
      </w:r>
    </w:p>
    <w:p>
      <w:pPr>
        <w:ind w:right="60"/>
        <w:spacing w:after="0" w:line="255" w:lineRule="auto"/>
        <w:rPr>
          <w:sz w:val="20"/>
          <w:szCs w:val="20"/>
          <w:color w:val="auto"/>
        </w:rPr>
      </w:pPr>
      <w:r>
        <w:rPr>
          <w:rFonts w:ascii="Arial" w:cs="Arial" w:eastAsia="Arial" w:hAnsi="Arial"/>
          <w:sz w:val="18"/>
          <w:szCs w:val="18"/>
          <w:color w:val="auto"/>
        </w:rPr>
        <w:t xml:space="preserve">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Copies of these reports, and other information can also be inspected at the offices of the New York Stock Exchange, Inc., 20 Broad Street,</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New York 10005, U.S.A.</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website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website,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Lazard Ltd’s Audit Committee, Compensation Committee and Nominating &amp; Governance Committee. Copies of these charters and Lazard Ltd’s Corporate Governance Guidelines and Code of Business Conduct and Ethics governing our directors, officers and employees are also posted on the investor relations section of our website in the corporate governance subsection.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90" w:lineRule="exact"/>
        <w:rPr>
          <w:sz w:val="20"/>
          <w:szCs w:val="20"/>
          <w:color w:val="auto"/>
        </w:rPr>
      </w:pPr>
    </w:p>
    <w:p>
      <w:pPr>
        <w:ind w:right="300" w:firstLine="456"/>
        <w:spacing w:after="0" w:line="338" w:lineRule="auto"/>
        <w:rPr>
          <w:sz w:val="20"/>
          <w:szCs w:val="20"/>
          <w:color w:val="auto"/>
        </w:rPr>
      </w:pPr>
      <w:r>
        <w:rPr>
          <w:rFonts w:ascii="Arial" w:cs="Arial" w:eastAsia="Arial" w:hAnsi="Arial"/>
          <w:sz w:val="16"/>
          <w:szCs w:val="16"/>
          <w:b w:val="1"/>
          <w:bCs w:val="1"/>
          <w:color w:val="auto"/>
        </w:rPr>
        <w:t>In recent years, regional and global capital markets and economies have experienced periods of significant disruption and volatility, which has had negative repercussions on the global economy, and any continued disruption or volatility could present challenges for our business.</w:t>
      </w:r>
    </w:p>
    <w:p>
      <w:pPr>
        <w:spacing w:after="0" w:line="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recent years, certain adverse financial developments have impacted regional and global capital markets and the macroeconomic climate. These developments included a general slowing of economic growth both in the U.S. and globally, periods of volatility in equity securities markets and volatility and tightening of liquidity in credit markets. In addition, concerns over sovereign debt levels, high unemployment levels, business and consumer confidence levels, geopolitical issues and weak real estate markets have contributed to increased volatility and have affected expectations for the economy and the markets going forward. Furthermore, investor concerns about the financial health of certain European countries and financial institutions caused market disruptions in recent years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1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90"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retire, join an existing competitor, form a competing company or otherwise leave us, some of our clients could choose to use the services of that competitor or some other competitor instead of our services. In any such event, our investment banking fees, money management fees or AUM could decline.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Certain changes to our employee compensation arrangements may result in increased compensation and benefits expense. In addition, any changes to the mix of cash and deferred compensation granted to our employees may affect certain financial measures applicable to our business, including ratios of compensation and benefits expense to revenue, and may result in increased levels of Class A common stock issued to our employees upon vesting of restricted stock units (“RSUs”) or grants of restricted stock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2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18"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10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6"/>
          <w:szCs w:val="16"/>
          <w:i w:val="1"/>
          <w:iCs w:val="1"/>
          <w:color w:val="auto"/>
        </w:rPr>
        <w:t>e.g.</w:t>
      </w:r>
      <w:r>
        <w:rPr>
          <w:rFonts w:ascii="Arial" w:cs="Arial" w:eastAsia="Arial" w:hAnsi="Arial"/>
          <w:sz w:val="16"/>
          <w:szCs w:val="16"/>
          <w:color w:val="auto"/>
        </w:rPr>
        <w:t>, our emerging markets strategies), would be expected to cause our revenue and income to decline by causing:</w:t>
      </w:r>
    </w:p>
    <w:p>
      <w:pPr>
        <w:spacing w:after="0" w:line="3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110"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2013, Financial Advisory services accounted for approximately 49%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12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9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quarterly fluctuations, it may be difficult for us to achieve steady earnings growth on a quarterly basis.</w:t>
      </w:r>
    </w:p>
    <w:p>
      <w:pPr>
        <w:spacing w:after="0" w:line="165"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our financial position could be adversely affected. Loss of key employees may occur due to perceived opportunity for promotion, compensation levels, work environment or other individual reasons, some of which may be beyond our control.</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0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comprising our AUM, may underperform other investment approaches, which may result in significant client or asset departures, or a reduction in AUM.</w:t>
      </w:r>
    </w:p>
    <w:p>
      <w:pPr>
        <w:spacing w:after="0" w:line="1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Even when securities prices are rising generally, performance can be affected by investment style and mix of asset classes. Many of the equity investment strategies in our Asset Management business share a common investment orientation towards fundamental security selection. We believe this style tends to outperform the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some market environments and underperform it in others. In particular, a prolonged growth environment may cause certain investment strategies to go out of favor with some clients, advisors, consultants or third-party intermediaries.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37"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8"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or by LFCM Holdings, and continue to hold principal investments directly or through funds managed by LFCM Holdings and certain affiliates of Lazard, including Edgewater and Lazard Australia.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each quarter, and any related gains or losses would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invest capital in various types of equity and debt securities in order to seed LAM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90" w:lineRule="exact"/>
        <w:rPr>
          <w:sz w:val="20"/>
          <w:szCs w:val="20"/>
          <w:color w:val="auto"/>
        </w:rPr>
      </w:pPr>
    </w:p>
    <w:p>
      <w:pPr>
        <w:ind w:left="900" w:right="1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personnel or maintain AUM, any of which would adversely impact our revenue and earnings.</w:t>
      </w:r>
    </w:p>
    <w:p>
      <w:pPr>
        <w:spacing w:after="0" w:line="126"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As of December 31, 2013, Lazard Group and its subsidiaries had approximately $1.1 billion in debt (including capital lease obligations) outstanding, of which $548 million and $500 million relate to Lazard Group senior notes that mature in 2017 and 2020,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1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We may pursue acquisitions, joint ventures or cooperation agreements that may result in additional risks and uncertainties in our business and could present unforeseen integration obstacles or costs.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and entered into a strategic alliance with a financial advisory firm in Mexico. During 2011, we acquired the assets of Alesco. During 2012, we integrated our Brazilian operations based in São Paulo. We expect to continue to explore acquisitions and partnership or strategic alliance opportunities that we believe to be attractive.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1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2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U.S. and global financial markets experienced periods of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 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controls and procedures may result in increased costs, additional operational personnel and increased regulatory risk. Failure to adhere to these policies, controls and procedures may result in regulatory sanctions or client litigation.</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recently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2013, our Asset Management business obtained research and other services through third-party soft dollar arrangements, the total cost of which we estimate to be approximately $22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6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12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are exposed to fluctuations in foreign currencies. Our financial statements are denominated in U.S. Dollars and, for the year ended December 31, 2013, we received approximately 39%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members’ equity from currency translation adjustments.</w:t>
      </w:r>
    </w:p>
    <w:p>
      <w:pPr>
        <w:spacing w:after="0" w:line="12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Group depends on its subsidiaries, which conduct the operations of its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Executive Branch has not yet submitted its 2015 budget proposals to Congress. The 2014 budget proposals submitted on April 10, 2013 included several potential revenue generating items, including proposals to (i) limit the deduction of certain related party interest and (ii) limit or defer the deduction of interest attributable to foreign source income of foreign subsidiaries.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 form proposed in the 2014 budget submission, however, some of these proposals may increase Lazard’s effective tax rate during future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2013.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14"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5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result in reputational damage or lead to legal liability, which could lead to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11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3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or, as a result of the use of the Lazard name by subsidiaries of LFCM Holdings, for certain actions of LFCM Holdings or its subsidiaries.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w:t>
      </w:r>
    </w:p>
    <w:p>
      <w:pPr>
        <w:spacing w:after="0" w:line="114"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Several employees of Lazard provide services to LFCM Holdings. Conflicts of interest may arise between LFCM Holdings and us in a number of areas relating to our past and ongoing relationships, including:</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and real property matters, including sublease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our managing directors provide services to LFCM Holdings,</w:t>
      </w:r>
    </w:p>
    <w:p>
      <w:pPr>
        <w:spacing w:after="0" w:line="59" w:lineRule="exact"/>
        <w:rPr>
          <w:rFonts w:ascii="Arial" w:cs="Arial" w:eastAsia="Arial" w:hAnsi="Arial"/>
          <w:sz w:val="18"/>
          <w:szCs w:val="18"/>
          <w:color w:val="auto"/>
        </w:rPr>
      </w:pPr>
    </w:p>
    <w:p>
      <w:pPr>
        <w:ind w:left="900" w:right="9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 different party.</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the “Lazard” brand name. These risks could expose us to liability and also may adversely affect our revenue and our business prospects.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2013 relating to our periodic or current reports under the Exchange 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2013, including properties used by the separated businesses. As a general matter, one or both of our Financial Advisory and Asset Management segments (as well as our Corporate segment) uses the following properties. We sublease to affiliates of LFCM Holdings certain office space, including office space that is used by the separated businesses. This includes subleasing 52,573 square feet principally relating to our lease in New York City located at 30 Rockefeller Plaza to affiliates of LFCM Holdings. Additionally, our London and other offices sublease 55,676 and 3,977 square feet, respectively, to third parties. We remain fully liable for the subleased space to the extent that affiliates of LFCM Holdings, or the third parties, fail to perform their obligations under the subleases for any reason.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Square Footage</w:t>
            </w:r>
          </w:p>
        </w:tc>
        <w:tc>
          <w:tcPr>
            <w:tcW w:w="5920" w:type="dxa"/>
            <w:vAlign w:val="bottom"/>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448,764 square feet of</w:t>
            </w:r>
          </w:p>
        </w:tc>
        <w:tc>
          <w:tcPr>
            <w:tcW w:w="22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North America</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155,909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89"/>
              </w:rPr>
              <w:t>Boston, Charlotte, Chicago, Houston, Los Angeles, Minneapolis, Montreal and San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Francisco</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Paris</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152,924 square feet of owned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and 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London</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142,371 square feet of leased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Europe</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111,626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Asia, Australia and</w:t>
            </w: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Nantes, Stockholm and Zurich</w:t>
            </w:r>
          </w:p>
        </w:tc>
        <w:tc>
          <w:tcPr>
            <w:tcW w:w="0" w:type="dxa"/>
            <w:vAlign w:val="bottom"/>
          </w:tcPr>
          <w:p>
            <w:pPr>
              <w:spacing w:after="0"/>
              <w:rPr>
                <w:sz w:val="1"/>
                <w:szCs w:val="1"/>
                <w:color w:val="auto"/>
              </w:rPr>
            </w:pPr>
          </w:p>
        </w:tc>
      </w:tr>
      <w:tr>
        <w:trPr>
          <w:trHeight w:val="210"/>
        </w:trPr>
        <w:tc>
          <w:tcPr>
            <w:tcW w:w="31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84,270 square feet of leased</w:t>
            </w:r>
          </w:p>
        </w:tc>
        <w:tc>
          <w:tcPr>
            <w:tcW w:w="5920" w:type="dxa"/>
            <w:vAlign w:val="bottom"/>
            <w:vMerge w:val="restart"/>
          </w:tcPr>
          <w:p>
            <w:pPr>
              <w:spacing w:after="0"/>
              <w:rPr>
                <w:sz w:val="20"/>
                <w:szCs w:val="20"/>
                <w:color w:val="auto"/>
              </w:rPr>
            </w:pPr>
            <w:r>
              <w:rPr>
                <w:rFonts w:ascii="Arial" w:cs="Arial" w:eastAsia="Arial" w:hAnsi="Arial"/>
                <w:sz w:val="18"/>
                <w:szCs w:val="18"/>
                <w:color w:val="auto"/>
                <w:w w:val="91"/>
              </w:rPr>
              <w:t>Beijing, Dubai, Hong Kong, Melbourne, Mumbai, Perth, Riyadh, So Paulo, Seoul,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Singapore, Sydney and Tokyo</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2013, approximately 99.5% and 0.5% of our common membership interests are held by wholly-owned subsidiaries of Lazard Ltd and by LAZ-MD Holdings, respectively. Our co-managing member interests are held by two indirect wholly-owned subsidiaries of Lazard Ltd and our profit participation interests are held by various managing directors. There are no public trading markets for any of these interests.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Subsequent to the equity public offering, pursuant to provisions of its amended and restated Operating Agreement, Lazard Group distributions in respect of common membership interests are allocated to the holders of such interests on a pro rata basis. Such distributions represent amounts necessary to fund (i) dividends Lazard Ltd declares on its Class A common stock and (ii) tax distributions in respect of income taxes that Lazard Ltd’s subsidiaries and members of LAZ-MD Holdings incur as a result of holding Lazard Group common membership interests. During the years ended December 31, 2013, 2012 and 2011, Lazard Group distributed approximately $0.9 million, $5.2 million and $4.4 million, respectively, to LAZ-MD Holdings and approximately $121.6 million, $135.1 million and $70.6 million, respectively, to the subsidiaries of Lazard Ltd, which latter amounts were used by Lazard Ltd to pay dividends to holders of its Class A common stock. In addition, during the years ended December 31, 2013 and 2011, Lazard Group made tax distributions of approximately $3.0 million and $17.5 million, respectively, including $0.1 million and $0.7 million, respectively, paid to LAZ-MD Holdings, and approximately $2.9 million and $16.8 million, respectively, paid to subsidiaries of Lazard Ltd (no tax distributions were made during the year ended December 31, 2012).</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consolidated statements of financial condition and operations data as of and for each of the years in the five-year period ended December 31, 2013 have been derived from Lazard Group’s consolidated financial statements. The audited consolidated statements of financial condition as of December 31, 2013 and 2012 and audited consolidated statements of operations for each of the years in the three year period ended December 31, 2013 are included in this Form 10-K. The audited consolidated statements of financial condition as of December 31, 2011, 2010 and 2009, and the audited consolidated statements of operations for the years ended December 31, 2010 and 2009, are not included in this Form 10-K. Historical results are not necessarily indicative of results for any future period.</w:t>
      </w:r>
    </w:p>
    <w:p>
      <w:pPr>
        <w:spacing w:after="0" w:line="10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5"/>
          </w:tcPr>
          <w:p>
            <w:pPr>
              <w:jc w:val="center"/>
              <w:ind w:right="9"/>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980,577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1,049,090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992,107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1,119,867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986,820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1,039,130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896,260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897,401</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849,662</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(35,633)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(37,220)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(55,947)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(65,024)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(58,509)</w:t>
            </w:r>
          </w:p>
        </w:tc>
        <w:tc>
          <w:tcPr>
            <w:tcW w:w="0" w:type="dxa"/>
            <w:vAlign w:val="bottom"/>
          </w:tcPr>
          <w:p>
            <w:pPr>
              <w:spacing w:after="0"/>
              <w:rPr>
                <w:sz w:val="1"/>
                <w:szCs w:val="1"/>
                <w:color w:val="auto"/>
              </w:rPr>
            </w:pPr>
          </w:p>
        </w:tc>
      </w:tr>
      <w:tr>
        <w:trPr>
          <w:trHeight w:val="163"/>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1,984,074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1,908,130</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1,833,561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1,904,505</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1,529,963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1,278,479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1,351,076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1,168,909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1,194,158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1,309,231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486,586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435,461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422,861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463,538</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402,720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1,765,065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1,786,537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1,591,770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1,657,696</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1,711,951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219,009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121,593</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241,791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246,809</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186,767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90,971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214,383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201,424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(213,715)</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Group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gridSpan w:val="3"/>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183,063</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87,609</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210,705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194,544</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(216,547)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3,093,988</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3,048,380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3,037,453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3,336,284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3,115,048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1,064,184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1,094,713</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1,096,934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1,249,753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1,261,478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Group Members’ Equity</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469,472</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453,179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614,344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369,565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Members’ Equity</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536,126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529,087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718,267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490,447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282,931</w:t>
            </w: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186,924,000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167,060,000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141,039,000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155,337,000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129,543,000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173,702,000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155,549,000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152,072,000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137,381,000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103,988,000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6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2,403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2,511</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2,332</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gridSpan w:val="2"/>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3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768,790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78,916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Strategic Advisory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847,706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866,331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794,364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825,992</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610,110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Arial" w:cs="Arial" w:eastAsia="Arial" w:hAnsi="Arial"/>
                <w:sz w:val="14"/>
                <w:szCs w:val="14"/>
                <w:color w:val="auto"/>
              </w:rPr>
              <w:t>Restructuring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132,871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182,759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197,743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293,875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Financial Advisory Net Revenue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980,577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1,049,090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992,107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1,119,867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986,820</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903,956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78,342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43,661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26,245</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86,298</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56,832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ind w:left="260"/>
              <w:spacing w:after="0" w:line="155" w:lineRule="exact"/>
              <w:rPr>
                <w:sz w:val="20"/>
                <w:szCs w:val="20"/>
                <w:color w:val="auto"/>
              </w:rPr>
            </w:pPr>
            <w:r>
              <w:rPr>
                <w:rFonts w:ascii="Arial" w:cs="Arial" w:eastAsia="Arial" w:hAnsi="Arial"/>
                <w:sz w:val="14"/>
                <w:szCs w:val="14"/>
                <w:color w:val="auto"/>
              </w:rPr>
              <w:t>Asset Management Net Revenue</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1,039,130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896,260</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897,401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849,662</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601,652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“Corporate” includes interest expense (net of interest income), investment income (losses) from certain investments and net revenue earned by LFB through its commercial banking operations.</w:t>
      </w:r>
    </w:p>
    <w:p>
      <w:pPr>
        <w:spacing w:after="0" w:line="22" w:lineRule="exact"/>
        <w:rPr>
          <w:rFonts w:ascii="Arial" w:cs="Arial" w:eastAsia="Arial" w:hAnsi="Arial"/>
          <w:sz w:val="12"/>
          <w:szCs w:val="12"/>
          <w:color w:val="auto"/>
        </w:rPr>
      </w:pPr>
    </w:p>
    <w:p>
      <w:pPr>
        <w:ind w:left="340" w:hanging="332"/>
        <w:spacing w:after="0" w:line="25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 revenue may be recognized in the future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 (iii) in 2010, charges of $24,860 relating to the acceleration of amortization expense pertaining to the amendment of Lazard’s retirement policy with respect to RSU awards; and (iv) in 2009, charges of $86,514 related to the acceleration of amortization expense relating to share-based incentive awards previously granted to our former Chairman and Chief Executive Officer and $60,512 related to the accelerated vesting of the then unamortized portion of previously awarded deferred cash incentive awards.</w:t>
      </w:r>
    </w:p>
    <w:p>
      <w:pPr>
        <w:spacing w:after="0" w:line="1"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in 2013, non-compensation costs of $13,304 relating to the cost saving initiatives announced by the Company in October 2012 and $54,087 related to the refinancing of the 7.125% senior notes maturing on May 15, 2015; (ii) in 2012, non-compensation costs of $2,905 recorded in the first quarter associated with staff reductions and $2,589 recorded in the fourth quarter relating to the cost saving initiatives announced by the Company in October 2012; (iii) in 2010, restructuring expense of $87,108 related to the restructuring plan announced in the first quarter of 2010; and (iv) in 2009, restructuring expense of $62,550 related to the restructuring plan announced in the first quarter of 2009.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41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12 of Notes to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any obligations to LFCM Holdings LLC (“LFCM Holdings”), we may explore capital markets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Equity market indices for developed markets at December 31, 2013 increased when compared to such indices at December 31, 2012, while equity market indices for emerging markets decreased as compared to December 31, 2012. On an industry-wide basis, during 2013, the number of completed and announced M&amp;A transactions decreased, compared to the prior year. Global restructuring activity, as measured by the number of corporate defaults, was slightly lower in 2013 as compared to the prior year, and the aggregate value of debt defaults remained low, consistent with the last several years.</w:t>
      </w:r>
    </w:p>
    <w:p>
      <w:pPr>
        <w:spacing w:after="0" w:line="11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Entering 2014, interest rates remain low and corporate cash balances remain high. Macroeconomic conditions appear to be improving in the developed countries, particularly in North America, CEO and board confidence appears to be returning and, as such, companies based in these regions may be better positioned to make acquisitions for future growth and investors may be increasingly interested in deploying capital for investment purposes. In our Asset Management business, we entered 2014 with a record level of assets under management. Although market volatility may continue, we believe the long term trends appear positive.</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The cost saving initiatives that we began in 2012 are effectively complete,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through 2013, more than two-thirds of these savings were realized, with the full impact of all the savings expected to be reflected in our 2014 results. See “Cost Saving Initiatives” below and Note 16 of Notes to Consolidated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40" w:hanging="345"/>
        <w:spacing w:after="0" w:line="290" w:lineRule="auto"/>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 We have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20" w:hanging="345"/>
        <w:spacing w:after="0" w:line="308" w:lineRule="auto"/>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also announced plans to open an office in Dubai.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and Asian Equities.</w:t>
      </w:r>
    </w:p>
    <w:p>
      <w:pPr>
        <w:spacing w:after="0" w:line="109"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and earnings growth, the prudent management of our costs and expenses, the efficient use of our assets and the return of equity to our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and announced M&amp;A transactions increased in 2013 compared to 2012, while the number of such transactions decreased as compared to 2012. With respect to the value of announced transactions, the 2013 increase was partially driven by one large transaction. Both the value and number of announced transactions involving deal values greater than $500 million increased in 2013 as compared to 2012.</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160" w:type="dxa"/>
            <w:vAlign w:val="bottom"/>
          </w:tcPr>
          <w:p>
            <w:pPr>
              <w:jc w:val="right"/>
              <w:ind w:right="754"/>
              <w:spacing w:after="0"/>
              <w:rPr>
                <w:sz w:val="20"/>
                <w:szCs w:val="20"/>
                <w:color w:val="auto"/>
              </w:rPr>
            </w:pPr>
            <w:r>
              <w:rPr>
                <w:rFonts w:ascii="Arial" w:cs="Arial" w:eastAsia="Arial" w:hAnsi="Arial"/>
                <w:sz w:val="14"/>
                <w:szCs w:val="14"/>
                <w:b w:val="1"/>
                <w:bCs w:val="1"/>
                <w:color w:val="auto"/>
                <w:w w:val="96"/>
              </w:rPr>
              <w:t>2012</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2,601</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2,549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35,945</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w w:val="83"/>
              </w:rPr>
              <w:t>43,417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1,846</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1,704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943</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954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2,911</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2,679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37,367</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3"/>
              </w:rPr>
              <w:t>43,678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2,065</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1,828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2"/>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1,062</w:t>
            </w:r>
          </w:p>
        </w:tc>
        <w:tc>
          <w:tcPr>
            <w:tcW w:w="700" w:type="dxa"/>
            <w:vAlign w:val="bottom"/>
          </w:tcPr>
          <w:p>
            <w:pPr>
              <w:spacing w:after="0"/>
              <w:rPr>
                <w:sz w:val="19"/>
                <w:szCs w:val="19"/>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1,012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6, 2014.</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Global restructuring activity during 2013, as measured by the number of corporate defaults, decreased as compared to 2012, and the aggregate value of debt defaults remained low, consistent with the last several years. The number of defaulting issuers decreased slightly to 62 in 2013, according to Moody’s Investors Service, Inc., as compared to 63 in 2012. In the U.S., the number of corporate defaults decreased 30% in 2013 as compared to 2012, while the value of such defaults decreased 17% during the same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percentage change in major equity market indices at December 31, 2013, as compared to such indices at December 31, 2012, and at December 31, 2012, as compared to such indices at December 31, 2011,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 Stoxx</w:t>
            </w:r>
          </w:p>
        </w:tc>
        <w:tc>
          <w:tcPr>
            <w:tcW w:w="2000" w:type="dxa"/>
            <w:vAlign w:val="bottom"/>
            <w:gridSpan w:val="2"/>
          </w:tcPr>
          <w:p>
            <w:pPr>
              <w:jc w:val="right"/>
              <w:ind w:right="1032"/>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tcPr>
          <w:p>
            <w:pPr>
              <w:jc w:val="right"/>
              <w:ind w:right="1032"/>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December 31, 2013 increased 12% versus AUM at December 31, 2012, primarily due to market appreciation. Average AUM for 2013 also increased 12% as compared to average AUM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Through 2013, more than two-thirds of these savings were realized, with the full impact of all the savings expected to be reflected in our 2014 results.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2013 represented (1)% of Lazard’s net revenue, total assets in the Corporate segment represented 57% of Lazard’s consolidated total assets as of December 31, 2013,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2008 Incentive Compensation Plan (the “2008 Plan”) and (b) Lazard Fund Interests awards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for the year ended December 31, 2013 was 58.2%. While we have implemented initiatives, including the cost saving initiatives announced in October 2012 (see “Cost Saving Initiatives” above and Note 16 of Notes to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jc w:val="both"/>
        <w:ind w:right="600" w:firstLine="456"/>
        <w:spacing w:after="0" w:line="335" w:lineRule="auto"/>
        <w:rPr>
          <w:sz w:val="20"/>
          <w:szCs w:val="20"/>
          <w:color w:val="auto"/>
        </w:rPr>
      </w:pPr>
      <w:r>
        <w:rPr>
          <w:rFonts w:ascii="Arial" w:cs="Arial" w:eastAsia="Arial" w:hAnsi="Arial"/>
          <w:sz w:val="15"/>
          <w:szCs w:val="15"/>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In 2013, non-compensation expense also included the implementation of the cost saving initiatives and expenses related to the refinancing of the 7.125% senior notes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due 2015 (the “2015 Notes”) and the issuance of $500 million of 4.25% senior notes maturing in 2020 (the “2020 Notes”) (see Note 11 of Notes to Consolidated Financial Statements). In 2012, non-compensation expense included the implementation of the cost saving initiatives, and the relevant portion of the expense relating to the staff reductions. For all periods, the amortization of intangible assets related to acquisitions pertains primarily to the acquisition of Edgewater.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13 of Notes to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Selected financial data from the Company’s reported consolidated results of operations is set forth below, followed by a more detailed discussion of both the consolidated and business segment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1,984,074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1,908,130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1,833,561</w:t>
            </w:r>
          </w:p>
        </w:tc>
        <w:tc>
          <w:tcPr>
            <w:tcW w:w="0" w:type="dxa"/>
            <w:vAlign w:val="bottom"/>
          </w:tcPr>
          <w:p>
            <w:pPr>
              <w:spacing w:after="0"/>
              <w:rPr>
                <w:sz w:val="1"/>
                <w:szCs w:val="1"/>
                <w:color w:val="auto"/>
              </w:rPr>
            </w:pPr>
          </w:p>
        </w:tc>
      </w:tr>
      <w:tr>
        <w:trPr>
          <w:trHeight w:val="3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1,278,479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1,351,076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1,168,909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476,472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427,102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1,765,065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1,786,537</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1,591,770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121,593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186,767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90,971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183,063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0"/>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$1,984,074</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$ 1,908,130</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$ 1,833,561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Other interest expense (a)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85,806</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89,823</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(15,115)</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(14,104)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(16,696)</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08"/>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Lazard Fund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Interests (d)</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(14,099)</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2,040,666</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1,976,292</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1,892,003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Gain related to the repurchase of the Company’s subordinated promissory note is excluded because of the non-operating nature of such transaction.</w:t>
      </w:r>
    </w:p>
    <w:p>
      <w:pPr>
        <w:spacing w:after="0" w:line="32" w:lineRule="exact"/>
        <w:rPr>
          <w:rFonts w:ascii="Arial" w:cs="Arial" w:eastAsia="Arial" w:hAnsi="Arial"/>
          <w:sz w:val="16"/>
          <w:szCs w:val="16"/>
          <w:color w:val="auto"/>
        </w:rPr>
      </w:pPr>
    </w:p>
    <w:p>
      <w:pPr>
        <w:ind w:left="460" w:right="580" w:hanging="452"/>
        <w:spacing w:after="0" w:line="361"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$1,278,479</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$1,351,076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Charges pertaining to staff reductions (a)</w:t>
            </w:r>
          </w:p>
        </w:tc>
        <w:tc>
          <w:tcPr>
            <w:tcW w:w="15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(21,754)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saving initiatives (a)</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(51,399)</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(99,987)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(b)</w:t>
            </w:r>
          </w:p>
        </w:tc>
        <w:tc>
          <w:tcPr>
            <w:tcW w:w="2580" w:type="dxa"/>
            <w:vAlign w:val="bottom"/>
            <w:gridSpan w:val="3"/>
          </w:tcPr>
          <w:p>
            <w:pPr>
              <w:jc w:val="right"/>
              <w:ind w:right="140"/>
              <w:spacing w:after="0"/>
              <w:rPr>
                <w:sz w:val="20"/>
                <w:szCs w:val="20"/>
                <w:color w:val="auto"/>
              </w:rPr>
            </w:pPr>
            <w:r>
              <w:rPr>
                <w:rFonts w:ascii="Arial" w:cs="Arial" w:eastAsia="Arial" w:hAnsi="Arial"/>
                <w:sz w:val="18"/>
                <w:szCs w:val="18"/>
                <w:color w:val="auto"/>
              </w:rPr>
              <w:t>(4,232)</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(4,040)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 incentive compensation (c)</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(12,203)</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(Charges) credits pertaining to Lazard Fund Interests (d)</w:t>
            </w:r>
          </w:p>
        </w:tc>
        <w:tc>
          <w:tcPr>
            <w:tcW w:w="15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(14,099)</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(7,557)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1,196,546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1,217,738</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1,168,193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Deduct – amortization of incentive compensation awards</w:t>
            </w:r>
          </w:p>
        </w:tc>
        <w:tc>
          <w:tcPr>
            <w:tcW w:w="15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(297,607)</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(334,796)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898,939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882,942</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Add:</w:t>
            </w: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(f)</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291,007</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272,391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Sign-on and other special incentive awards (g)</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22,107</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42,088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(h)</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(27,270)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(27,360)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adjustments (i)</w:t>
            </w:r>
          </w:p>
        </w:tc>
        <w:tc>
          <w:tcPr>
            <w:tcW w:w="1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w:t>
            </w:r>
          </w:p>
        </w:tc>
        <w:tc>
          <w:tcPr>
            <w:tcW w:w="6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1,186,691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1,171,415</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1,168,521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1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00" w:type="dxa"/>
            <w:vAlign w:val="bottom"/>
            <w:gridSpan w:val="3"/>
            <w:vMerge w:val="continue"/>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as a % of Operating Revenue</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58.6%</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61.6%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1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8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expenses pertaining to the first quarter 2012 staff reductions and the cost saving initiatives announced in October 2012, as applicable, for (i) severance costs and benefit payments; (ii) the acceleration of unrecognized amortization expense of deferred incentive compensation previously granted to individuals whose employment was terminated; and (iii) the settlement of certain contractual obligations.</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4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Incentive compensation expense pertaining to private equity transactions for which revenue may be recognized in the future is excluded in order to more closely align the timing of the recognition of such expense to the timing of the recognition of the related revenue.</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base salaries and benefits of $530,399, $515,769 and $506,454 for 2013, 2012 and 2011, respectively, and cash incentive compensation of $368,540, $367,173 and $372,373 for the respective years.</w:t>
      </w:r>
    </w:p>
    <w:p>
      <w:pPr>
        <w:ind w:left="460" w:right="40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Grant date fair value of 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2014, 2013 and 2012 related to the 2013, 2012 and 2011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 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7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Non-Compensation Expense</w:t>
            </w: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w w:val="90"/>
              </w:rPr>
              <w:t>$476,472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$427,102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$410,946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(1,993)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(2,558)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staff reductions (b)</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Cost saving initiatives (b)</w:t>
            </w:r>
          </w:p>
        </w:tc>
        <w:tc>
          <w:tcPr>
            <w:tcW w:w="1160" w:type="dxa"/>
            <w:vAlign w:val="bottom"/>
            <w:gridSpan w:val="2"/>
          </w:tcPr>
          <w:p>
            <w:pPr>
              <w:jc w:val="right"/>
              <w:ind w:right="332"/>
              <w:spacing w:after="0"/>
              <w:rPr>
                <w:sz w:val="20"/>
                <w:szCs w:val="20"/>
                <w:color w:val="auto"/>
              </w:rPr>
            </w:pPr>
            <w:r>
              <w:rPr>
                <w:rFonts w:ascii="Arial" w:cs="Arial" w:eastAsia="Arial" w:hAnsi="Arial"/>
                <w:sz w:val="18"/>
                <w:szCs w:val="18"/>
                <w:color w:val="auto"/>
              </w:rPr>
              <w:t>(13,304)</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(2,589)</w:t>
            </w: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(c)</w:t>
            </w: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(54,087)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Provision relating to U.K. lease (d)</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Provision relating to LAI option (d)</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407,088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419,050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397,899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19.9%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3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Non-compensation costs in 2013 and 2012 associated with the cost saving initiatives and the first quarter 2012 staff reductions are excluded to enhance comparability of adjusted non-compensation expense between present, historical and future periods.</w:t>
      </w:r>
    </w:p>
    <w:p>
      <w:pPr>
        <w:ind w:left="460" w:right="5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pertaining to the refinancing of the 2015 Notes and the issuance of the 2020 Notes are excluded because of the non-operating nature of such transactions. See “—Liquidity and Capital Resources—</w:t>
      </w:r>
      <w:r>
        <w:rPr>
          <w:rFonts w:ascii="Arial" w:cs="Arial" w:eastAsia="Arial" w:hAnsi="Arial"/>
          <w:sz w:val="18"/>
          <w:szCs w:val="18"/>
          <w:i w:val="1"/>
          <w:iCs w:val="1"/>
          <w:color w:val="auto"/>
        </w:rPr>
        <w:t>Financing Activities</w:t>
      </w:r>
      <w:r>
        <w:rPr>
          <w:rFonts w:ascii="Arial" w:cs="Arial" w:eastAsia="Arial" w:hAnsi="Arial"/>
          <w:sz w:val="18"/>
          <w:szCs w:val="18"/>
          <w:color w:val="auto"/>
        </w:rPr>
        <w:t>.”</w:t>
      </w:r>
    </w:p>
    <w:p>
      <w:pPr>
        <w:ind w:left="460" w:right="320" w:hanging="452"/>
        <w:spacing w:after="0" w:line="32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charges are excluded due to the non-recurring nature of such items and to enhance comparability of adjusted non-compensation expense between present, historical and future periods (see Notes 12 and 18 of Notes to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From Operations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revenue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2,040,666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1,976,292</w:t>
            </w: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1,892,003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(1,196,546)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(1,217,738)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(1,168,193)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(407,088)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(419,050)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(397,899)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437,032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339,504</w:t>
            </w:r>
          </w:p>
        </w:tc>
        <w:tc>
          <w:tcPr>
            <w:tcW w:w="5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325,911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4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2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4160" w:type="dxa"/>
            <w:vAlign w:val="bottom"/>
            <w:gridSpan w:val="4"/>
          </w:tcPr>
          <w:p>
            <w:pPr>
              <w:jc w:val="right"/>
              <w:ind w:right="140"/>
              <w:spacing w:after="0"/>
              <w:rPr>
                <w:sz w:val="20"/>
                <w:szCs w:val="20"/>
                <w:color w:val="auto"/>
              </w:rPr>
            </w:pPr>
            <w:r>
              <w:rPr>
                <w:rFonts w:ascii="Arial" w:cs="Arial" w:eastAsia="Arial" w:hAnsi="Arial"/>
                <w:sz w:val="18"/>
                <w:szCs w:val="18"/>
                <w:color w:val="auto"/>
              </w:rPr>
              <w:t>50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4160" w:type="dxa"/>
            <w:vAlign w:val="bottom"/>
            <w:gridSpan w:val="4"/>
          </w:tcPr>
          <w:p>
            <w:pPr>
              <w:jc w:val="right"/>
              <w:ind w:right="140"/>
              <w:spacing w:after="0"/>
              <w:rPr>
                <w:sz w:val="20"/>
                <w:szCs w:val="20"/>
                <w:color w:val="auto"/>
              </w:rPr>
            </w:pPr>
            <w:r>
              <w:rPr>
                <w:rFonts w:ascii="Arial" w:cs="Arial" w:eastAsia="Arial" w:hAnsi="Arial"/>
                <w:sz w:val="18"/>
                <w:szCs w:val="18"/>
                <w:color w:val="auto"/>
              </w:rPr>
              <w:t>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8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368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80" w:type="dxa"/>
            <w:vAlign w:val="bottom"/>
            <w:vMerge w:val="restart"/>
          </w:tcPr>
          <w:p>
            <w:pPr>
              <w:jc w:val="right"/>
              <w:ind w:right="2152"/>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of Notes to Consolidated Financial Statements for additional financial information on a geographic basis.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2013(a)</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6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gridSpan w:val="2"/>
            <w:vMerge w:val="continue"/>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1,082</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1,092</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1,102</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1,165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1,197</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2,403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2,513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2,511</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1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2013, the headcount reductions relating to the cost saving initiatives were substantially complete. Such reductions have been partially offset by additional investments and, in the case of managing directors, by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2013 of $183 million, as compared to net income of $88 million in 2012. The changes in the Company’s operating results during these years are described below.</w:t>
      </w:r>
    </w:p>
    <w:p>
      <w:pPr>
        <w:spacing w:after="0" w:line="13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Net revenue in 2013 increased $76 million, or 4%, with operating revenue increasing $64 million, or 3%, as compared to 2012. Fee revenue from investment banking and other advisory activities decreased $67 million, or 6%, primarily due to decreases in Restructuring revenue and M&amp;A and Other Advisory fees. The decline in Restructuring revenue was attributable to the closing of several large assignments during 2012, and was consistent with the industry-wide low level of corporate restructuring activity. The decrease in M&amp;A and Other Advisory fee revenue was primarily due to a lower number of completed transactions involving fees greater than $1 million in 2013 as compared to 2012, which included significant fees related to Sovereign Advisory and reflected a higher level of activity in our Lazard Middle Market business. Money management fees, including incentive fees, increased $136 million, or 16%, principally reflecting a $18 billion, or 12%, increase in average AUM as compared to 2012. In the aggregate, interest income, other revenue and interest expense reflected an increase in net revenue of $7 million as compared to 2012. Such increase was primarily due to higher transaction based commission revenue as a result of increased market activity in 2013, and a decrease in interest expense as a result of the refinancing of the 2015 Notes.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Compensation and benefits expense in 2013 decreased $73 million, or 5%, compared to 2012, and included a $51 million charge related to the cost saving initiatives and a $12 million charge related to private equity incentive compensation, as compared to an aggregate $122 million charge related to the cost saving initiatives and staff reductions in 2012.</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$1.197 billion in 2013, a decrease of $21 million, or 2%, when compared to $1.218 billion in 2012, primarily driven by lower headcount related to the cost saving initiatives and, as described below, reduced amortization expense related to 2008 deferred compensation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 “2008 grant”). The ratio of adjusted compensation and benefits expense to operating revenue was reduced to 58.6% for 2013, as compared to 61.6% for 2012, despite a 3% increase in operating revenue in 2013. Awarded compensation and benefits expense in 2013 was $1.187 billion, an increase of $16 million, or 1%, when compared to $1.171 billion in 2012. The ratio of awarded compensation and benefits expense to operating revenue was reduced to 58.2% for 2013, as compared to 59.3% for 2012. The grant date fair value of year-end deferred incentive awards for 2013 was $291 million, representing a $19 million, or 7%, increase compared to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amortization of deferred incentive compensation awards related to 2010, 2011 and 2012 was $298 million for 2013, a decrease of $37 million as compared to $335 million for 2012. The lower level of amortization expense was primarily attributable to the 2008 grant. The 2008 grant had a comparatively longer, four-year vesting period and, together with compensation awards related to 2009, 2010 and 2011 deferred compensation, affected amortization expense for the full year of 2012. The 2008 grant was fully vested on March 1, 2013.</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Non-compensation expense in 2013 increased $49 million, or 12%, as compared to 2012 and included a charge of $13 million related to the cost saving initiatives and $54 million related to the refinancing of the 2015 Notes and the issuance of the 2020 Notes, as compared to an aggregate charge of $5 million related to the cost saving initiatives and staff reductions in 2012. When excluding such charges, as well as non-compensation costs relating to noncontrolling interests, adjusted non-compensation expense in 2013 decreased $13 million, or 3%, as compared to 2012, primarily due to decreases in (i) marketing and business development expense associated with lower expenses for travel and other business development and (ii) technology expense for telecommunications and market data, all primarily attributable to the cost saving initiatives. Other contributing factors were reduced deal-related costs, which were higher in 2012 as a result of transactions that closed during that period. Such decreases were partially offset by increased investments in technology, and higher mutual fund servicing fees primarily related to the increase in higher average AUM. The ratio of adjusted non-compensation expense to operating revenue was 19.9% in 2013 versus 21.2% in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$2 million, as compared to 2012.</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Operating income in 2013 (including the charges relating to the cost saving initiatives, private equity incentive compensation and the refinancing of the 2015 Notes of $64 million, $12 million and $54 million, respectively) increased $97 million, or 80%, as compared to 2012 (including the charges relating to the cost saving initiatives and staff reductions of $103 million and $25 million, respectively, in 2012). Operating income, as a percentage of net revenue, was 11.0%, as compared to 6.4% in 2012.</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Earnings from operations increased $98 million, or 29%, when compared to 2012, and, as a percentage of operating revenue, was 21.4% in 2013, as compared to 17.2% in 2012.</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provision for income taxes increased $2 million, or 5%, when compared to 2012, and reflected an effective tax rate of 14.7%, as compared to 25.2% for 2012. The decrease in the effective tax rate is primarily reflective of the change in the geographic mix of earnings (see Note 17 of Notes to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2012 of $88 million, as compared to net income of $211 million in 2011. The changes in the Company’s operating results during these years are described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Net revenue in 2012 increased $75 million, or 4%, with operating revenue increasing $84 million, or 4%, respectively, as compared to 2011. Fee revenue from investment banking and other advisory activities increased $69 million, or 7%, primarily due to an increase in M&amp;A and Other Advisory fees, partially offset by a decrease in Restructuring fees. The increase in M&amp;A and Other Advisory fee revenue was primarily driven by the strong performance of Lazard Middle Market and the overall breadth and volume of our global M&amp;A and Sovereign Advisory businesses. Higher fees were earned from our top 10 clients during 2012, reflecting the closing of several significant M&amp;A and Sovereign Advisory transactions. The decrease in Restructuring fee revenue was generally in line with the industry-wide low level of corporate restructuring activity. Money management fees decreased $1 million during 2012. In the aggregate, interest income, other revenue and interest expense reflected an increase in net revenue of $7 million as compared to 2011. Such increase was principally due to increases in investment income (including a gain relating to the increase in market value of investments underlying Lazard Fund Interests, that correspond to changes in the related compensation and benefits expense for awards expected to vest), that was partially offset by decreases in other revenue due to the $18 million gain on the repurchase of the Company’s subordinated promissory note in 2011, as well as decreases in referral fees from LFCM Holdings and commissions.</w:t>
      </w:r>
    </w:p>
    <w:p>
      <w:pPr>
        <w:spacing w:after="0" w:line="12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Compensation and benefits expense in 2012 increased $182 million, or 16%, compared to 2011, which, in part, reflected a $22 million first quarter 2012 charge associated with staff reductions and a fourth quarter 2012 charge of $100 million related to the cost saving initiatives. Such charges primarily relate to severance costs and benefit payments, with $8 million and $22 million of the respective charges relating to the acceleration of unrecognized amortization expense of deferred incentive compensation previously granted to individuals being terminated. Amortization expense of previously granted deferred incentive compensation awards related to the 2008 grant, which, as described above, had a comparatively longer, four year vesting period, also contributed to the increase.</w:t>
      </w:r>
    </w:p>
    <w:p>
      <w:pPr>
        <w:spacing w:after="0" w:line="10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$1.218 billion in 2012, an increase of $50 million, or 4%, when compared to $1.168 billion in 2011. The ratio of adjusted compensation and benefits expense to operating revenue was reduced to 61.6% for 2012 as compared to 61.7% for 2011, despite the 4% increase in operating revenue during the same period. In 2012, amortization expense relating to the 2008 Grant represented approximately 2.0% of operating revenue. Awarded compensation and benefits expense in 2012 of $1.171 billion remained substantially unchanged when compared to $1.169 billion for 2011, despite the 4% increase in operating revenue during the same period. The ratio of awarded compensation and benefits expense to operating revenue was reduced to 59.3% in 2012 as compared to 61.8% for 2011. The grant date fair value of year-end deferred incentive compensation awards for 2012 was $272 million, representing a $10 million, or 4%, decrease compared to 2011.</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Amortization of deferred incentive compensation awards, excluding the above-mentioned charges of $8 million and $22 million relating to the first quarter 2012 staff reductions and fourth quarter 2012 cost saving initiatives, respectively, was $335 million in 2012, as compared to $289 million in 2011. Amortization expense during 2012 included approximately $40 million related to the 2008 grant, which had a four year vesting period, and is the only outstanding grant with a vesting period in excess of three years.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Non-compensation expense in 2012 increased $16 million, or 4%, as compared to 2011. Non-compensation expense in 2012 included a first quarter charge of $3 million associated with the staff reductions and a fourth quarter charge of an additional $3 million related to the cost saving initiatives, while the fourth quarter of 2011 included aggregate charges of $11 million related to the Company’s leased facilities in the U.K. and the write-off of the capitalized costs related to the Company’s option to acquire the fund management activities of Lazard Alternative Investment Holdings LLC (“LAI”). When excluding such charges, as well as non-compensation costs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relating to noncontrolling interests, adjusted non-compensation expense in 2012 increased $21 million, or 5%, primarily attributable to (i) higher occupancy costs in 2012 as a result of our amended lease and associated build-out costs of our Rockefeller Center facility, (ii) deal-related costs specifically related to transactions that closed in 2012 and (iii) investments in technology, with such increased costs partially offset by decreased professional fees, mutual fund servicing fees, travel and other expenses. The ratio of adjusted non-compensation expense to operating revenue was 21.2% in 2012 versus 21.0% for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or 30%, as compared to 2011.</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income in 2012 (including the charges that are described above relating to staff reductions and cost saving initiatives aggregating $25 million and $103 million, respectively) decreased $120 million, or 50%, as compared to operating income in 2011. Operating income, as a percentage of net revenue, was 6.4%, as compared to 13.2%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Earnings from operations increased $14 million, or 4%, when compared to 2011, and, as a percentage of operating revenue, was 17.2% in both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increased $3 million, or 12%, when compared to 2011, and reflected an effective tax rate of 25.2% as compared to 11.3% for 2011. The increase in the effective tax rate is primarily reflective of the geographic mix of earnings (see Note 17 of Notes to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was substantially unchanged compared to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768,790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792,928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700,539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Capital Raising</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78,916</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73,403</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847,706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866,331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794,364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Restructuring</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132,871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182,759</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197,743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980,577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1,049,090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992,107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Expenses (a)</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959,668</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1,057,620</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929,688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62,419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vMerge w:val="restart"/>
          </w:tcPr>
          <w:p>
            <w:pPr>
              <w:jc w:val="right"/>
              <w:ind w:right="1532"/>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 2013 and 2012, $47,779 and $77,532, respectively, associated with the implementation of the cost saving initiatives. All years include indirect support costs (including compensation and benefits expense and other operating expenses related thereto).</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2% increase in the value of all completed transactions in 2013 as compared to 2012, but a 17% decrease in the number of all completed transactions in 2013 as compared to 2012. For M&amp;A deals with values greater than $500 million, the value of completed transactions in 2013 increased 8% as compared to 2012, while the number of such deals decreased 1% as compared to 2012. Our M&amp;A and Other Advisory revenue (which includes Sovereign and Capital Advisory revenue) decreased 3% in 2013 as compared to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2013, 2012 or 2011.</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Dealogic as of January 6, 2014.</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decreased $19 million, or 2%, and Restructuring revenue decreased $50 million, or 27%, as compared to 2012.</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M&amp;A and Other Advisory revenue decreased $24 million, or 3%, while Capital Raising revenue increased by $5 million, or 8%, as compared to 2012. The decrease in M&amp;A and Other Advisory revenue was primarily due to a decrease in the number of M&amp;A and Other Advisory transactions involving fees greater than $1 million. Our major clients, which in the aggregate represented 25% of our M&amp;A and Other Advisory revenue for 2013, included 3G Capital, Ameristar Casinos, Amgen, Anheuser-Busch InBev, Cerberus Capital Management, D.E Master Blenders 1753, EADS, Independent Committee of Independent Non-Executive Directors of Eurasian Natural Resources Corporation, NV Energy, Piraeus Bank, Rockwood and Tenet Healthcare.</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reflected the closing of several large assignments in 2012. Our major clients, which in the aggregate represented 25% of our revenue in 2013, included Allied Pilots Association, Eastman Kodak and Exide Technologies.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expenses decreased $98 million, or 9%, as compared to 2012, and included a $47 million charge in 2013 and a $78 million charge in 2012 related to the cost saving initiatives. Excluding such charge, operating expenses decreased $68 million, or 7%. The primary contributors to the decrease were lower compensation and benefits expense due to lower operating revenue, headcount reductions related to the cost saving initiatives, reductions in amortization expense associated with deferred compensation awards, decreased travel and communications expense related to the cost saving initiatives and lower deal-related costs as a result of transactions that closed in 2013 as compared to 2012.</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Advisory operating income in 2013 was $21 million (including the impact of the $47 million charge related to the cost saving initiatives), an increase of $29 million as compared to operating loss of $9 million (including the impact of the $78 million charge related to the cost saving initiatives) in 2012 and, as a percentage of net revenue, was 2.1% as compared to (0.8)% in 2012. Excluding the impact of such charges in 2013 and 2012, operating income in 2013 was $68 million, or 7% of net revenue, and was substantially unchanged as compared to operating income in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$72 million, or 9%, and Restructuring revenue decreased $15 million, or 8%, as compared to 2011.</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M&amp;A and Other Advisory revenue increased $92 million, or 13%, as compared to 2011. Capital Raising revenue decreased $20 million, or 22%. The increase in M&amp;A and Other Advisory revenue was primarily due to the strong performance of Lazard Middle Market and a higher level of fees earned from our top 10 clients, reflecting the closing of several significant M&amp;A and Sovereign Advisory transactions. Our major clients, which in the aggregate represented 25% of our M&amp;A and Other Advisory revenue for the year, included Aeroporti di Roma, Azur Pharm, BTA Bank JSC, Caisse des Dépôts, Delphi Financial Group, GlaxoSmithKline, Google, Government of Greece, Medco Health Solutions, Pireaus Bank and Progress Energy. The decrease in Capital Raising revenue in 2012 was primarily attributable to a decrease in referral fees from LFCM Holdings and a decrease in private placement activity.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2012 was generally in line with the industry-wide low level of corporate restructuring activity. Notable assignments completed in 2012 included assignments for Cemex, Eastman Kodak, Lehman Brothers, NewPage Corporation and Tribune Company.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Operating expenses increased $128 million, or 14%, as compared to 2011. The primary contributors to the increase were a fourth quarter 2012 charge aggregating $78 million related to the cost saving initiatives, as well as higher levels of compensation and benefits expense (see the discussion regarding compensation and benefits expense described above under “Operating Results–Year Ended December 31, 2012 versus December 31, 2011”), transaction-related third party fees specifically related to transactions that closed in 2012 and occupancy costs as a result of our amended lease and associated buildout costs of our Rockefeller Center facility.</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Financial Advisory operating loss in 2012 was $9 million (with such amount including the impact of the $78 million charge related to the cost saving initiatives), a decrease of $71 million as compared to operating income of $62 million in 2011 and, as a percentage of net revenue, was (0.8)% as compared to 6.3% in 2011. Excluding the impact of such charge in 2012, operating income in 2012 was $69 million, an increase of $7 million, or 11%, as compared to operating income of $62 million in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34,988</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32,179</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29,028</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138,171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116,362</w:t>
            </w: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5,349</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186,924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167,060</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141,039</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Total AUM at December 31, 2013 was $187 billion, an increase of $20 billion, or 12%, as compared to total AUM of $167 billion at December 31, 2012, primarily due to market appreciation. Average AUM for the year ended December 31, 2013 was 12% higher than that for 2012.</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December 31, 2013, approximately 90% of our AUM was managed on behalf of institutional clients, including corporations, labor unions, public pension funds, insurance companies and banks, and through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2012.</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2013, AUM denominated in foreign currencies represented approximately 63% of our total AUM, as compared to 62% at December 31, 2012. Foreign denominated AUM generally declines in value with the strengthening of the U.S. Dollar and increases in value as the U.S. Dollar weakens, with all other factors held constant.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2013,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Inflows</w:t>
            </w: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6"/>
              </w:rPr>
              <w:t>Outflows</w:t>
            </w:r>
          </w:p>
        </w:tc>
        <w:tc>
          <w:tcPr>
            <w:tcW w:w="2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$138,171</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$26,518</w:t>
            </w: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5"/>
              </w:rPr>
              <w:t>$ (31,597)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$(5,079)</w:t>
            </w: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22,718</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6,725</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(3,318)</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(1,325)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34,306</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(36,240)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(1,934)</w:t>
            </w:r>
          </w:p>
        </w:tc>
        <w:tc>
          <w:tcPr>
            <w:tcW w:w="26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26,154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(4,356)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Global and Local equity platforms, and outflows in the Fixed Income asset class were primarily attributable to the Multi-Regional platform.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w w:val="85"/>
              </w:rPr>
              <w:t>Year Ended December 31, 2012</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AUM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Outflows</w:t>
            </w:r>
          </w:p>
        </w:tc>
        <w:tc>
          <w:tcPr>
            <w:tcW w:w="3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$ 116,362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$19,995</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(19,616)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17,750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6,649</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141,039</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27,343</w:t>
            </w: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(24,602)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$ 2,741</w:t>
            </w:r>
          </w:p>
        </w:tc>
        <w:tc>
          <w:tcPr>
            <w:tcW w:w="4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23,008</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8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w w:val="85"/>
              </w:rPr>
              <w:t>Year Ended December 31, 2011</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AUM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Beginning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Outflows</w:t>
            </w:r>
          </w:p>
        </w:tc>
        <w:tc>
          <w:tcPr>
            <w:tcW w:w="3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$131,300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$17,513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(19,765)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$ 116,362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17,144</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(3,664)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(485)</w:t>
            </w:r>
          </w:p>
        </w:tc>
        <w:tc>
          <w:tcPr>
            <w:tcW w:w="660" w:type="dxa"/>
            <w:vAlign w:val="bottom"/>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155,337</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24,114</w:t>
            </w: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(25,162)</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(9,753)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(3,497)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February 21, 2014, AUM was $185.2 billion, a $1.7 billion decrease since December 31, 2013. The decrease in AUM was due to market and foreign exchange depreciation of $2.8 billion, partially offset by net inflows of $1.1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Average AUM for the years ended December 31, 2013, 2012 and 2011 for each significant asset class is set forth below. Average AUM generally represents the average of the monthly ending AUM balances for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bottom w:val="single" w:sz="8" w:color="auto"/>
            </w:tcBorders>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left="58"/>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$ 143,923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$ 128,357</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$ 126,710</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18,069</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4,569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4,960</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5,782</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$ 173,702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$ 155,549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$ 152,072</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903,956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$806,044</w:t>
            </w:r>
          </w:p>
        </w:tc>
        <w:tc>
          <w:tcPr>
            <w:tcW w:w="7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$818,038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56,832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46,555</w:t>
            </w:r>
          </w:p>
        </w:tc>
        <w:tc>
          <w:tcPr>
            <w:tcW w:w="7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1,039,130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896,260</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704,045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659,502</w:t>
            </w:r>
          </w:p>
        </w:tc>
        <w:tc>
          <w:tcPr>
            <w:tcW w:w="7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628,945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236,758</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268,456</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2013 and 2012, includes $235 and $12,789, respectively, associated with the implementation of the cost saving initiatives, and in 2013, $12,203 relating to private equity compensation. All years include indirect support costs (including compensation and benefits expense and other operating expenses related thereto).</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24%, 23% and 22% of our total AUM at December 31, 2013, 2012 and 2011, respectively, and no individual client constituted more than 10% of our Asset Management segment net revenue during any of the respective years.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100" w:type="dxa"/>
            <w:vAlign w:val="bottom"/>
            <w:gridSpan w:val="2"/>
          </w:tcPr>
          <w:p>
            <w:pPr>
              <w:ind w:left="4940"/>
              <w:spacing w:after="0"/>
              <w:rPr>
                <w:sz w:val="20"/>
                <w:szCs w:val="20"/>
                <w:color w:val="auto"/>
              </w:rPr>
            </w:pPr>
            <w:r>
              <w:rPr>
                <w:rFonts w:ascii="Arial" w:cs="Arial" w:eastAsia="Arial" w:hAnsi="Arial"/>
                <w:sz w:val="16"/>
                <w:szCs w:val="16"/>
                <w:color w:val="auto"/>
                <w:w w:val="78"/>
              </w:rPr>
              <w:t>28</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78"/>
              </w:rPr>
              <w:t>10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560" w:type="dxa"/>
            <w:vAlign w:val="bottom"/>
            <w:vMerge w:val="restart"/>
          </w:tcPr>
          <w:p>
            <w:pPr>
              <w:jc w:val="right"/>
              <w:ind w:right="1974"/>
              <w:spacing w:after="0"/>
              <w:rPr>
                <w:sz w:val="20"/>
                <w:szCs w:val="20"/>
                <w:color w:val="auto"/>
              </w:rPr>
            </w:pPr>
            <w:r>
              <w:rPr>
                <w:rFonts w:ascii="Arial" w:cs="Arial" w:eastAsia="Arial" w:hAnsi="Arial"/>
                <w:sz w:val="18"/>
                <w:szCs w:val="18"/>
                <w:color w:val="auto"/>
              </w:rPr>
              <w:t>53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Asset Management net revenue increased $143 million, or 16%, as compared to 2012. Management fees increased $98 million, or 12%, as compared to 2012, reflecting an $18 billion, or 12%, increase in average AUM. Incentive fees increased $35 million, or 79%, as compared to 2012, primarily due to fees related to traditional investment products and to a lesser extent, alternative investment products. Other revenue increased $10 million, or 22%, as compared to 2012, primarily due to higher transaction based commission revenue as a result of increased market activity.</w:t>
      </w:r>
    </w:p>
    <w:p>
      <w:pPr>
        <w:spacing w:after="0" w:line="11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Operating expenses increased $45 million, or 7%, as compared to 2012, primarily due to an increase in compensation and benefits expense related to the increase in operating revenue, an increase in mutual fund servicing fees related to the growth in AUM and increased amortization of intangible assets related to Edgewater.</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Asset Management operating income in the 2013 period was $335 million, an increase of $98 million (including the impact of the $0.2 million charge relating to the cost saving initiatives and the $12 million charge pertaining to private equity incentive compensation), or 42%, compared to operating income of $237 million (including the impact of the $13 million charge related to the cost saving initiatives) in 2012 and, as a percentage of net revenue, was 32.2%, compared to 26.4% in 2012. Excluding the impact of such charges, operating income in 2013 was $347 million, an increase of $97 million, or 39%, as compared to operating income of $250 million in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Asset Management net revenue decreased $1 million as compared to 2011. Management fees decreased $12 million, or 1%, as compared to 2011, primarily driven by a change in the product mix of average AUM, partially offset by a 2% increase in average AUM. Incentive fees increased $17 million, or 66%, as compared to 2011, primarily due to fees related to alternative investment products. Other revenue decreased $7 million, or 12%, as compared to 2011, primarily due to a decline in commissions from an unusually strong 2011.</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Operating expenses increased $31 million, or 5%, as compared to 2011, due to a fourth quarter 2012 charge aggregating $13 million related to the cost saving initiatives, as well as an increase in compensation and benefits expense (see the discussion regarding compensation and benefits expense described above under “Operating Results—Year Ended December 31, 2012 versus December 31, 2011”) and higher occupancy costs in 2012 associated with our amended lease and build-out costs of our Rockefeller Center facility. These increases were partially offset by lower professional fees and fees for fund administration.</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Asset Management operating income in 2012 was $237 million (including the impact of the $13 million charge related to the cost saving initiatives), a decrease of $31 million, or 12%, as compared to operating income of $268 million in 2011 and, as a percentage of net revenue, was 26.4% as compared to 29.9% in 2011. Excluding the impact of such charge in 2012, operating income in 2012 was $250 million, a decrease of $18 million, or 7%, as compared to operating income of $268 million in 2011.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15,096</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(87,031)</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(91,309)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(77,481)</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(76,213)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41,848</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38,993</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(35,633)</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(37,220)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101,352</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69,415</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(136,985)</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(106,635)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(89,084)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 in 2013 and 2012, $16,689 and 12,255, respectively, associated with the implementation of the cost saving initiatives, (ii) in 2013, $54,087 relating to the refinancing of the 2015 Notes and the issuance of the 2020 Notes and (iii) in 2012, $24,659 relating to the staff reductions.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 million, or 2%, compared to 2012, primarily due to the refinancing of the 2015 Notes.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revenue increased $3 million, or 7%, compared to 2012, primarily due to a loss recorded in 2012 related to the sale of an intercompany receivable investment.</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Operating expenses increased $32 million, or 46%, compared to 2012, and included (i) in 2013 and 2012, charges of $17 million and $12 million, respectively, associated with the cost saving initiatives, (ii) in 2013, a charge of $54 million pertaining to the refinancing of the 2015 Notes, and (iii) in 2012, a charge of $25 million related to staff reductions. Excluding the impact of such charges in both periods, operating expenses in 2013 decreased $2 million as compared to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2%, as compared to 2011.</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Other revenue increased $17 million, primarily due to increased net investment gains in 2012, including an increase in the gain in the value of investments held in connection with Lazard Fund Interests of $11 million, partially offset by an $18 million gain in 2011 on the repurchase of the Company’s subordinated promissory note.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Operating expenses in 2012 (including the $25 million charge in the first quarter of 2012 relating to staff reductions and a fourth quarter 2012 charge aggregating $12 million related to the cost saving initiatives) increased $36 million. Excluding the impact of such charges, as well as aggregate charges of $11 million in 2011 relating to the Company’s leased facilities in the U.K. and the write-off of the capitalized costs relating to the Company’s option to acquire the fund management activities of LAI, operating expenses in 2012 increased $10 million, or 47%, as compared to 2011, primarily relating to (i) occupancy costs, as a result of our amended lease and associated build-out costs of our Rockefeller Center facility, (ii) compensation and benefits expense, including an increase in expense associated with Lazard Fund Interests and (iii) technology costs.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2013 by the refinancing of the 2015 Notes and the issuance of the 2020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2013 and 2012, the Company made cash payments, including severance payments, associated with the cost saving initiatives (see “Cost Saving Initiatives” above and Note 16 of Notes to Consolidated Financial Statements) and (ii) distributed additional amounts to members, which Lazard Ltd utilized to pay a special dividend in 2013 and 2012 and, in 2012, accelerated the payment of its fourth quarter dividend.</w:t>
      </w:r>
    </w:p>
    <w:p>
      <w:pPr>
        <w:sectPr>
          <w:pgSz w:w="11900" w:h="16838" w:orient="portrait"/>
          <w:cols w:equalWidth="0" w:num="1">
            <w:col w:w="11420"/>
          </w:cols>
          <w:pgMar w:left="240" w:top="459"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operating activities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Financing activities (c)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Beginning of Year</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the following: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Depreciation and amortization of property</w:t>
      </w:r>
    </w:p>
    <w:p>
      <w:pPr>
        <w:spacing w:after="0" w:line="15" w:lineRule="exact"/>
        <w:rPr>
          <w:rFonts w:ascii="Arial" w:cs="Arial" w:eastAsia="Arial" w:hAnsi="Arial"/>
          <w:sz w:val="18"/>
          <w:szCs w:val="18"/>
          <w:color w:val="auto"/>
        </w:rPr>
      </w:pPr>
    </w:p>
    <w:p>
      <w:pPr>
        <w:ind w:left="440" w:right="920"/>
        <w:spacing w:after="0" w:line="250" w:lineRule="auto"/>
        <w:rPr>
          <w:rFonts w:ascii="Arial" w:cs="Arial" w:eastAsia="Arial" w:hAnsi="Arial"/>
          <w:sz w:val="18"/>
          <w:szCs w:val="18"/>
          <w:color w:val="auto"/>
        </w:rPr>
      </w:pPr>
      <w:r>
        <w:rPr>
          <w:rFonts w:ascii="Arial" w:cs="Arial" w:eastAsia="Arial" w:hAnsi="Arial"/>
          <w:sz w:val="18"/>
          <w:szCs w:val="18"/>
          <w:color w:val="auto"/>
        </w:rPr>
        <w:t>Amortization of deferred expenses, share based incentive compensation and interest rate hedge Deferred tax provision (benefit)</w:t>
      </w:r>
    </w:p>
    <w:p>
      <w:pPr>
        <w:ind w:left="440" w:right="3680"/>
        <w:spacing w:after="0" w:line="281" w:lineRule="auto"/>
        <w:rPr>
          <w:rFonts w:ascii="Arial" w:cs="Arial" w:eastAsia="Arial" w:hAnsi="Arial"/>
          <w:sz w:val="18"/>
          <w:szCs w:val="18"/>
          <w:color w:val="auto"/>
        </w:rPr>
      </w:pPr>
      <w:r>
        <w:rPr>
          <w:rFonts w:ascii="Arial" w:cs="Arial" w:eastAsia="Arial" w:hAnsi="Arial"/>
          <w:sz w:val="16"/>
          <w:szCs w:val="16"/>
          <w:color w:val="auto"/>
        </w:rPr>
        <w:t>Amortization of intangible assets related to acquisitions Loss on sale of intercompany receivable</w:t>
      </w:r>
    </w:p>
    <w:p>
      <w:pPr>
        <w:spacing w:after="0" w:line="1" w:lineRule="exact"/>
        <w:rPr>
          <w:rFonts w:ascii="Arial" w:cs="Arial" w:eastAsia="Arial" w:hAnsi="Arial"/>
          <w:sz w:val="18"/>
          <w:szCs w:val="18"/>
          <w:color w:val="auto"/>
        </w:rPr>
      </w:pPr>
    </w:p>
    <w:p>
      <w:pPr>
        <w:ind w:left="440" w:right="5380"/>
        <w:spacing w:after="0" w:line="292" w:lineRule="auto"/>
        <w:rPr>
          <w:rFonts w:ascii="Arial" w:cs="Arial" w:eastAsia="Arial" w:hAnsi="Arial"/>
          <w:sz w:val="18"/>
          <w:szCs w:val="18"/>
          <w:color w:val="auto"/>
        </w:rPr>
      </w:pPr>
      <w:r>
        <w:rPr>
          <w:rFonts w:ascii="Arial" w:cs="Arial" w:eastAsia="Arial" w:hAnsi="Arial"/>
          <w:sz w:val="18"/>
          <w:szCs w:val="18"/>
          <w:color w:val="auto"/>
        </w:rPr>
        <w:t>Loss on extinguishment of debt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-1003935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-729615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6205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260"/>
        <w:spacing w:after="0"/>
        <w:tabs>
          <w:tab w:leader="none" w:pos="20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tbl>
      <w:tblPr>
        <w:tblLayout w:type="fixed"/>
        <w:tblInd w:w="0" w:type="dxa"/>
        <w:tblCellMar>
          <w:top w:w="0" w:type="dxa"/>
          <w:left w:w="0" w:type="dxa"/>
          <w:bottom w:w="0" w:type="dxa"/>
          <w:right w:w="0" w:type="dxa"/>
        </w:tblCellMar>
      </w:tblPr>
      <w:tr>
        <w:trPr>
          <w:trHeight w:val="174"/>
        </w:trPr>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86"/>
              </w:rPr>
              <w:t>($ in millions)</w:t>
            </w: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621"/>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60" w:type="dxa"/>
            <w:vAlign w:val="bottom"/>
          </w:tcPr>
          <w:p>
            <w:pPr>
              <w:spacing w:after="0"/>
              <w:rPr>
                <w:sz w:val="24"/>
                <w:szCs w:val="24"/>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r>
      <w:tr>
        <w:trPr>
          <w:trHeight w:val="216"/>
        </w:trPr>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401.6</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403.8</w:t>
            </w:r>
          </w:p>
        </w:tc>
      </w:tr>
      <w:tr>
        <w:trPr>
          <w:trHeight w:val="223"/>
        </w:trPr>
        <w:tc>
          <w:tcPr>
            <w:tcW w:w="1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(60.7)</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527.7</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(54.5)</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(84.9)</w:t>
            </w:r>
          </w:p>
        </w:tc>
      </w:tr>
      <w:tr>
        <w:trPr>
          <w:trHeight w:val="216"/>
        </w:trPr>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(492.6)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(464.6)</w:t>
            </w:r>
          </w:p>
        </w:tc>
      </w:tr>
      <w:tr>
        <w:trPr>
          <w:trHeight w:val="223"/>
        </w:trPr>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22"/>
        </w:trPr>
        <w:tc>
          <w:tcPr>
            <w:tcW w:w="1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(13.2)</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433"/>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845.5</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60" w:type="dxa"/>
            <w:vAlign w:val="bottom"/>
          </w:tcPr>
          <w:p>
            <w:pPr>
              <w:spacing w:after="0"/>
              <w:rPr>
                <w:sz w:val="24"/>
                <w:szCs w:val="24"/>
                <w:color w:val="auto"/>
              </w:rPr>
            </w:pPr>
          </w:p>
        </w:tc>
      </w:tr>
      <w:tr>
        <w:trPr>
          <w:trHeight w:val="223"/>
        </w:trPr>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60" w:type="dxa"/>
            <w:vAlign w:val="bottom"/>
          </w:tcPr>
          <w:p>
            <w:pPr>
              <w:spacing w:after="0"/>
              <w:rPr>
                <w:sz w:val="19"/>
                <w:szCs w:val="19"/>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1"/>
        </w:trPr>
        <w:tc>
          <w:tcPr>
            <w:tcW w:w="180" w:type="dxa"/>
            <w:vAlign w:val="bottom"/>
          </w:tcPr>
          <w:p>
            <w:pPr>
              <w:spacing w:after="0"/>
              <w:rPr>
                <w:sz w:val="24"/>
                <w:szCs w:val="24"/>
                <w:color w:val="auto"/>
              </w:rPr>
            </w:pPr>
          </w:p>
        </w:tc>
        <w:tc>
          <w:tcPr>
            <w:tcW w:w="24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168"/>
        </w:trPr>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auto"/>
                <w:w w:val="86"/>
              </w:rPr>
              <w:t>($ in millions)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03"/>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4"/>
                <w:szCs w:val="24"/>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309.2</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360.0</w:t>
            </w:r>
          </w:p>
        </w:tc>
      </w:tr>
      <w:tr>
        <w:trPr>
          <w:trHeight w:val="216"/>
        </w:trPr>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1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23"/>
        </w:trPr>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401.6</w:t>
            </w:r>
          </w:p>
        </w:tc>
        <w:tc>
          <w:tcPr>
            <w:tcW w:w="60" w:type="dxa"/>
            <w:vAlign w:val="bottom"/>
          </w:tcPr>
          <w:p>
            <w:pPr>
              <w:spacing w:after="0"/>
              <w:rPr>
                <w:sz w:val="19"/>
                <w:szCs w:val="19"/>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403.8</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040" w:space="720"/>
            <w:col w:w="266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distributions to members and noncontrolling interest holders, and activity relating to borrowings, including, in 2013, the refinancing of the 2015 Notes and issuance of the 2020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and 2012, liquidity also was impacted by cash payments, including severance payments, associated with the cost saving initiatives (see “Cost Saving Initiatives” above and Note 16 of Notes to Consolidated Financial Statements).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December 31, 2013, Lazard Group had approximately $832 million of cash, with such amount including approximately $422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2013, Lazard had approximately $258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$48 million (at December 31,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sets forth our corporate indebtedness as of December 31, 2013 and 2012. The agreements with respect to this indebtedness are discussed in more detail in our consolidated financial statements and related notes included elsewhere in this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180" w:type="dxa"/>
            <w:vAlign w:val="bottom"/>
          </w:tcPr>
          <w:p>
            <w:pPr>
              <w:jc w:val="center"/>
              <w:ind w:right="580"/>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180" w:type="dxa"/>
            <w:vAlign w:val="bottom"/>
          </w:tcPr>
          <w:p>
            <w:pPr>
              <w:jc w:val="center"/>
              <w:ind w:right="580"/>
              <w:spacing w:after="0" w:line="142"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2"/>
                <w:szCs w:val="12"/>
                <w:color w:val="auto"/>
              </w:rPr>
            </w:pPr>
          </w:p>
        </w:tc>
        <w:tc>
          <w:tcPr>
            <w:tcW w:w="5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3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(Decrease)</w:t>
            </w: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7.125%</w:t>
            </w:r>
          </w:p>
        </w:tc>
        <w:tc>
          <w:tcPr>
            <w:tcW w:w="1180" w:type="dxa"/>
            <w:vAlign w:val="bottom"/>
          </w:tcPr>
          <w:p>
            <w:pPr>
              <w:jc w:val="center"/>
              <w:ind w:right="580"/>
              <w:spacing w:after="0"/>
              <w:rPr>
                <w:sz w:val="20"/>
                <w:szCs w:val="20"/>
                <w:color w:val="auto"/>
              </w:rPr>
            </w:pPr>
            <w:r>
              <w:rPr>
                <w:rFonts w:ascii="Arial" w:cs="Arial" w:eastAsia="Arial" w:hAnsi="Arial"/>
                <w:sz w:val="18"/>
                <w:szCs w:val="18"/>
                <w:color w:val="auto"/>
                <w:w w:val="89"/>
              </w:rPr>
              <w:t>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528.5</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(528.5)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6.85%</w:t>
            </w:r>
          </w:p>
        </w:tc>
        <w:tc>
          <w:tcPr>
            <w:tcW w:w="1180" w:type="dxa"/>
            <w:vAlign w:val="bottom"/>
            <w:shd w:val="clear" w:color="auto" w:fill="CCEEFF"/>
          </w:tcPr>
          <w:p>
            <w:pPr>
              <w:jc w:val="center"/>
              <w:ind w:right="580"/>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4.25%</w:t>
            </w:r>
          </w:p>
        </w:tc>
        <w:tc>
          <w:tcPr>
            <w:tcW w:w="1180" w:type="dxa"/>
            <w:vAlign w:val="bottom"/>
          </w:tcPr>
          <w:p>
            <w:pPr>
              <w:jc w:val="center"/>
              <w:ind w:right="58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Senior Debt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1,048.4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1,076.9</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by issuing the 2020 Notes. The transactions resulted in a total refinancing pre-tax loss of $54 million, including the premium for tender or redemption, the recognition of unamortized issuance costs, the recognition of the unamortized amount of the interest rate hedge related to the 2015 Notes and a loss on an interest rate hedge relating to the 2020 Notes.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2013, Lazard Group was in compliance with such ratios, with its Consolidated Leverage Ratio being 1.63 to 1.00 and its Consolidated Interest Coverage Ratio being 9.51 to 1.00. In any event, no amounts were outstanding under the Credit Facility as of December 31, 2013.</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and subordinated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At December 31, 2013, total members’ equity was $536 million, as compared to $529 million and $718 million at December 31, 2012 and 2011, respectively, including $469 million, $453 million and $614 million attributable to Lazard Group on the respective dates. A summary of activity in members’ equity during the years ended December 31, 2013 and 2012 is reflected in the table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42"/>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r>
      <w:tr>
        <w:trPr>
          <w:trHeight w:val="283"/>
        </w:trPr>
        <w:tc>
          <w:tcPr>
            <w:tcW w:w="812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(a)</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Members’ Equity—End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 The amount of such settlements was $132 million and $45 million for the years ended December 31, 2013 and December 31, 2012, respectively. For the year ended December 31, 2012 this amount includes a conversion of certain share-based awards of $27 million to a liability.</w:t>
      </w:r>
    </w:p>
    <w:p>
      <w:pPr>
        <w:spacing w:after="0" w:line="3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Board of Directors of the Company has issued a series of authorizations to repurchase Class A common stock and Lazard Group common membership interests,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Share/Common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Years Ending December 31:</w:t>
            </w:r>
          </w:p>
        </w:tc>
        <w:tc>
          <w:tcPr>
            <w:tcW w:w="65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29"/>
        </w:trPr>
        <w:tc>
          <w:tcPr>
            <w:tcW w:w="1780" w:type="dxa"/>
            <w:vAlign w:val="bottom"/>
            <w:gridSpan w:val="2"/>
            <w:vMerge w:val="continue"/>
          </w:tcPr>
          <w:p>
            <w:pPr>
              <w:spacing w:after="0"/>
              <w:rPr>
                <w:sz w:val="11"/>
                <w:szCs w:val="11"/>
                <w:color w:val="auto"/>
              </w:rPr>
            </w:pPr>
          </w:p>
        </w:tc>
        <w:tc>
          <w:tcPr>
            <w:tcW w:w="65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6,135,189</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2012</w:t>
            </w:r>
          </w:p>
        </w:tc>
        <w:tc>
          <w:tcPr>
            <w:tcW w:w="7700" w:type="dxa"/>
            <w:vAlign w:val="bottom"/>
            <w:gridSpan w:val="2"/>
          </w:tcPr>
          <w:p>
            <w:pPr>
              <w:jc w:val="right"/>
              <w:spacing w:after="0"/>
              <w:rPr>
                <w:sz w:val="20"/>
                <w:szCs w:val="20"/>
                <w:color w:val="auto"/>
              </w:rPr>
            </w:pPr>
            <w:r>
              <w:rPr>
                <w:rFonts w:ascii="Arial" w:cs="Arial" w:eastAsia="Arial" w:hAnsi="Arial"/>
                <w:sz w:val="18"/>
                <w:szCs w:val="18"/>
                <w:color w:val="auto"/>
              </w:rPr>
              <w:t>12,817,196</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3,488,101</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2013, a total of $122 million of share repurchase capacity remained available under the authorizations, of which $22 million and $100 million will expire on December 31, 2014 and 2015, respectively.</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 13 and 14 of Notes to Consolidated Financial Statements for additional information regarding Lazard’s members’ equity and incentive plans,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 Regulation” included in this Form 10-K and Note 19 of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$ 1,328,567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$ 117,624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$ 609,631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542,500</w:t>
            </w: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Leases (exclusive of $155,547 of sublease income) (b)</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1,018,126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81,467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151,847</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134,762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650,050</w:t>
            </w: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27,135</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27,135</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$ 2,392,001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$ 170,635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$ 274,945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$ 753,871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1,192,550</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12 of Notes to Consolidated Financial Statements.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6 of Notes to Consolidated Financial Statements. These amounts are generally due on demand and therefore are presented in the “less than 1 year” category.</w:t>
      </w:r>
    </w:p>
    <w:p>
      <w:pPr>
        <w:ind w:left="460" w:right="6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12, 14, 15 and 17 of Notes to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Management’s discussion and analysis of our consolidated financial condition and results of operations are based upon our consolidated financial statements, which have been prepared in conformity with U.S. GAAP.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judgements regarding the carrying values of assets and liabilities, that are not readily apparent from other sources. Actual results may differ from these estimates.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tax assets and liabilities, any valuation allowance recorded against our net deferred tax assets and our unrecognized tax benefits. At December 31, 2013, the Company recorded gross deferred tax assets of approximately $242 million, with such amount partially offset by a valuation allowance of approximately $117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increased or reduced or is no longer necessary. A change in the valuation allowance would affect the provision for income taxes and could materially impact Lazard’s consolidated financial position and results of operations.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17 of Notes to Consolidated Financial Statements for additional information regarding income tax matters.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Investments consist primarily of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80" w:type="dxa"/>
            <w:vAlign w:val="bottom"/>
            <w:gridSpan w:val="3"/>
          </w:tcPr>
          <w:p>
            <w:pPr>
              <w:jc w:val="right"/>
              <w:ind w:right="452"/>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$ 118,535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$ 121,955</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5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181,088</w:t>
            </w:r>
          </w:p>
        </w:tc>
        <w:tc>
          <w:tcPr>
            <w:tcW w:w="120" w:type="dxa"/>
            <w:vAlign w:val="bottom"/>
            <w:shd w:val="clear" w:color="auto" w:fill="CCEEFF"/>
          </w:tcPr>
          <w:p>
            <w:pPr>
              <w:spacing w:after="0"/>
              <w:rPr>
                <w:sz w:val="18"/>
                <w:szCs w:val="18"/>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100,954</w:t>
            </w:r>
          </w:p>
        </w:tc>
        <w:tc>
          <w:tcPr>
            <w:tcW w:w="1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Short-term investments and other</w:t>
            </w:r>
          </w:p>
        </w:tc>
        <w:tc>
          <w:tcPr>
            <w:tcW w:w="15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 owned</w:t>
            </w:r>
          </w:p>
        </w:tc>
        <w:tc>
          <w:tcPr>
            <w:tcW w:w="1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116,049</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102,348</w:t>
            </w:r>
          </w:p>
        </w:tc>
        <w:tc>
          <w:tcPr>
            <w:tcW w:w="120" w:type="dxa"/>
            <w:vAlign w:val="bottom"/>
            <w:shd w:val="clear" w:color="auto" w:fill="CCEEFF"/>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278,172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283,436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5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Equity method (c)</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9,488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Lazard Fund Interests (e)</w:t>
            </w:r>
          </w:p>
        </w:tc>
        <w:tc>
          <w:tcPr>
            <w:tcW w:w="15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169,095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$ 466,542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$ 402,514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December 31, 2013 and 2012, seed investments in directly owned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Technology</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$18 million and $14 million as of December 31, 2013 and 2012,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4"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Composed of investments held in connection with Lazard Fund Interests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both December 31, 2013 and 2012, $116 million of our total investments at a fair value of $457 million and $396 million, respectively, or 25% and 29%, respectively, were classified as Level 3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Substantially all of our Level 3 investments at both dates are priced based on a NAV. During the years ended December 31, 2013 and 2012, gains of approximately $13 million and $16 million, respectively, were recognized in “revenue-other” on the consolidated statement of operations pertaining to Level 3 investments.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measured at fair value, including the levels of fair value within which such measurements of fair value fall.</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December 31, 2013 and December 31, 2012, the Company held seed investments of approximately $162 million and $181 million, respectively. Seed investments held in entities in which the Company maintained a controlling interest were $46 million in eight entities at both December 31, 2013 and 2012.</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year ended December 31, 2013, the Company did not consolidate or deconsolidate any seed investment entities. As such, 100% of the recorded balance of seed investments as of December 31, 2013 represented the Company’s economic interest in the seed investments. See “—Consolidation of Variable Interest Entities” below for more information on the Company’s policy regarding the consolidation of seed investment entities.</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9 of Notes to Consolidated Financial Statements for additional information regarding goodwill.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Lazard Fund Interests and other similar deferred compensation arrangements. The Company measures its net economic exposure to market and other risks arising from investments that it owns, excluding (i) investments held in connection with Lazard Fund Interests and other similar deferred compensation arrangements and (ii) investments in funds owned entirely by the noncontrolling interest holders of certain acquired entities.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Equity Market Price Risk—At December 31, 2013, the Company’s exposure to equity market price risk in its investment portfolio, which primarily relates to investments in equity securities, equity funds and hedge funds, was approximately $134 million. The Company hedges market exposure arising from a significant portion of our equity investment portfolios by entering into total return swaps. The Company estimates that a hypothetical 10% adverse change in market prices would result in a net decrease of approximately $1.7 million in the carrying value of such investments, including the effect of the hedging transactions.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Rate/Credit Spread Risk—At December 31, 2013, the Company’s exposure to interest rate and credit spread risk in its investment portfolio related to investments in debt securities or funds which invest primarily in debt securities was $37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$0.2 million in the carrying value of such investments, including the effect of the hedging transactions.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Foreign Exchange Rate Risk—At December 31, 2013, the Company’s exposure to foreign exchange rate risk in its investment portfolio, which primarily relates to investments in foreign currency denominated equity and debt securities, was $85 million. A significant portion of the Company’s foreign currency exposure is hedged through the aforementioned total return swaps, The Company estimates that a 10% adverse change in foreign exchange rates versus US dollars would result in a decrease of approximately $1.4 million in the carrying value of such investments, including the effect of the hedging transactions.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to certain legacy businesses. At December 31, 2013, the Company’s exposure to changes in fair value of such investments was approximately $104 million. The Company estimates that a hypothetical 10% adverse change in fair value would result in a decrease of approximately $10.4 million in the carrying value of such investments.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December 31, 2013, total receivables amounted to $623 million, net of an allowance for doubtful accounts of $29 million. As of that date, Financial Advisory and Asset Management fees, and customer and related party receivables comprised 73%, 8% and 19% of total receivables, respectively. At December 31, 2012, total receivables amounted to $583 million, net of an allowance for doubtful accounts of $23 million. As of that date, Financial Advisory and Asset Management fees, and customer and related party receivables comprised 69%, 9% and 22% of total receivables, respectively. At December 31, 2013 and 2012, the Company had receivables past due or deemed uncollectible of approximately $39 million and $26 million, respectively. See also “Critical Accounting Policies and Estimates—Revenue Recognition” above and Note 4 of Notes to Consolidated Financial Statements for additional information regarding receivables.</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2013 and 2012, customer receivables included $15 million and $14 million of LFB loans, respectively. Such loans are closely monitored for counterparty creditworthiness to help minimize exposure. In addition, as of December 31, 2013,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December 31, 2013 the Company’s largest individual counterparty exposure was a Financial Advisory fee receivable of $12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$1 million at both December 31, 2013 and 2012, respectively, and derivative liabilities, excluding the derivative liability arising from the Company’s obligation pertaining to Lazard Fund Interests and other similar deferred compensation arrangements, amounted to $2 million and $5 million at such respective dates.</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Lazard Fund Interests awards. Derivative liabilities relating to Lazard Fund Interests amounted to $162 million and $98 million at December 31, 2013 and 2012, respectively.</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December 31, 2013,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short-term investments generally have floating interest rates. Based on account balances as of December 31, 2013,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2013, the Company’s cash and cash equivalents totaled approximately $832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6"/>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7"/>
          </w:tcPr>
          <w:p>
            <w:pPr>
              <w:spacing w:after="0" w:line="136" w:lineRule="exact"/>
              <w:rPr>
                <w:rFonts w:ascii="Arial" w:cs="Arial" w:eastAsia="Arial" w:hAnsi="Arial"/>
                <w:sz w:val="15"/>
                <w:szCs w:val="15"/>
                <w:color w:val="0000EE"/>
              </w:rPr>
            </w:pPr>
            <w:hyperlink w:anchor="page72">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Public Accounting Firm</w:t>
              </w:r>
            </w:hyperlink>
          </w:p>
        </w:tc>
        <w:tc>
          <w:tcPr>
            <w:tcW w:w="556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71-72</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Financial Condition as of December 31, 2013 and 2012</w:t>
              </w:r>
            </w:hyperlink>
          </w:p>
        </w:tc>
        <w:tc>
          <w:tcPr>
            <w:tcW w:w="450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04"/>
        </w:trPr>
        <w:tc>
          <w:tcPr>
            <w:tcW w:w="4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Operations for the years ended December 31, 2013, 2012 and 2011</w:t>
              </w:r>
            </w:hyperlink>
          </w:p>
        </w:tc>
        <w:tc>
          <w:tcPr>
            <w:tcW w:w="3700" w:type="dxa"/>
            <w:vAlign w:val="bottom"/>
            <w:gridSpan w:val="5"/>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Comprehensive Income for the years ended December 31, 2013,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Consolidated Statements of Cash Flows for the years ended December 31, 2013, 2012 and 2011</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304"/>
        </w:trPr>
        <w:tc>
          <w:tcPr>
            <w:tcW w:w="440" w:type="dxa"/>
            <w:vAlign w:val="bottom"/>
          </w:tcPr>
          <w:p>
            <w:pPr>
              <w:spacing w:after="0"/>
              <w:rPr>
                <w:sz w:val="24"/>
                <w:szCs w:val="24"/>
                <w:color w:val="auto"/>
              </w:rPr>
            </w:pPr>
          </w:p>
        </w:tc>
        <w:tc>
          <w:tcPr>
            <w:tcW w:w="80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Changes in Members’ Equity for the years ended December 31, 2013, 2012 and 2011</w:t>
              </w:r>
            </w:hyperlink>
          </w:p>
        </w:tc>
        <w:tc>
          <w:tcPr>
            <w:tcW w:w="23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Notes to Consolidated Financial Statements</w:t>
              </w:r>
            </w:hyperlink>
          </w:p>
        </w:tc>
        <w:tc>
          <w:tcPr>
            <w:tcW w:w="7300" w:type="dxa"/>
            <w:vAlign w:val="bottom"/>
            <w:gridSpan w:val="1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64"/>
        </w:trPr>
        <w:tc>
          <w:tcPr>
            <w:tcW w:w="10820" w:type="dxa"/>
            <w:vAlign w:val="bottom"/>
            <w:gridSpan w:val="18"/>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33">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302"/>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Condensed Statements of Financial Condition as of December 31, 2013 and 2012</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Condensed Statements of Operations for the years ended December 31, 2013, 2012 and 2011</w:t>
              </w:r>
            </w:hyperlink>
          </w:p>
        </w:tc>
        <w:tc>
          <w:tcPr>
            <w:tcW w:w="3840" w:type="dxa"/>
            <w:vAlign w:val="bottom"/>
            <w:gridSpan w:val="7"/>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157">
              <w:r>
                <w:rPr>
                  <w:rFonts w:ascii="Arial" w:cs="Arial" w:eastAsia="Arial" w:hAnsi="Arial"/>
                  <w:sz w:val="18"/>
                  <w:szCs w:val="18"/>
                  <w:color w:val="0000EE"/>
                  <w:w w:val="86"/>
                </w:rPr>
                <w:t>Condensed Statements of Comprehensive Income for the years ended December 31, 2013, 2012 and 2011</w:t>
              </w:r>
            </w:hyperlink>
          </w:p>
        </w:tc>
        <w:tc>
          <w:tcPr>
            <w:tcW w:w="2940" w:type="dxa"/>
            <w:vAlign w:val="bottom"/>
            <w:gridSpan w:val="3"/>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Condensed Statements of Cash Flows for the years ended December 31, 2013, 2012 and 2011</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6580" w:type="dxa"/>
            <w:vAlign w:val="bottom"/>
            <w:tcBorders>
              <w:top w:val="single" w:sz="8" w:color="0000EE"/>
            </w:tcBorders>
            <w:gridSpan w:val="11"/>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Notes to Condensed Financial Statements</w:t>
              </w:r>
            </w:hyperlink>
          </w:p>
        </w:tc>
        <w:tc>
          <w:tcPr>
            <w:tcW w:w="3800" w:type="dxa"/>
            <w:vAlign w:val="bottom"/>
            <w:gridSpan w:val="6"/>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2013.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(1992). </w:t>
      </w:r>
      <w:r>
        <w:rPr>
          <w:rFonts w:ascii="Arial" w:cs="Arial" w:eastAsia="Arial" w:hAnsi="Arial"/>
          <w:sz w:val="18"/>
          <w:szCs w:val="18"/>
          <w:color w:val="auto"/>
        </w:rPr>
        <w:t>Based on management’s assessment and those criteria, management believes that the Company maintained effective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of December 31, 2013.</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2013, as stated in their report which appears under “Report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spacing w:after="0" w:line="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2013 of the Company, and our report dated February 27, 2014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Group LLC and subsidiaries (the “Company”) as of December 31, 2013 and 2012, and the related consolidated statements of operations, comprehensive income, cash flows, and changes in members’ equity for each of the three years in the period ended December 31, 2013.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Group LLC and subsidiaries at December 31, 2013 and 2012, and the results of their operations and their cash flows for each of the three years in the period ended December 31, 2013,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Control—Integrated Framework (1992)</w:t>
      </w:r>
      <w:r>
        <w:rPr>
          <w:rFonts w:ascii="Arial" w:cs="Arial" w:eastAsia="Arial" w:hAnsi="Arial"/>
          <w:sz w:val="18"/>
          <w:szCs w:val="18"/>
          <w:color w:val="auto"/>
        </w:rPr>
        <w:t xml:space="preserve"> issued by the Committee of Sponsoring Organizations of the Treadway Commission and our report dated February 27, 2014,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832,277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62,046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0"/>
              </w:rPr>
              <w:t>Receivables (net of allowance for doubtful accounts of $28,777 and $23,017 at December 31, 2013 and 2012, respectively):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452,535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622,617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466,542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402,514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$253,930 and $225,861 at December 31, 2013 and 2012,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248,795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$45,379 and $35,281 at December 31, 2013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respectively)</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363,877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3,093,988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3,048,380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275,434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202,919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2,557,862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2,519,293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0"/>
              </w:rPr>
              <w:t>Members’ equity (net of 5,744,856 and 10,230,729 shares of Lazard Ltd Class A common stock, at a cost of $194,873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and $295,442 at December 31, 2013 and 2012,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571,668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(102,196)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3,093,988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3,048,380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0"/>
              </w:rPr>
              <w:t>Year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972,533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1,039,188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$ 970,167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994,707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858,834</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84,077</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2,071,113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1,999,489</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91,359</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1,984,074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1,908,130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1,833,561</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1,278,479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1,351,076</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122,899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113,136</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89,288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86,892</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59,298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51,389</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80,114</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37,919</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1,765,065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1,786,537</w:t>
            </w:r>
          </w:p>
        </w:tc>
        <w:tc>
          <w:tcPr>
            <w:tcW w:w="4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219,009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121,593</w:t>
            </w: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241,791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30,622</w:t>
            </w:r>
          </w:p>
        </w:tc>
        <w:tc>
          <w:tcPr>
            <w:tcW w:w="4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186,767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90,971</w:t>
            </w: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214,383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4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183,063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87,609</w:t>
            </w: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$ 210,705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8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6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186,767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$ 90,971</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(3,421)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21,699</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(9,476)</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w w:val="93"/>
              </w:rPr>
              <w:t>Actuarial loss (net of tax benefit of $6,388, $12,950 and $12,526 for the years ended December 31,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2013, 2012 and 2011, respectively)</w:t>
            </w:r>
          </w:p>
        </w:tc>
        <w:tc>
          <w:tcPr>
            <w:tcW w:w="1100" w:type="dxa"/>
            <w:vAlign w:val="bottom"/>
            <w:gridSpan w:val="3"/>
          </w:tcPr>
          <w:p>
            <w:pPr>
              <w:jc w:val="right"/>
              <w:ind w:right="112"/>
              <w:spacing w:after="0"/>
              <w:rPr>
                <w:sz w:val="20"/>
                <w:szCs w:val="20"/>
                <w:color w:val="auto"/>
              </w:rPr>
            </w:pPr>
            <w:r>
              <w:rPr>
                <w:rFonts w:ascii="Arial" w:cs="Arial" w:eastAsia="Arial" w:hAnsi="Arial"/>
                <w:sz w:val="18"/>
                <w:szCs w:val="18"/>
                <w:color w:val="auto"/>
              </w:rPr>
              <w:t>(13,500)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(40,298)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Adjustments for items reclassified to earnings (net of tax expense of $1,929, $1,145 and $1,031 for the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2013, 2012 and 2011, respectively)</w:t>
            </w:r>
          </w:p>
        </w:tc>
        <w:tc>
          <w:tcPr>
            <w:tcW w:w="1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4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80" w:type="dxa"/>
            <w:vAlign w:val="bottom"/>
          </w:tcPr>
          <w:p>
            <w:pPr>
              <w:spacing w:after="0"/>
              <w:rPr>
                <w:sz w:val="20"/>
                <w:szCs w:val="20"/>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(9,814)</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(13,145)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(44,464)</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77,826</w:t>
            </w: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173,328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$ 74,468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166,476</w:t>
            </w: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186,767</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90,971</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30,855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309,229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359,983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8,359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benefit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Loss on sale of intercompany receivable</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5,638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(gain) on extinguishment of debt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50,757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58,570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11,613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(35,481)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112,809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52,956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(62,098)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(37,941)</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(62,463)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(60,973)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(30,927)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0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47,193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72,992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527,651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561,446</w:t>
            </w: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(60,964)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(89,300)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(46,438)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6,411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4,368</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(84,932)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(45,277)</w:t>
            </w: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60" w:type="dxa"/>
            <w:vAlign w:val="bottom"/>
          </w:tcPr>
          <w:p>
            <w:pPr>
              <w:ind w:left="860"/>
              <w:spacing w:after="0"/>
              <w:rPr>
                <w:sz w:val="20"/>
                <w:szCs w:val="20"/>
                <w:color w:val="auto"/>
              </w:rPr>
            </w:pPr>
            <w:r>
              <w:rPr>
                <w:rFonts w:ascii="Arial" w:cs="Arial" w:eastAsia="Arial" w:hAnsi="Arial"/>
                <w:sz w:val="14"/>
                <w:szCs w:val="14"/>
                <w:color w:val="auto"/>
              </w:rPr>
              <w:t>Contribution from noncontrolling interests</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1,741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13,328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493,398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Sale of intercompany receivable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and subordinated debt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(578,464)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(2,519)</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(22,507)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(132,477)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(332,095)</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(172,864)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60" w:type="dxa"/>
            <w:vAlign w:val="bottom"/>
          </w:tcPr>
          <w:p>
            <w:pPr>
              <w:ind w:left="860"/>
              <w:spacing w:after="0"/>
              <w:rPr>
                <w:sz w:val="20"/>
                <w:szCs w:val="20"/>
                <w:color w:val="auto"/>
              </w:rPr>
            </w:pPr>
            <w:r>
              <w:rPr>
                <w:rFonts w:ascii="Arial" w:cs="Arial" w:eastAsia="Arial" w:hAnsi="Arial"/>
                <w:sz w:val="14"/>
                <w:szCs w:val="14"/>
                <w:color w:val="auto"/>
              </w:rPr>
              <w:t>Distribution to members</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(125,516)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(140,278)</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(92,454)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(132,533)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(44,883)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(5,203)</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(492,544)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(464,639)</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(541,479)</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6,220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12,644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(203,808)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845,503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820,984</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1,024,792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EQUIVALENTS—December 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832,277</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845,503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820,984</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86,329</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88,235</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21,853</w:t>
            </w:r>
          </w:p>
        </w:tc>
        <w:tc>
          <w:tcPr>
            <w:tcW w:w="2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22,314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40,172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Members’</w:t>
            </w:r>
          </w:p>
        </w:tc>
        <w:tc>
          <w:tcPr>
            <w:tcW w:w="20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Members’</w:t>
            </w:r>
          </w:p>
        </w:tc>
        <w:tc>
          <w:tcPr>
            <w:tcW w:w="2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2011</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$ 404,588</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77"/>
              </w:rPr>
              <w:t>(35,023)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$ 490,447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210,705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210,705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comprehensive loss – net of tax</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(44,229)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(44,229)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275,142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275,142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9"/>
              </w:rPr>
              <w:t>Distributions to members and noncontrolling interests, net</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(92,454)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(92,454)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(20,402)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(172,864)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(172,864)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6"/>
              </w:rPr>
              <w:t>Delivery of Lazard Ltd Class A common stock in connection</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6"/>
              </w:rPr>
              <w:t>with share-based incentive compensation and related tax</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benefit of $972</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(92,778)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(92,778)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5"/>
              </w:rPr>
              <w:t>Repurchase of common membership interests from LAZ-MD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Delivery of Lazard Ltd Class A common stock</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103,567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103,567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Common membership interests issued</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53,486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53,486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Lazard Ltd Class A common stock issuable (including</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related amortization)</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5,201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2011(*)</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$ 693,596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(79,252)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614,344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103,923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$ 718,267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18"/>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23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Members’</w:t>
            </w:r>
          </w:p>
        </w:tc>
        <w:tc>
          <w:tcPr>
            <w:tcW w:w="200" w:type="dxa"/>
            <w:vAlign w:val="bottom"/>
          </w:tcPr>
          <w:p>
            <w:pPr>
              <w:spacing w:after="0"/>
              <w:rPr>
                <w:sz w:val="12"/>
                <w:szCs w:val="12"/>
                <w:color w:val="auto"/>
              </w:rPr>
            </w:pPr>
          </w:p>
        </w:tc>
        <w:tc>
          <w:tcPr>
            <w:tcW w:w="1220" w:type="dxa"/>
            <w:vAlign w:val="bottom"/>
            <w:gridSpan w:val="3"/>
          </w:tcPr>
          <w:p>
            <w:pPr>
              <w:jc w:val="center"/>
              <w:ind w:right="23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Members’</w:t>
            </w:r>
          </w:p>
        </w:tc>
        <w:tc>
          <w:tcPr>
            <w:tcW w:w="2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2012</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$ 693,596</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(79,252</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614,344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103,923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87,609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87,609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Other comprehensive loss – net of tax</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8"/>
              <w:spacing w:after="0"/>
              <w:rPr>
                <w:sz w:val="20"/>
                <w:szCs w:val="20"/>
                <w:color w:val="auto"/>
              </w:rPr>
            </w:pPr>
            <w:r>
              <w:rPr>
                <w:rFonts w:ascii="Arial" w:cs="Arial" w:eastAsia="Arial" w:hAnsi="Arial"/>
                <w:sz w:val="18"/>
                <w:szCs w:val="18"/>
                <w:color w:val="auto"/>
              </w:rPr>
              <w:t>(13,141)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(13,141)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310,348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310,348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Distributions to members and noncontrolling interests, net</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(140,278)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(140,278)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(20,766)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investment companies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(10,607)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(332,095)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(332,095)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(332,095)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Delivery of Lazard Ltd Class A common stock in connection</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with share-based incentive compensation and related tax</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of $972</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(45,855)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(45,855)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Modification of equity incentive compensation award</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(26,922)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(26,922)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Delivery of Lazard Ltd Class A common stock</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Lazard Ltd Class A common stock issuable (including</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related amortization)</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4,079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(5,195)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(5,195)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2012 (*)</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$ 545,572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(92,393)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453,179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75,908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$ 529,087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ind w:right="478"/>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618"/>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center"/>
              <w:ind w:right="49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Members’</w:t>
            </w:r>
          </w:p>
        </w:tc>
        <w:tc>
          <w:tcPr>
            <w:tcW w:w="260" w:type="dxa"/>
            <w:vAlign w:val="bottom"/>
          </w:tcPr>
          <w:p>
            <w:pPr>
              <w:spacing w:after="0"/>
              <w:rPr>
                <w:sz w:val="12"/>
                <w:szCs w:val="12"/>
                <w:color w:val="auto"/>
              </w:rPr>
            </w:pPr>
          </w:p>
        </w:tc>
        <w:tc>
          <w:tcPr>
            <w:tcW w:w="1480" w:type="dxa"/>
            <w:vAlign w:val="bottom"/>
            <w:gridSpan w:val="3"/>
          </w:tcPr>
          <w:p>
            <w:pPr>
              <w:jc w:val="center"/>
              <w:ind w:right="49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Members’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98"/>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$ 545,572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(92,393</w:t>
            </w:r>
          </w:p>
        </w:tc>
        <w:tc>
          <w:tcPr>
            <w:tcW w:w="58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453,179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75,908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183,063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183,063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186,767</w:t>
            </w: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38"/>
              <w:spacing w:after="0"/>
              <w:rPr>
                <w:sz w:val="20"/>
                <w:szCs w:val="20"/>
                <w:color w:val="auto"/>
              </w:rPr>
            </w:pPr>
            <w:r>
              <w:rPr>
                <w:rFonts w:ascii="Arial" w:cs="Arial" w:eastAsia="Arial" w:hAnsi="Arial"/>
                <w:sz w:val="18"/>
                <w:szCs w:val="18"/>
                <w:color w:val="auto"/>
              </w:rPr>
              <w:t>(9,735)</w:t>
            </w:r>
          </w:p>
        </w:tc>
        <w:tc>
          <w:tcPr>
            <w:tcW w:w="1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(9,735)</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(9,814)</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235,898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235,898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235,898</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w w:val="98"/>
              </w:rPr>
              <w:t>(125,516)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(125,516)</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(12,535)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(138,051)</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8"/>
              </w:rPr>
              <w:t>(132,477)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(132,477)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(132,477)</w:t>
            </w:r>
          </w:p>
        </w:tc>
      </w:tr>
      <w:tr>
        <w:trPr>
          <w:trHeight w:val="208"/>
        </w:trPr>
        <w:tc>
          <w:tcPr>
            <w:tcW w:w="492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with share-based incentive compensation and related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benefit of $40</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w w:val="98"/>
              </w:rPr>
              <w:t>(132,493)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(132,493)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(132,493)</w:t>
            </w: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Delivery of Lazard Ltd Class A common stock</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r>
      <w:tr>
        <w:trPr>
          <w:trHeight w:val="208"/>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Ltd Class A common stock issuable (including</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related amortization)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Adjustment related to noncontrolling interests</w:t>
            </w: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38"/>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(2,866)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(2,866)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(2,866)</w:t>
            </w: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2013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$ 571,668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(102,196</w:t>
            </w:r>
          </w:p>
        </w:tc>
        <w:tc>
          <w:tcPr>
            <w:tcW w:w="580" w:type="dxa"/>
            <w:vAlign w:val="bottom"/>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469,472</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66,654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129,766,090 common membership interests at December 31, 2011, 2012 and 2013. Also includes profit participation interests and two managing member interests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Lazard Ltd indirectly held approximately 99.5% and 98.8% of all outstanding Lazard Group common membership interests as of December 31, 2013 and 2012, respectively. Lazard Ltd, through its control of the managing members of Lazard Group, controls Lazard Group. LAZ-MD Holdings LLC (“LAZ-MD Holdings”), an entity owned by Lazard Group’s current and former managing directors, held approximately 0.5% and 1.2% of the outstanding Lazard Group common membership interests as of December 31, 2013 and 2012, respectively. Additionally, LAZ-MD Holdings was the sole owner of the one issued and outstanding share of Lazard Ltd’s Class B common stock (the “Class B common stock”) which provided LAZ-MD Holdings with approximately 0.5% and 1.2% of the voting power but no economic rights in Lazard Ltd as of December 31, 2013 and 2012,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26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$(2,564), $(673) and $1,387, respectively, for the years ended December 31, 2013, 2012 and 2011, and are included in “revenue-other” on the respective consolidated statements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90" w:lineRule="exact"/>
        <w:rPr>
          <w:sz w:val="20"/>
          <w:szCs w:val="20"/>
          <w:color w:val="auto"/>
        </w:rPr>
      </w:pPr>
    </w:p>
    <w:p>
      <w:pPr>
        <w:ind w:left="900" w:right="6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65"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i w:val="1"/>
          <w:iCs w:val="1"/>
          <w:color w:val="auto"/>
        </w:rPr>
        <w:t>Investments</w:t>
      </w:r>
      <w:r>
        <w:rPr>
          <w:rFonts w:ascii="Arial" w:cs="Arial" w:eastAsia="Arial" w:hAnsi="Arial"/>
          <w:sz w:val="16"/>
          <w:szCs w:val="16"/>
          <w:b w:val="1"/>
          <w:bCs w:val="1"/>
          <w:color w:val="auto"/>
        </w:rPr>
        <w:t>—</w:t>
      </w:r>
      <w:r>
        <w:rPr>
          <w:rFonts w:ascii="Arial" w:cs="Arial" w:eastAsia="Arial" w:hAnsi="Arial"/>
          <w:sz w:val="16"/>
          <w:szCs w:val="16"/>
          <w:color w:val="auto"/>
        </w:rPr>
        <w:t>Investments in debt and marketable equity securities held either directly, or indirectly through asset management funds, at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0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Investments also include interests in alternative investment funds and private equity funds, each accounted for at fair value, as well as investments accounted for under the equity method of accounting. Any increases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$34,750, $30,855 and $24,580 for the years ended December 31, 2013, 2012 and 2011,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b w:val="1"/>
          <w:bCs w:val="1"/>
          <w:i w:val="1"/>
          <w:iCs w:val="1"/>
          <w:color w:val="auto"/>
        </w:rPr>
        <w:t>Goodwill and Other Intangible Assets—</w:t>
      </w:r>
      <w:r>
        <w:rPr>
          <w:rFonts w:ascii="Arial" w:cs="Arial" w:eastAsia="Arial" w:hAnsi="Arial"/>
          <w:sz w:val="18"/>
          <w:szCs w:val="18"/>
          <w:color w:val="auto"/>
        </w:rPr>
        <w:t>As goodwill has an indefinite life, it is required to be tested for impairment annually or more frequently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impairment may have occurred. For years prior to 2011, the Company assessed whether any goodwill recorded by its applicable reporting units was impaired by comparing the fair value of each reporting unit with its respective carrying amount. In this process, Lazard used its best judgment and information available to it at the time to perform this review and utilized various valuation techniques in order to determine the applicable fair values. Commencing in 2011, as permitted under an amendment issued by the Financial Accounting Standards Board (the “FASB”), the Company elected to perform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the fourth quarter of 2013, the Company changed the date of its annual goodwill impairment testing from December 31 to November 1. This change is preferable because it provides the Company with additional time to complete the annual goodwill impairment test in advance of its year-end reporting. The Company will continue to perform interim impairment testing should circumstances or events require. This change does not result in a delay, acceleration, or avoidance of an impairment charge. This change will be applied prospectively because it is impracticable to apply it retrospectively due to the difficulty in making estimates and assumptions without using hindsight. The Company completed its annual goodwill review as of November 1, 2013 and determined that no impairment existed.</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flows expected to be generated from such asset on an undiscounted basis, including eventual disposition. An impairment loss would be measured for the amount by which the carrying amount of the intangible asset exceeds its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Consolidated Financial Statements with respect to goodwill and other intangible assets.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consolidated statements of operations.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(“Lazard Fund Interests”)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and other similar deferred compensation arrangements, which are reported in “revenue-other” in the consolidated statements of operations. For information regarding Lazard Fund Interests and other similar deferred compensation arrangements, see Notes 5, 7 and 14 of Notes to Consolidated Financial Statements.</w:t>
      </w:r>
    </w:p>
    <w:p>
      <w:pPr>
        <w:spacing w:after="0" w:line="112"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Deposits and Other Customer Payables</w:t>
      </w:r>
      <w:r>
        <w:rPr>
          <w:rFonts w:ascii="Arial" w:cs="Arial" w:eastAsia="Arial" w:hAnsi="Arial"/>
          <w:sz w:val="18"/>
          <w:szCs w:val="18"/>
          <w:b w:val="1"/>
          <w:bCs w:val="1"/>
          <w:color w:val="auto"/>
        </w:rPr>
        <w:t>—</w:t>
      </w:r>
      <w:r>
        <w:rPr>
          <w:rFonts w:ascii="Arial" w:cs="Arial" w:eastAsia="Arial" w:hAnsi="Arial"/>
          <w:sz w:val="18"/>
          <w:szCs w:val="18"/>
          <w:color w:val="auto"/>
        </w:rPr>
        <w:t>Principally relates to LFB customer-related demand and time deposits, both interest-bearing and non-interest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short-term inter-bank borrowings and amounts due on short-term collateralized borrowing activities. Collateralized borrowing activities amounted to $13,854 at December 31, 2012 and were fully collateralized with pledged assets of equal or greater value (no such collateralized borrowing activities existed at December 31, 2013).</w:t>
      </w:r>
    </w:p>
    <w:p>
      <w:pPr>
        <w:spacing w:after="0" w:line="14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equivalents, deposits with banks,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Other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2013, 2012 and 2011 are $18,327, $24,762 and $18,942, respectively.</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Revenue is 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8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Equity-Based Incentive Compensation Awards—</w:t>
      </w:r>
      <w:r>
        <w:rPr>
          <w:rFonts w:ascii="Arial" w:cs="Arial" w:eastAsia="Arial" w:hAnsi="Arial"/>
          <w:sz w:val="18"/>
          <w:szCs w:val="18"/>
          <w:color w:val="auto"/>
        </w:rPr>
        <w:t>Equity-based incentive compensation awards that do not require future service are expensed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Equity-based compensation awards that require future service are amortized over the applicable vesting period, or requisite service period, based on the fair value of the Company’s Class A common stock on the date of grant. Equity-based incentive compensation is recognized in “compensation and benefits” expense.</w:t>
      </w:r>
    </w:p>
    <w:p>
      <w:pPr>
        <w:spacing w:after="0" w:line="13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i w:val="1"/>
          <w:iCs w:val="1"/>
          <w:color w:val="auto"/>
        </w:rPr>
        <w:t>Costs-Saving Initiatives and Staff Reductions</w:t>
      </w:r>
      <w:r>
        <w:rPr>
          <w:rFonts w:ascii="Arial" w:cs="Arial" w:eastAsia="Arial" w:hAnsi="Arial"/>
          <w:sz w:val="16"/>
          <w:szCs w:val="16"/>
          <w:b w:val="1"/>
          <w:bCs w:val="1"/>
          <w:color w:val="auto"/>
        </w:rPr>
        <w:t>—</w:t>
      </w:r>
      <w:r>
        <w:rPr>
          <w:rFonts w:ascii="Arial" w:cs="Arial" w:eastAsia="Arial" w:hAnsi="Arial"/>
          <w:sz w:val="16"/>
          <w:szCs w:val="16"/>
          <w:color w:val="auto"/>
        </w:rPr>
        <w:t>Charges associated with management-approved cost-saving plans or staff reductions can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09"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Substantially all of Lazard’s operations outside the U.S. are conducted in “pass-through” entities for U.S. income tax purposes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provides for U.S. income taxes on a current basis for substantially all of those earnings. The repatriation of prior year earnings attributable to “non-pass-through” entities would not result in the recognition of a material amount of additional U.S. income taxes.</w:t>
      </w:r>
    </w:p>
    <w:p>
      <w:pPr>
        <w:spacing w:after="0" w:line="10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 A deferred tax asset is recognized if it is more likely than not (defined as a likelihood of greater than 50%) that a tax benefit will be accepted by a taxing authority.</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nature, frequency, and magnitude of any recent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“income tax expense”. See Note 17 of Notes to Consolidated Financial Statements for additional information relating to income taxes.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amount of cash paid during the year for income taxes shown on the consolidated statements of cash flows for the years ended December 31, 2012 and 2011 has been conformed to the current year presentation, which is net of refunds.</w:t>
      </w:r>
    </w:p>
    <w:p>
      <w:pPr>
        <w:spacing w:after="0" w:line="25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Offsetting (Netting) Assets and Liabilities</w:t>
      </w:r>
      <w:r>
        <w:rPr>
          <w:rFonts w:ascii="Arial" w:cs="Arial" w:eastAsia="Arial" w:hAnsi="Arial"/>
          <w:sz w:val="16"/>
          <w:szCs w:val="16"/>
          <w:color w:val="auto"/>
        </w:rPr>
        <w:t>—In the first quarter of 2013, the Company adopted the new disclosure requirements issued by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 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FASB issued guidance on the presentation of unrecognized tax benefits when net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early adopt this guidance in the fourth quarter of 2013, the impact of which did not have a material impact on the Company’s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years ended December 31, 2013, 2012 and 2011 was as follows:</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6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$19,450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Bad debt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4,395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6,579</w:t>
            </w:r>
          </w:p>
        </w:tc>
        <w:tc>
          <w:tcPr>
            <w:tcW w:w="5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Balance, December 31</w:t>
            </w: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28,777</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23,017</w:t>
            </w:r>
          </w:p>
        </w:tc>
        <w:tc>
          <w:tcPr>
            <w:tcW w:w="50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19,450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and 2012, the Company had receivables past due or deemed uncollectible of $39,341 and $25,604, respectively.</w:t>
      </w:r>
    </w:p>
    <w:p>
      <w:pPr>
        <w:spacing w:after="0" w:line="19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Of the Company’s fee receivables at December 31, 2013 and 2012, $69,464 and $76,481, respectively, represented interest-bearing financing receivables. In addition, at December 31, 2013 and December 31, 2012, the Company had interest-bearing related party receivables of $108,204 and $101,833,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$444,949 and $404,316 at December 31, 2013 and 2012, respectively, approximates fair value.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60"/>
          </w:cols>
          <w:pgMar w:left="240" w:top="459" w:right="3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$516 and $578, respectively)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59,394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19,918</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190,702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r>
      <w:tr>
        <w:trPr>
          <w:trHeight w:val="229"/>
        </w:trPr>
        <w:tc>
          <w:tcPr>
            <w:tcW w:w="20" w:type="dxa"/>
            <w:vAlign w:val="bottom"/>
          </w:tcPr>
          <w:p>
            <w:pPr>
              <w:spacing w:after="0"/>
              <w:rPr>
                <w:sz w:val="19"/>
                <w:szCs w:val="19"/>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389,131</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344,562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466,542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402,514</w:t>
            </w: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456,538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394,924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$7,099, $31,515 and $130,481, respectively, at December 31, 2013 and $5,054, $18,615 and $76,907, respectively, at December 31, 2012, held in order to satisfy the Company’s liability upon vesting of previously granted Lazard Fund Interests and other similar deferred compensation arrangements. Lazard Fund Interests represent grants by the Company to eligible employees of actual or notional interests in a number of Lazard-managed funds (see Notes 7 and 14 of Notes to Consolidated Financial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funds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$9,787 and $11,490 at December 31, 2013 and 2012, respectively (see Note 12 of Notes to Consolidated Financial Statements).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Company reported in revenue-other on its consolidated statements of operations gross unrealized investment gains and losses pertaining to “trading” securities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12,332</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funds valued based on NAV or its equivalent that are not redeemable within the near term are classified as Level 3.</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equity and fixed income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7 of Notes to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classification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47,206</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297,597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457,220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211,390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395,857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2013, 2012 and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Year Ended December 31, 2013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Included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00" w:type="dxa"/>
            <w:vAlign w:val="bottom"/>
          </w:tcPr>
          <w:p>
            <w:pPr>
              <w:spacing w:after="0"/>
              <w:rPr>
                <w:sz w:val="12"/>
                <w:szCs w:val="12"/>
                <w:color w:val="auto"/>
              </w:rPr>
            </w:pPr>
          </w:p>
        </w:tc>
        <w:tc>
          <w:tcPr>
            <w:tcW w:w="82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Other (a)</w:t>
            </w:r>
          </w:p>
        </w:tc>
        <w:tc>
          <w:tcPr>
            <w:tcW w:w="20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95"/>
              </w:rPr>
              <w:t>Acquisitions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Disposition</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1,095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(19,231)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920" w:type="dxa"/>
            <w:vAlign w:val="bottom"/>
            <w:gridSpan w:val="6"/>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116,101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13,373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7,261</w:t>
            </w:r>
          </w:p>
        </w:tc>
        <w:tc>
          <w:tcPr>
            <w:tcW w:w="122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(22,815)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1,613</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Included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10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112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1"/>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Other (a)</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(6,844)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122,718</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4"/>
              </w:rPr>
              <w:t>8,589</w:t>
            </w: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(35,796)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133,100</w:t>
            </w:r>
          </w:p>
        </w:tc>
        <w:tc>
          <w:tcPr>
            <w:tcW w:w="1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16,118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8,599</w:t>
            </w:r>
          </w:p>
        </w:tc>
        <w:tc>
          <w:tcPr>
            <w:tcW w:w="100" w:type="dxa"/>
            <w:vAlign w:val="bottom"/>
          </w:tcPr>
          <w:p>
            <w:pPr>
              <w:spacing w:after="0"/>
              <w:rPr>
                <w:sz w:val="19"/>
                <w:szCs w:val="19"/>
                <w:color w:val="auto"/>
              </w:rPr>
            </w:pPr>
          </w:p>
        </w:tc>
        <w:tc>
          <w:tcPr>
            <w:tcW w:w="980" w:type="dxa"/>
            <w:vAlign w:val="bottom"/>
            <w:gridSpan w:val="5"/>
          </w:tcPr>
          <w:p>
            <w:pPr>
              <w:jc w:val="right"/>
              <w:ind w:right="32"/>
              <w:spacing w:after="0"/>
              <w:rPr>
                <w:sz w:val="20"/>
                <w:szCs w:val="20"/>
                <w:color w:val="auto"/>
              </w:rPr>
            </w:pPr>
            <w:r>
              <w:rPr>
                <w:rFonts w:ascii="Arial" w:cs="Arial" w:eastAsia="Arial" w:hAnsi="Arial"/>
                <w:sz w:val="18"/>
                <w:szCs w:val="18"/>
                <w:color w:val="auto"/>
              </w:rPr>
              <w:t>$ (42,670)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954</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Year Ended December 31, 2011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6"/>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Included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10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112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1"/>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Other (a)</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(195)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10,340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163,482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(3,319)</w:t>
            </w:r>
          </w:p>
        </w:tc>
        <w:tc>
          <w:tcPr>
            <w:tcW w:w="44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33,117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color w:val="auto"/>
                <w:w w:val="89"/>
              </w:rPr>
              <w:t>(69,218)(b)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(3,416)</w:t>
            </w: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93"/>
              </w:rPr>
              <w:t>$  43,482</w:t>
            </w: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 (69,413)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Earnings for the years ended December 31, 2013, 2012 and 2011 include net unrealized gains (losses) of $6,032, $12,910 and $(3,268), respectively.</w:t>
      </w:r>
    </w:p>
    <w:p>
      <w:pPr>
        <w:spacing w:after="0" w:line="23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Sales/dispositions of private equity fund investments for the year ended December 31, 2011 include $49,500 in connection with a reduction of interests in a fund which ceased to be consolidated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2013 and 2012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512"/>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88"/>
              </w:rPr>
              <w:t>Fair Value Measurements Using: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Quoted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Prices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Active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Markets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Identical</w:t>
            </w:r>
          </w:p>
        </w:tc>
        <w:tc>
          <w:tcPr>
            <w:tcW w:w="58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832,277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832,277</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$832,277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244,879</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244,879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62,046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62,046</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62,046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71,433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Interest-bearing deposits (included within investments)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516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6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275,434</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$275,434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1,048,350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7"/>
              </w:rPr>
              <w:t>1,117,247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1,117,247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92"/>
              <w:spacing w:after="0"/>
              <w:rPr>
                <w:sz w:val="20"/>
                <w:szCs w:val="20"/>
                <w:color w:val="auto"/>
              </w:rPr>
            </w:pPr>
            <w:r>
              <w:rPr>
                <w:rFonts w:ascii="Arial" w:cs="Arial" w:eastAsia="Arial" w:hAnsi="Arial"/>
                <w:sz w:val="14"/>
                <w:szCs w:val="14"/>
                <w:b w:val="1"/>
                <w:bCs w:val="1"/>
                <w:color w:val="auto"/>
                <w:w w:val="87"/>
              </w:rPr>
              <w:t>December 31, 2012</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7"/>
              </w:rPr>
              <w:t>Fair Value Measurements Using: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Quoted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Prices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Active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Markets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for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Identical</w:t>
            </w:r>
          </w:p>
        </w:tc>
        <w:tc>
          <w:tcPr>
            <w:tcW w:w="58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845,503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845,503</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$845,503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292,494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292,494</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292,494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65,232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65,232</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65,232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76,481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Interest-bearing deposits (included within investments)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578</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269,763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269,763</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$269,763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4"/>
              </w:rPr>
              <w:t>1,076,850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1,207,227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1,207,227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 Money market funds are valued through the use of quoted market prices, or $1.00 per share, which generally is the NAV of the fund.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carrying value of deposits with banks, and cash deposited with clearing organizations and other segregated cash, approximates fair value because of the relatively short period of time between their origination and expected maturity.</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71"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b w:val="1"/>
          <w:bCs w:val="1"/>
          <w:i w:val="1"/>
          <w:iCs w:val="1"/>
          <w:color w:val="auto"/>
        </w:rPr>
        <w:t>Fair Value of Certain Investments Based on NAV</w:t>
      </w:r>
      <w:r>
        <w:rPr>
          <w:rFonts w:ascii="Arial" w:cs="Arial" w:eastAsia="Arial" w:hAnsi="Arial"/>
          <w:sz w:val="15"/>
          <w:szCs w:val="15"/>
          <w:color w:val="auto"/>
        </w:rPr>
        <w:t>—The Company’s Level 2 and Level 3 investments at December 31, 2013 and 2012 include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that are valued using NAV or its equivalent as a practical expedient in determining fair value. Information with respect thereto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December 31, 2012</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6"/>
          </w:tcPr>
          <w:p>
            <w:pPr>
              <w:ind w:left="20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2460" w:type="dxa"/>
            <w:vAlign w:val="bottom"/>
            <w:gridSpan w:val="6"/>
          </w:tcPr>
          <w:p>
            <w:pPr>
              <w:ind w:left="280"/>
              <w:spacing w:after="0"/>
              <w:rPr>
                <w:sz w:val="20"/>
                <w:szCs w:val="20"/>
                <w:color w:val="auto"/>
              </w:rPr>
            </w:pPr>
            <w:r>
              <w:rPr>
                <w:rFonts w:ascii="Arial" w:cs="Arial" w:eastAsia="Arial" w:hAnsi="Arial"/>
                <w:sz w:val="14"/>
                <w:szCs w:val="14"/>
                <w:b w:val="1"/>
                <w:bCs w:val="1"/>
                <w:color w:val="auto"/>
              </w:rPr>
              <w:t>Investments Not Redeemable</w:t>
            </w: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Investments Redeemable</w:t>
            </w: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3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Redeemable</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Years</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25,110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1000" w:type="dxa"/>
            <w:vAlign w:val="bottom"/>
          </w:tcPr>
          <w:p>
            <w:pPr>
              <w:spacing w:after="0"/>
              <w:rPr>
                <w:sz w:val="20"/>
                <w:szCs w:val="20"/>
                <w:color w:val="auto"/>
              </w:rPr>
            </w:pPr>
            <w:r>
              <w:rPr>
                <w:rFonts w:ascii="Arial" w:cs="Arial" w:eastAsia="Arial" w:hAnsi="Arial"/>
                <w:sz w:val="18"/>
                <w:szCs w:val="18"/>
                <w:color w:val="auto"/>
                <w:w w:val="98"/>
              </w:rPr>
              <w:t>&lt;30-90 days</w:t>
            </w: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9"/>
              </w:rPr>
              <w:t>&lt;30-120 days</w:t>
            </w: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1000" w:type="dxa"/>
            <w:vAlign w:val="bottom"/>
          </w:tcPr>
          <w:p>
            <w:pPr>
              <w:spacing w:after="0"/>
              <w:rPr>
                <w:sz w:val="20"/>
                <w:szCs w:val="20"/>
                <w:color w:val="auto"/>
              </w:rPr>
            </w:pPr>
            <w:r>
              <w:rPr>
                <w:rFonts w:ascii="Arial" w:cs="Arial" w:eastAsia="Arial" w:hAnsi="Arial"/>
                <w:sz w:val="18"/>
                <w:szCs w:val="18"/>
                <w:color w:val="auto"/>
                <w:w w:val="98"/>
              </w:rPr>
              <w:t>&lt;30-60 days</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1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w:t>
            </w:r>
          </w:p>
        </w:tc>
        <w:tc>
          <w:tcPr>
            <w:tcW w:w="2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1000" w:type="dxa"/>
            <w:vAlign w:val="bottom"/>
          </w:tcPr>
          <w:p>
            <w:pPr>
              <w:spacing w:after="0"/>
              <w:rPr>
                <w:sz w:val="20"/>
                <w:szCs w:val="20"/>
                <w:color w:val="auto"/>
              </w:rPr>
            </w:pPr>
            <w:r>
              <w:rPr>
                <w:rFonts w:ascii="Arial" w:cs="Arial" w:eastAsia="Arial" w:hAnsi="Arial"/>
                <w:sz w:val="18"/>
                <w:szCs w:val="18"/>
                <w:color w:val="auto"/>
                <w:w w:val="98"/>
              </w:rPr>
              <w:t>30-120 days</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31,482</w:t>
            </w:r>
          </w:p>
        </w:tc>
        <w:tc>
          <w:tcPr>
            <w:tcW w:w="102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21%</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61%</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179,417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weekly (20%), monthly (73%) and quarterly (7%)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monthly (2%) and quarterly (98%)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(60%), weekly (1%) and monthly (39%)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See Note 5 of Notes to Consolidated Financial Statements for discussion of significant investment strategies for investments with value based on NAV.</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2013,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from (i) commitments to CP II, which amounted to $1,940 for potential “follow-on investments” and/or for fund expenses through the earlier of February 25, 2017 or the liquidation of the fund, (ii) commitments to EGCP III, which amounted to $18,501,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$6,694,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commitment regarding EGCP III described above reflects a March 1, 2012 reduction of $17,400 from the Company’s original commitment of $50,000 that an investor group, owned by current and former managing directors, including certain of our executive officers, assumed from the Company. In connection with their assumption of this assumed commitment, each investor received a right to collect a portion of the Company’s carried interest arising from EGCP III, to the extent any such carried interest is actually received by the Company, equal to 20% of the profit earned by such investor on his or her investment.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tables below present the fair values of the Company’s derivative instruments reported within “other assets” and “other liabilities” and the fair value of the Company’s derivative liabilities relating to its obligation pertaining to Lazard Fund Interests and other similar deferred compensation arrangements (see Note 14 of Notes to Consolidated Financial Statements) on the accompanying consolidated statements of financial condition as of December 31, 2013 and 2012: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Equity and fixed income swaps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162,422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164,001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$2,019 and $1,587 as of December 31, 2013, respectively, and $0 and $4,342 as of December 31, 2012, respectively, for contracts with the same counterparty under legally enforceable master netting agreements. Such amounts are recorded “net” in “other assets”, with receivables for net cash collateral under such contracts of $11,384 and $15,304 as of December 31, 2013 and 2012,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consolidated statements of operations for the years ended December 31, 2013, 2012 and 2011,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currency exchange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2420"/>
        <w:spacing w:after="0" w:line="284" w:lineRule="auto"/>
        <w:rPr>
          <w:sz w:val="20"/>
          <w:szCs w:val="20"/>
          <w:color w:val="auto"/>
        </w:rPr>
      </w:pPr>
      <w:r>
        <w:rPr>
          <w:rFonts w:ascii="Arial" w:cs="Arial" w:eastAsia="Arial" w:hAnsi="Arial"/>
          <w:sz w:val="18"/>
          <w:szCs w:val="18"/>
          <w:color w:val="auto"/>
        </w:rPr>
        <w:t>Lazard Fund Interests and other similar deferred compensation arrangements Equity and fixed income swaps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right"/>
        <w:ind w:right="20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r>
      <w:tr>
        <w:trPr>
          <w:trHeight w:val="215"/>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(3,162)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2,422</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(14,099)</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(11,853)</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(16,514)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5,045</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(29,114)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(25,915)</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10,491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7840" w:space="720"/>
            <w:col w:w="286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2013 and 2012,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$173,772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$166,560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175,600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149,597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3,756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502,725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253,930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2013 and 2012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363,877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392,822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2013 and 2012, goodwill of $280,912 and $299,787,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2013, 2012 and 2011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7"/>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$364,328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$356,657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Business acquisitions, including, in the 2011 period, additional contingent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consideration earned relating to a prior year business acquisition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345,453</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364,328</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During the fourth quarter of 2013, the Company changed its annual impairment evaluation date from December 31 to November 1. Pursuant to the Company’s goodwill impairment review for the years ended December 31, 2013, 2012 and 2011, the Company determined that no impairment existed.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00"/>
          </w:cols>
          <w:pgMar w:left="24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2013 and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of intangible assets for the years ended December 31, 2013, 2012 and 2011 was $10,114, $8,359 and $11,915,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is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84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40" w:type="dxa"/>
            <w:vAlign w:val="bottom"/>
            <w:tcBorders>
              <w:top w:val="single" w:sz="8" w:color="auto"/>
            </w:tcBorders>
            <w:shd w:val="clear" w:color="auto" w:fill="CCEEFF"/>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Approximately 43%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2013 and 2012:</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$103,719</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$ 111,150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60,433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9,188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252,955</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000"/>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2013 and 2012:</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$136,376</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$146,921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99,075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100,643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84,897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74,880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12,855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24,375</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492,262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478,167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2013 and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Outstanding As Of</w:t>
            </w:r>
          </w:p>
        </w:tc>
      </w:t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 (a)</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6.85%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600,000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548,350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Lazard Group 4.25%</w:t>
            </w: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(b)</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11/14/20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gridSpan w:val="3"/>
          </w:tcPr>
          <w:p>
            <w:pPr>
              <w:spacing w:after="0"/>
              <w:rPr>
                <w:sz w:val="20"/>
                <w:szCs w:val="20"/>
                <w:color w:val="auto"/>
              </w:rPr>
            </w:pPr>
            <w:r>
              <w:rPr>
                <w:rFonts w:ascii="Arial" w:cs="Arial" w:eastAsia="Arial" w:hAnsi="Arial"/>
                <w:sz w:val="18"/>
                <w:szCs w:val="18"/>
                <w:color w:val="auto"/>
              </w:rPr>
              <w:t>Lazard Group Credit Facility</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150,000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9/25/15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1,048,350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1,076,850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November 6, 2013, the Company launched a tender for all of the outstanding 7.125% senior notes maturing on May 15, 2015 (the “2015 Notes”) and simultaneously announced a redemption notice for any notes not tendered. As a result, the outstanding 2015 Notes of $528,500 were extinguished in the fourth quarter of 2013, which resulted in a pre-tax loss on extinguishment of $50,757, including the recognition of unamortized issuance costs. As a result of the extinguishment, the unamortized amount of the interest rate hedge related to the 2015 Notes was also recognized, which resulted in a loss of $1,563. Both the loss on extinguishment and the loss related to the interest rate hedge were recorded in “operating expenses—other” in the consolidated statement of operations.</w:t>
      </w:r>
    </w:p>
    <w:p>
      <w:pPr>
        <w:spacing w:after="0" w:line="4" w:lineRule="exact"/>
        <w:rPr>
          <w:rFonts w:ascii="Arial" w:cs="Arial" w:eastAsia="Arial" w:hAnsi="Arial"/>
          <w:sz w:val="18"/>
          <w:szCs w:val="18"/>
          <w:color w:val="auto"/>
        </w:rPr>
      </w:pPr>
    </w:p>
    <w:p>
      <w:pPr>
        <w:ind w:left="460" w:hanging="452"/>
        <w:spacing w:after="0" w:line="295"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On November 14, 2013, and in connection with the redemption of the 2015 Notes, Lazard Group issued $500,000 aggregate principal amount of 4.25% senior notes maturing on November 14, 2020 (the “2020 Notes”). Interest on the 2020 Notes is payable semi-annually on May 14 and November 14 of each year commencing on May 14, 2014. In connection with the issuance of the 2020 Notes, the Company entered into and settled an interest rate forward agreement and recognized a related loss of $ 1,767. The loss was recorded in “operating expenses—other” in the consolidated statements of operations.</w:t>
      </w:r>
    </w:p>
    <w:p>
      <w:pPr>
        <w:spacing w:after="0" w:line="11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December 31, 2013, the annual interest rate for a loan accruing interest (based on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Federal Funds overnight rate), including the applicable margin, was 0.79%. At December 31, 2013 and 2012, no amounts were outstanding under the Credit Facility or the prior revolving credit facility, respectively.</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December 31, 2013, the Company was in compliance with such provisions. All of the Company’s senior debt obligations are unsecured.</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2013 for each of the five years in the period ending December 31, 2018 and thereafter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2014-2016</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1,048,350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senior debt at December 31, 2013 and 2012 is carried at historical amounts. See Note 6 of Notes to Consolidated Financial Statements for information regarding the fair value and fair value hierarchy category of the Company’s senior debt.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2013, the Company had approximately $258,000 in unused lines of credit available to it, including the Credit Facility, and unused lines of credit available to LFB of approximately $48,000 (at December 31, 2013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On July 22, 2011, the Company repurchased its then outstanding $150,000 subordinated promissory note, at a cost, excluding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of $131,829. Such repurchase resulted in a pre-tax gain of $18,171, which was recognized by the Company in the third quarter of 2011 and included in “revenue-other” on the accompanying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2013, 2012 and 2011, aggregate rental expense relating to operating leases amounted to $86,476, $80,861 and $76,701,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2033. Sublease income from such agreements was $11,404, $9,613 and $10,967 for the years ended December 31, 2013, 2012 and 2011, respectively, which includes sublease income of $4,136, $3,290 and $2,192, respectively, from an affiliate of LFCM Holdings LLC (“LFCM Holdings”).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2017 at a weighted average interest rate of approximately 6.2%. Such obligations are collateralized primarily by certain buildings with a net book value of approximately $19,876 and $21,932 at December 31, 2013 and 2012, respectively. The net book value of all assets recorded under capital leases aggregated $20,806 and $23,486 at December 31, 2013 and 2012,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3,221</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81,467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9,478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155,547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2013 and 2012, the Company has recognized liabilities of $11,203 and $7,516,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2013, LFB had $5,897 of such indemnifications and held $4,993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Certain Business Transactions</w:t>
      </w:r>
      <w:r>
        <w:rPr>
          <w:rFonts w:ascii="Arial" w:cs="Arial" w:eastAsia="Arial" w:hAnsi="Arial"/>
          <w:sz w:val="16"/>
          <w:szCs w:val="16"/>
          <w:color w:val="auto"/>
        </w:rPr>
        <w:t>—On September 25, 2008, the Company, LAM and LAZ Sub I, LLC, a then newly-formed subsidiary of LFNY, completed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consisted of (i) cash payments made from the closing of the LAM Merger through January 2, 2009 of approximately $60,000, (ii) a cash payment made on October 31, 2011 of approximately $90,000, (iii) the delivery on October 31, 2011 of 2,210,520 shares of Class A common stock and (iv) the satisfaction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of Lazard’s minimum statutory tax withholding requirements for certain employees in lieu of delivering 68,384 shares of Class A common stock on October 31, 2011. In addition, with respect to certain former employees of LAM and its subsidiaries, as of December 31, 2013 and 2012, additional cash payments of $961 and additional issuances of 24,537 shares of Class A common stock are subject to delayed payment/issuance until the eighth anniversary of the closing of the LAM Merger because the applicable employees were no longer employed by Lazard or its affiliates on October 31, 2011, subject to certain exceptions.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December 31, 2013 and 2012, 1,371,992 and 1,209,154 shares, respectively, have been earned because applicable performance thresholds have been satisfied. Such shares are no longer subject to any contingencies. As of December 31, 2013 and 2012, 1,029,006 and 686,004, respectively, of such shares have been settled.</w:t>
      </w:r>
    </w:p>
    <w:p>
      <w:pPr>
        <w:spacing w:after="0" w:line="118"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b w:val="1"/>
          <w:bCs w:val="1"/>
          <w:i w:val="1"/>
          <w:iCs w:val="1"/>
          <w:color w:val="auto"/>
        </w:rPr>
        <w:t>Contingent Consideration Relating To Other Business Acquisitions</w:t>
      </w:r>
      <w:r>
        <w:rPr>
          <w:rFonts w:ascii="Arial" w:cs="Arial" w:eastAsia="Arial" w:hAnsi="Arial"/>
          <w:sz w:val="15"/>
          <w:szCs w:val="15"/>
          <w:color w:val="auto"/>
        </w:rPr>
        <w:t>—For a business acquired in 2013, the Company was obligated to issue a maximum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107,617 shares of Class A common stock if certain performance thresholds were achieved. The Company is no longer obligated to issue such shares.</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a business acquired in 2011, the Company was obligated to pay earnout consideration if certain performance thresholds were achieved. The maximum potential earnout consideration payable by the Company could not exceed $7,000. For the years ended December 31, 2013 and 2012, no cash payments relating to the earnout consideration were required. As the performance thresholds ultimately were not achieved, the Company is no longer obligated to pay the earnout consideration.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December 31, 2013, these commitments were not material.</w:t>
      </w:r>
    </w:p>
    <w:p>
      <w:pPr>
        <w:spacing w:after="0" w:line="14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See Notes 6 and 15 of Notes to Consolidated Financial Statements for information regarding commitments relating to investment capital funding commitments and obligations to fund our pension plans,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December 31, 2013, LFB had no such underwriting commitments.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color w:val="auto"/>
        </w:rPr>
        <w:t>—During the year ended December 31, 2011, the Company issued an aggregate of 2,434,561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delivered 3,515,362 shares from Class A common stock held by its subsidiaries in connection with the LAM Merger (as described in Note 12 of Notes to Consolidated Financial Statements) and certain prior year business acquisitions.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2013, 2012 and 2011,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2,976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5,170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121,620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135,108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122,540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140,278</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80" w:type="dxa"/>
            <w:vAlign w:val="bottom"/>
            <w:vMerge w:val="restart"/>
          </w:tcPr>
          <w:p>
            <w:pPr>
              <w:jc w:val="right"/>
              <w:ind w:right="2592"/>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—During the years ended December 31, 2013, 2012 and 2011, Lazard Ltd issued 839,658,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5,207,112 and 876,814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2013, 2012 and 2011, the Board of Directors of Lazard Ltd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and Lazard Group common membership interests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expects that the share repurchase program, with respect to the Class A common stock, will primarily be used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16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16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Share/Common</w:t>
            </w:r>
          </w:p>
        </w:tc>
      </w:tr>
      <w:tr>
        <w:trPr>
          <w:trHeight w:val="149"/>
        </w:trPr>
        <w:tc>
          <w:tcPr>
            <w:tcW w:w="16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16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3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Years Ending December 31:</w:t>
            </w:r>
          </w:p>
        </w:tc>
        <w:tc>
          <w:tcPr>
            <w:tcW w:w="1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2011</w:t>
            </w:r>
          </w:p>
        </w:tc>
        <w:tc>
          <w:tcPr>
            <w:tcW w:w="67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6,135,189</w:t>
            </w:r>
          </w:p>
        </w:tc>
        <w:tc>
          <w:tcPr>
            <w:tcW w:w="1020" w:type="dxa"/>
            <w:vAlign w:val="bottom"/>
            <w:tcBorders>
              <w:top w:val="single" w:sz="8" w:color="CCEEFF"/>
            </w:tcBorders>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top w:val="single" w:sz="8" w:color="CCEEFF"/>
            </w:tcBorders>
          </w:tcPr>
          <w:p>
            <w:pPr>
              <w:spacing w:after="0"/>
              <w:rPr>
                <w:sz w:val="24"/>
                <w:szCs w:val="24"/>
                <w:color w:val="auto"/>
              </w:rPr>
            </w:pPr>
          </w:p>
        </w:tc>
      </w:tr>
      <w:tr>
        <w:trPr>
          <w:trHeight w:val="218"/>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12,817,196</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6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3,488,101</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As a result of the delivery of shares of Class A common stock through December 31, 2013 relating to (i) the settlement of vested restricted stock units (“RSUs”) and deferred stock units (“DSUs”), (ii) the incentive plan share awards of shares of restricted Class A common stock, (iii) the delivery of shares of restricted Class A common stock in exchange for RSUs and (iv) the delivery of shares of Class A common stock in connection with business acquisitions and the LAM Merger, there were 5,744,856 and 10,230,729 shares of Class A common stock held by Lazard Group at December 31, 2013 and 2012, respectively. Such shares of Class A common stock are reported, at cost, as a reduction of members’ equity within the accompanying consolidated statements of financial condition.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2013, a total of $121,589 of share repurchase capacity remained available under the Company’s share repurchase authorizations, of which $21,589 and $100,000 will expire on December 31, 2014 and 2015, respectively.</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 below reflects the components of AOCI at December 31, 2013 and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then 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Currency</w:t>
            </w:r>
          </w:p>
        </w:tc>
        <w:tc>
          <w:tcPr>
            <w:tcW w:w="120" w:type="dxa"/>
            <w:vAlign w:val="bottom"/>
          </w:tcPr>
          <w:p>
            <w:pPr>
              <w:spacing w:after="0"/>
              <w:rPr>
                <w:sz w:val="12"/>
                <w:szCs w:val="12"/>
                <w:color w:val="auto"/>
              </w:rPr>
            </w:pPr>
          </w:p>
        </w:tc>
        <w:tc>
          <w:tcPr>
            <w:tcW w:w="740" w:type="dxa"/>
            <w:vAlign w:val="bottom"/>
            <w:gridSpan w:val="3"/>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2"/>
                <w:szCs w:val="12"/>
                <w:color w:val="auto"/>
              </w:rPr>
            </w:pPr>
          </w:p>
        </w:tc>
        <w:tc>
          <w:tcPr>
            <w:tcW w:w="9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4"/>
              </w:rPr>
              <w:t>Employee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Lazard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9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98"/>
              <w:spacing w:after="0" w:line="149" w:lineRule="exact"/>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2"/>
                <w:szCs w:val="12"/>
                <w:color w:val="auto"/>
              </w:rPr>
            </w:pPr>
          </w:p>
        </w:tc>
        <w:tc>
          <w:tcPr>
            <w:tcW w:w="9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4"/>
              </w:rPr>
              <w:t>Benefit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2"/>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Group LLC</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98"/>
              <w:spacing w:after="0"/>
              <w:rPr>
                <w:sz w:val="20"/>
                <w:szCs w:val="20"/>
                <w:color w:val="auto"/>
              </w:rPr>
            </w:pPr>
            <w:r>
              <w:rPr>
                <w:rFonts w:ascii="Arial" w:cs="Arial" w:eastAsia="Arial" w:hAnsi="Arial"/>
                <w:sz w:val="14"/>
                <w:szCs w:val="14"/>
                <w:b w:val="1"/>
                <w:bCs w:val="1"/>
                <w:color w:val="auto"/>
                <w:w w:val="84"/>
              </w:rPr>
              <w:t>Hedge</w:t>
            </w:r>
          </w:p>
        </w:tc>
        <w:tc>
          <w:tcPr>
            <w:tcW w:w="120" w:type="dxa"/>
            <w:vAlign w:val="bottom"/>
          </w:tcPr>
          <w:p>
            <w:pPr>
              <w:spacing w:after="0"/>
              <w:rPr>
                <w:sz w:val="14"/>
                <w:szCs w:val="14"/>
                <w:color w:val="auto"/>
              </w:rPr>
            </w:pPr>
          </w:p>
        </w:tc>
        <w:tc>
          <w:tcPr>
            <w:tcW w:w="90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(2,502</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16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December 31, 2013: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(13,500)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8"/>
              </w:rPr>
              <w:t>(16,921)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23"/>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98"/>
              <w:spacing w:after="0"/>
              <w:rPr>
                <w:sz w:val="20"/>
                <w:szCs w:val="20"/>
                <w:color w:val="auto"/>
              </w:rPr>
            </w:pPr>
            <w:r>
              <w:rPr>
                <w:rFonts w:ascii="Arial" w:cs="Arial" w:eastAsia="Arial" w:hAnsi="Arial"/>
                <w:sz w:val="18"/>
                <w:szCs w:val="18"/>
                <w:color w:val="auto"/>
                <w:w w:val="97"/>
              </w:rPr>
              <w:t>2,502</w:t>
            </w:r>
          </w:p>
        </w:tc>
        <w:tc>
          <w:tcPr>
            <w:tcW w:w="1020" w:type="dxa"/>
            <w:vAlign w:val="bottom"/>
            <w:gridSpan w:val="3"/>
          </w:tcPr>
          <w:p>
            <w:pPr>
              <w:jc w:val="right"/>
              <w:ind w:right="98"/>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2"/>
              <w:spacing w:after="0"/>
              <w:rPr>
                <w:sz w:val="20"/>
                <w:szCs w:val="20"/>
                <w:color w:val="auto"/>
              </w:rPr>
            </w:pPr>
            <w:r>
              <w:rPr>
                <w:rFonts w:ascii="Arial" w:cs="Arial" w:eastAsia="Arial" w:hAnsi="Arial"/>
                <w:sz w:val="18"/>
                <w:szCs w:val="18"/>
                <w:color w:val="auto"/>
              </w:rPr>
              <w:t>7,107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7"/>
              </w:rPr>
              <w:t>2,502</w:t>
            </w:r>
          </w:p>
        </w:tc>
        <w:tc>
          <w:tcPr>
            <w:tcW w:w="102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(8,895)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35,236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3"/>
          </w:tcPr>
          <w:p>
            <w:pPr>
              <w:jc w:val="right"/>
              <w:ind w:right="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(137,431)</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w w:val="85"/>
              </w:rPr>
              <w:t>(102,195)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8"/>
              </w:rPr>
              <w:t>(102,196)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reflects adjustments for items reclassified out of AOCI, by component, for the year ended December 31,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2,502(a)</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color w:val="auto"/>
              </w:rPr>
              <w:t>Amortization relating to employee benefit plans</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3"/>
            <w:vMerge w:val="continue"/>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6,534(b)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40" w:hanging="452"/>
        <w:spacing w:after="0" w:line="25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Included in “interest expense” and “operating expenses—other” in the amounts of $939 and $1,563, respectively, on the consolidated statements of operations.</w:t>
      </w:r>
    </w:p>
    <w:p>
      <w:pPr>
        <w:ind w:left="460" w:right="760" w:hanging="452"/>
        <w:spacing w:after="0" w:line="261"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of Notes to Consolidated Financial Statements). Such amount is included in “compensation and benefits” expense on the consolidated statement of operations.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2013, 2012 and 2011 and noncontrolling interests as of December 31, 2013 and 2012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Net Income (Loss)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11"/>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Interests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$4,130</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(129)</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3,678</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8"/>
              </w:rPr>
              <w:t>Noncontrolling Interests</w:t>
            </w: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$ 66,641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$ 75,262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$ 66,654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$ 75,908</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2013,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DSUs) within the Company’s accompanying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RSUs (a)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$ 209,974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$ 298,809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$ 264,110</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700" w:type="dxa"/>
            <w:vAlign w:val="bottom"/>
          </w:tcPr>
          <w:p>
            <w:pPr>
              <w:jc w:val="right"/>
              <w:spacing w:after="0"/>
              <w:rPr>
                <w:sz w:val="20"/>
                <w:szCs w:val="20"/>
                <w:color w:val="auto"/>
              </w:rPr>
            </w:pPr>
            <w:r>
              <w:rPr>
                <w:rFonts w:ascii="Arial" w:cs="Arial" w:eastAsia="Arial" w:hAnsi="Arial"/>
                <w:sz w:val="18"/>
                <w:szCs w:val="18"/>
                <w:color w:val="auto"/>
              </w:rPr>
              <w:t>11,374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9,767</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$ 235,090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$ 309,580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$ 274,509</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5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and staff reductions, as applicable, for the years ended December 31, 2013 and 2012, aggregating $9,099 and $26,158, respectively (see Note 16 of Notes to Consolidated Financial Statements).</w:t>
      </w: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years ended December 31, 2013 and 2012, of $247 and $713, respectively.</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PRSUs, which are a form of RSUs that are also subject to service-based vesting conditions, have additional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2013, 2012 and 2011, dividend participation rights required the issuance of 442,242, 920,791 and 389,846 RSU’s, respectively.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39,315, 53,239 and 26,859 DSUs granted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years ended December 31, 2013, 2012 and 2011,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years ended December 31, 2013, 2012 and 2011.</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Directors’ Fee Deferral Unit Plan permits its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2013, 2012 and 2011, 7,623, 10,597 and 8,184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2013:</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22,108,635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389,846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7,002,736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(8,054,387)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20,751,829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920,791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8,594,744</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63,836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(581,411)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Vested/Exchanged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(7,284,031)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34.71</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21,481,131</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204,496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442,242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5,174,810</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37.21</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46,938</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(9,768,849)</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34.65</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16,618,192</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251,434</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years ended December 31, 2013, 2012 and 2011, 9,768,849, 7,284,031 and 8,054,387 RSUs vested or were exchanged, respectively (including,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2012, 1,523,642 RSUs that were exchanged for shares of restricted Class A common stock and 958,213 RSUs that were modified through forward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into a liability award of $28,612). As of the modification date in 2012, the Company recorded a liability in “accrued compensation and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$26,922 related to such liability award and an offsetting reduction to “members’ equity”. Such liability awards were settled on March 1, 2013 for $28,612.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 ended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December 31, 2013, compensation expense of $1,690 was recorded for such liability awards. In connection with the vested RSUs, the Company satisfied its minimum statutory tax withholding requirements in lieu of issuing 3,651,050, 1,471,814 and 2,353,561 shares of Class A common stock in the years ended December 31, 2013, 2012 and 2011, respectively. Accordingly, 6,117,799, 3,330,362, and 5,700,826 shares of Class A common stock held by Lazard Group were delivered during the years ended December 31, 2013, 2012 and 2011, respectively.</w:t>
      </w:r>
    </w:p>
    <w:p>
      <w:pPr>
        <w:spacing w:after="0" w:line="143" w:lineRule="exact"/>
        <w:rPr>
          <w:sz w:val="20"/>
          <w:szCs w:val="20"/>
          <w:color w:val="auto"/>
        </w:rPr>
      </w:pPr>
    </w:p>
    <w:p>
      <w:pPr>
        <w:jc w:val="center"/>
        <w:ind w:right="260"/>
        <w:spacing w:after="0" w:line="370" w:lineRule="auto"/>
        <w:rPr>
          <w:sz w:val="20"/>
          <w:szCs w:val="20"/>
          <w:color w:val="auto"/>
        </w:rPr>
      </w:pPr>
      <w:r>
        <w:rPr>
          <w:rFonts w:ascii="Arial" w:cs="Arial" w:eastAsia="Arial" w:hAnsi="Arial"/>
          <w:sz w:val="15"/>
          <w:szCs w:val="15"/>
          <w:color w:val="auto"/>
        </w:rPr>
        <w:t>As of December 31, 2013, unrecognized RSU compensation expense, adjusted for estimated forfeitures, was approximately $156,537, with such unrecognized compensation expense expected to be recognized over a weighted average period of approximately 1.0 years subsequent to December 31, 2013.</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327,238</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(327,238)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1"/>
        </w:trPr>
        <w:tc>
          <w:tcPr>
            <w:tcW w:w="816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 (a)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2,100,965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(21,178)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(202,510)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r>
      <w:tr>
        <w:trPr>
          <w:trHeight w:val="221"/>
        </w:trPr>
        <w:tc>
          <w:tcPr>
            <w:tcW w:w="816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(37,782)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33.37</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(1,728,509)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22"/>
        </w:trPr>
        <w:tc>
          <w:tcPr>
            <w:tcW w:w="816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335"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Includes, during the year ended December 31, 2012, as described above, 1,523,642 shares of restricted Class A common stock issued in exchange for 1,523,642 previously granted RSUs at a grant date fair value of $35.95 per share. The vesting terms of such restricted Class A common stock issued were substantially the same as those of the original awards exchanged. There was no incremental compensation cost incurred as a result of the exchanges.</w:t>
      </w:r>
    </w:p>
    <w:p>
      <w:pPr>
        <w:spacing w:after="0" w:line="8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As mentioned above, during 2012, the Company exchanged 1,523,642 RSUs for shares of restricted Class A common stock.</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2013 and 2012, the Company satisfied its minimum statutory tax withholding requirements in lieu of delivering 18,599 and 28,129 shares of Class A common stock during such respective years. Accordingly, 1,709,910 and 174,381 shares of Class A common stock held by the Company were delivered during the years ended December 31, 2013 and 2012, respectively.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dividends paid on Class A common stock during the period, which will vest concurrently with the underlying restricted stock award. At December 31, 2013, unrecognized restricted stock expense was approximately $7,361, with such expense to be recognized over a weighted average period of approximately 1.2 years subsequent to December 31,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During the year ended December 31,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 2014.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the PRSUs granted in 2013, three times the target number in the event of a substantial increase in 2014 in our revenue (adjusted for certain items)). The PRSUs granted in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generally include dividend participation rights. In October 2013, the Company modified the outstanding PRSUs that may vest above the level of two times target to add incremental performance criteria. Pursuant to the modification, in addition to the previously applicable performance criteria, the Company would also have to achieve a particular level of fiscal year 2014 revenue (adjusted for certain items) in order for the PRSUs to vest between a level of two to three times the target level.</w:t>
      </w:r>
    </w:p>
    <w:p>
      <w:pPr>
        <w:spacing w:after="0" w:line="12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December 31, 2013, the total estimated unrecognized compensation expense for PRSUs granted in 2013 was approximately $19,430, and the Company expects to amortize such expense over a weighted-average period of approximately 1.4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Lazard Fund Interests and other similar deferred compensation arrangements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(24,006)</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(58,023)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14,099</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64,679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64,679</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(10,646)</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(33,476)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47,445</w:t>
            </w:r>
          </w:p>
        </w:tc>
        <w:tc>
          <w:tcPr>
            <w:tcW w:w="7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97,593</w:t>
            </w: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1.5 years subsequent to December 31, 2013.</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consolidated statements of operations for the years ended December 31, 2013 and 2012:</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$62,197</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$41,209</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14,099</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48,766</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580" w:right="1080" w:hanging="5572"/>
        <w:spacing w:after="0" w:line="440" w:lineRule="auto"/>
        <w:tabs>
          <w:tab w:leader="none" w:pos="4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years ended December 31, 2013 and 2012, of $2,665 and $3,495, respectively. 113</w:t>
      </w:r>
    </w:p>
    <w:p>
      <w:pPr>
        <w:sectPr>
          <w:pgSz w:w="11900" w:h="16838" w:orient="portrait"/>
          <w:cols w:equalWidth="0" w:num="1">
            <w:col w:w="11340"/>
          </w:cols>
          <w:pgMar w:left="240" w:top="459" w:right="3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2014</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2014, the Company granted approximately $275,000 of deferred incentive awards (excluding PRSUs) to eligible employees. These grants included: RSUs or shares of restricted Class A common stock; deferred incentive awards that allow eligible employees the choice of receiving a portion of their award in a combination of (i) Lazard Fund Interests and (ii) additional RSUs or shares of restricted Class A common stock; deferred cash awards; and a portion of fund managers’ year-end incentive compensation that is reinvested in certain asset management funds. In addition, the Company granted approximately $16,000 of PRSUs (valued at the target payout level).</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RSUs, restricted Class A common stock and Lazard Fund Interests granted each provide for one-third vesting on March 1, 2016 and the remaining two-thirds vesting on March 1, 2017. The PRSUs granted provide for cliff vesting in March 2017,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237"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Management also evaluates from time to time whether to make voluntary contributions to the plans. The Company did not make a contribution to the U.S. pension plans during the year ended December 31, 2013. The Company does not expect to make a contribution to the U.S. pension plans during the year ending December 31, 2014.</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advisors to the plans. The terms of the agreement are subject to adjustment based on the results of subsequent triennial valuations. The aggregate amount in the account security arrangement was approximately $16,900 and $16,500 at December 31, 2013 and 2012 and has been recorded in “cash deposited with clearing organizations and other segregated cash” on the accompanying consolidated statements of financial condition. Income on the account security arrangement accretes to the Company and is recorded in interest income.</w:t>
      </w:r>
    </w:p>
    <w:p>
      <w:pPr>
        <w:spacing w:after="0" w:line="14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During the year ended December 31, 2013, the Company contributed 1.4 million British pounds to these U.K. pension plans and expects to contribute a similar amount during the year ending December 31, 2014. Additionally, during the year ended December 31, 2013, no contributions were made to other non-U.S. pension plans. The Company expects to contribute approximately $4,800 to these other non-U.S. pension plans during the year ending December 31, 2014.</w:t>
      </w:r>
    </w:p>
    <w:p>
      <w:pPr>
        <w:spacing w:after="0" w:line="8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656,025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575,031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5,668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(23,258)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(26,420)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709,850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656,025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607,705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568,911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(23,258)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(26,420)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643,844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Funded (deficit)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(66,006)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2013 and 2012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(66,154)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(50,979)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(5,080)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(5,668)</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(66,006)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$30,448 and $25,989 at December 31, 2013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respectively) 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159,575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143,133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168,476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154,475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5580"/>
              <w:spacing w:after="0"/>
              <w:rPr>
                <w:sz w:val="20"/>
                <w:szCs w:val="20"/>
                <w:color w:val="auto"/>
              </w:rPr>
            </w:pPr>
            <w:r>
              <w:rPr>
                <w:rFonts w:ascii="Arial" w:cs="Arial" w:eastAsia="Arial" w:hAnsi="Arial"/>
                <w:sz w:val="18"/>
                <w:szCs w:val="18"/>
                <w:color w:val="auto"/>
              </w:rPr>
              <w:t>115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$26,200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$25,231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$617,644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$582,474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$643,844</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$607,705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Arial" w:cs="Arial" w:eastAsia="Arial" w:hAnsi="Arial"/>
                <w:sz w:val="18"/>
                <w:szCs w:val="18"/>
                <w:color w:val="auto"/>
                <w:w w:val="92"/>
              </w:rPr>
              <w:t>$29,427</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$35,276</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$680,423</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$620,749</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$709,850</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$656,025</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Arial" w:cs="Arial" w:eastAsia="Arial" w:hAnsi="Arial"/>
                <w:sz w:val="18"/>
                <w:szCs w:val="18"/>
                <w:color w:val="auto"/>
                <w:w w:val="92"/>
              </w:rPr>
              <w:t>$29,427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$35,276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$680,423</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$620,749</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$709,850</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$656,025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the return on plan assets, benefits paid, contributions and other amounts recognized in AOCI for the years ended December 31, 2013,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1"/>
              </w:rPr>
              <w:t>Pension Plans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Medical Plan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7"/>
          </w:tcPr>
          <w:p>
            <w:pPr>
              <w:jc w:val="center"/>
              <w:ind w:left="236"/>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940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27,219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28,266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(27,078)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(26,657)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(30,490)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2,843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Settlement loss (a)</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0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41,353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33,882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29,870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23,258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26,420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21,718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changes in plan assets and benefit obligations recognized in AOCI (excluding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tax benefit of $4,459, $11,805 and $11,495 during the years ended December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2013, 2012 and 2011,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17,251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50,209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51,703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(3,691)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47,394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47,975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21,616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49,639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the year ended December 31, 2012, the Company’s pension plans in the U.S. made lump sum benefit payments in excess of the plans’ annual service and interest costs, which, under U.S. GAAP, requires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plans’ obligations and assets be remeasured. The remeasurement of the plans resulted in the recognition of actuarial losses totaling $2,167 recorded in “other comprehensive income (loss), net of tax” (“OCI”), which, combined with a settlement loss of $1,135 recognized in “compensation and benefits” expense, resulted in a net charge to OCI of $1,032.</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2013 that are expected to be recognized as components of net periodic benefit cost (credit) for the year ending December 31, 2014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Pension</w:t>
            </w:r>
          </w:p>
        </w:tc>
        <w:tc>
          <w:tcPr>
            <w:tcW w:w="44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9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$2,954</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$4,451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$4,361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Pension Plans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4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4.3%</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3.3%</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675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880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(610)</w:t>
            </w:r>
          </w:p>
        </w:tc>
      </w:tr>
      <w:tr>
        <w:trPr>
          <w:trHeight w:val="356"/>
        </w:trPr>
        <w:tc>
          <w:tcPr>
            <w:tcW w:w="2880" w:type="dxa"/>
            <w:vAlign w:val="bottom"/>
          </w:tcPr>
          <w:p>
            <w:pPr>
              <w:spacing w:after="0"/>
              <w:rPr>
                <w:sz w:val="24"/>
                <w:szCs w:val="24"/>
                <w:color w:val="auto"/>
              </w:rPr>
            </w:pPr>
          </w:p>
        </w:tc>
        <w:tc>
          <w:tcPr>
            <w:tcW w:w="4100" w:type="dxa"/>
            <w:vAlign w:val="bottom"/>
          </w:tcPr>
          <w:p>
            <w:pPr>
              <w:jc w:val="right"/>
              <w:ind w:right="1632"/>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4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$ 23,736</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2015</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25,095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26,721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2019-2023</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163,107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2013 and 2012,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in accordance with fair value measurement disclosure requirements:</w:t>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27,762</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44,728</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323,812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337,976</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183,779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183,779</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273,989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366,935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643,844</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2012</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29,337</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40,334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322,149</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257,652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347,625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Activity in the fair value of the pension plans’ Level 3 debt and alternative investment funds for the years ended December 31, 2013 and 2012 consisted of net unrealized/realized gains of $434 and $443, respectively, and favorable foreign currency translation adjustments of $58 and $77, respectively, and in 2012, purchases of $131.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Included in Level 1 equity funds are $81,633 and $106,873 as of December 31, 2013 and 2012, respectively, that are invested in funds managed by LAM.</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Consistent with the plans’ investment strategies, at December 31, 2013 and 2012, the Company’s U.S. pension plan had 54% and 51%, respectively, of the plans’ assets invested in Level 1 equity funds and 46% and 49%, respectively, invested in Level 1 debt funds. The Company’s non-U.S. pension plans at December 31, 2013 and 2012 had 32% and 30%, respectively, of the plans’ assets invested in equities and equity funds that are primarily Level 1 assets; 60% and 61%, respectively of the plans’ assets invested in debt and debt funds that are primarily Level 2 assets, and 8% and 9%, respectively, of the plans’ assets invested in cash, which is a Level 1 asset, or in alternative investment funds that are primarily Level 2 assets.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assets classified as Level 2 assets are primarily valued based on inputs other than quoted prices that are directly observable or derived principally from, or corroborated by, market data. The fair value of plan investments classified as Level 3 assets are primarily based on NAV determined based on information provided by external fund administrators.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$11,778, $13,070 and $10,944 for the years ended December 31, 2013, 2012 and 2011,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Cost Saving Initiatives</w:t>
      </w:r>
      <w:r>
        <w:rPr>
          <w:rFonts w:ascii="Arial" w:cs="Arial" w:eastAsia="Arial" w:hAnsi="Arial"/>
          <w:sz w:val="18"/>
          <w:szCs w:val="18"/>
          <w:color w:val="auto"/>
        </w:rPr>
        <w:t>—In October 2012, the Company announced cost saving initiatives (the “Cost Saving Initiatives”) relating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year ended December 31,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5,417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47,779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$ 16,689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8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2013: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$121,879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$ 125,311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obligations pursuant to the Cost Saving Initiatives during 2013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9"/>
              </w:rPr>
              <w:t>Accrued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0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00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New charges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51,399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13,304</w:t>
            </w:r>
          </w:p>
        </w:tc>
        <w:tc>
          <w:tcPr>
            <w:tcW w:w="7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64,703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(12,007)</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(3,387)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(15,394)</w:t>
            </w: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(73,660)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(6,275)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(79,935)</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$ 17,216</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2013, 2012 and 2011, and a reconciliation of the U.S. federal statutory income tax rate to the Company’s effective tax rates for such years, are shown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Federal</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(4,681)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26,676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35,452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31,749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36,839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Deferred:</w:t>
            </w: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Foreign</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(1,127)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(2,832)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(6,121)</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(1,127)</w:t>
            </w: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(9,431)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32,242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30,622</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27,408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vMerge w:val="continue"/>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320" w:type="dxa"/>
            <w:vAlign w:val="bottom"/>
          </w:tcPr>
          <w:p>
            <w:pPr>
              <w:ind w:left="440"/>
              <w:spacing w:after="0"/>
              <w:rPr>
                <w:sz w:val="20"/>
                <w:szCs w:val="20"/>
                <w:color w:val="auto"/>
              </w:rPr>
            </w:pPr>
            <w:r>
              <w:rPr>
                <w:rFonts w:ascii="Arial" w:cs="Arial" w:eastAsia="Arial" w:hAnsi="Arial"/>
                <w:sz w:val="18"/>
                <w:szCs w:val="18"/>
                <w:color w:val="auto"/>
                <w:w w:val="95"/>
              </w:rPr>
              <w:t>Basis adjustments (primarily as a result of the separation and recapitalization transactions that occurred during 2005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ind w:left="660"/>
              <w:spacing w:after="0"/>
              <w:rPr>
                <w:sz w:val="20"/>
                <w:szCs w:val="20"/>
                <w:color w:val="auto"/>
              </w:rPr>
            </w:pPr>
            <w:r>
              <w:rPr>
                <w:rFonts w:ascii="Arial" w:cs="Arial" w:eastAsia="Arial" w:hAnsi="Arial"/>
                <w:sz w:val="18"/>
                <w:szCs w:val="18"/>
                <w:color w:val="auto"/>
              </w:rPr>
              <w:t>and from secondary offerings)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31,090</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40,391</w:t>
            </w:r>
          </w:p>
        </w:tc>
        <w:tc>
          <w:tcPr>
            <w:tcW w:w="0" w:type="dxa"/>
            <w:vAlign w:val="bottom"/>
          </w:tcPr>
          <w:p>
            <w:pPr>
              <w:spacing w:after="0"/>
              <w:rPr>
                <w:sz w:val="1"/>
                <w:szCs w:val="1"/>
                <w:color w:val="auto"/>
              </w:rPr>
            </w:pPr>
          </w:p>
        </w:tc>
      </w:tr>
      <w:tr>
        <w:trPr>
          <w:trHeight w:val="217"/>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87,890</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103,645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68,828</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242,329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208,461</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(116,830)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(102,820)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125,499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49,092</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have been profitable on a consolidated basis in the last three years, certain of our tax-paying entities have individually experienced losses on a cumulative three-year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$116,830 and $102,820 as of December 31, 2013 and December 31, 2012, respectively. The valuation allowance at December 31, 2013 reflects a net increase of $14,010 from the balance of $102,820 at December 31, 2012. This increase consists primarily of charges to income tax expense.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were recorded at December 31, 2013 primarily relating to indefinite-lived carryforwards (subject to various limitations) of approximately $74,619, primarily in the U.K., France, Australia, Germany, Singapore and Italy.</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both December 31, 2013 and 2012 of $3,536 and $1,161 are not included in the table above. The impact of such excess tax deductions will be recorded in members’ equity if and when such deferred tax assets are ultimately realized.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2009.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2013, 2012 and 2011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Balance, January 1 (excluding interest and penalties of $10,745, $6,999 and $5,742, respectively)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$36,494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$40,562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$37,376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11,134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12,484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1180" w:type="dxa"/>
            <w:vAlign w:val="bottom"/>
            <w:gridSpan w:val="5"/>
          </w:tcPr>
          <w:p>
            <w:pPr>
              <w:jc w:val="right"/>
              <w:ind w:right="132"/>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(4,631)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(3,584)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1180" w:type="dxa"/>
            <w:vAlign w:val="bottom"/>
            <w:gridSpan w:val="5"/>
            <w:shd w:val="clear" w:color="auto" w:fill="CCEEFF"/>
          </w:tcPr>
          <w:p>
            <w:pPr>
              <w:jc w:val="right"/>
              <w:ind w:right="132"/>
              <w:spacing w:after="0"/>
              <w:rPr>
                <w:sz w:val="20"/>
                <w:szCs w:val="20"/>
                <w:color w:val="auto"/>
              </w:rPr>
            </w:pPr>
            <w:r>
              <w:rPr>
                <w:rFonts w:ascii="Arial" w:cs="Arial" w:eastAsia="Arial" w:hAnsi="Arial"/>
                <w:sz w:val="18"/>
                <w:szCs w:val="18"/>
                <w:color w:val="auto"/>
              </w:rPr>
              <w:t>(3,404)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1180" w:type="dxa"/>
            <w:vAlign w:val="bottom"/>
            <w:gridSpan w:val="5"/>
          </w:tcPr>
          <w:p>
            <w:pPr>
              <w:jc w:val="right"/>
              <w:ind w:right="132"/>
              <w:spacing w:after="0"/>
              <w:rPr>
                <w:sz w:val="20"/>
                <w:szCs w:val="20"/>
                <w:color w:val="auto"/>
              </w:rPr>
            </w:pPr>
            <w:r>
              <w:rPr>
                <w:rFonts w:ascii="Arial" w:cs="Arial" w:eastAsia="Arial" w:hAnsi="Arial"/>
                <w:sz w:val="18"/>
                <w:szCs w:val="18"/>
                <w:color w:val="auto"/>
              </w:rPr>
              <w:t>(5,083)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(9,862)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(5,638)</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December 31 (excluding interest and penalties of $11,814, $10,745 and $6,999,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39,173</w:t>
            </w:r>
          </w:p>
        </w:tc>
        <w:tc>
          <w:tcPr>
            <w:tcW w:w="2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36,494</w:t>
            </w:r>
          </w:p>
        </w:tc>
        <w:tc>
          <w:tcPr>
            <w:tcW w:w="4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40,562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0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4"/>
              </w:rPr>
              <w:t>Unrecognized tax benefits at the end of the year that, if recognized, would favorably affect the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$11,814, $10,745 and $6,999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76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89"/>
              </w:rPr>
              <w:t>$36,272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41,355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4"/>
              </w:rPr>
              <w:t>Offset to deferred tax assets for unrecognized tax benefits that, if recognized, would not affect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40" w:type="dxa"/>
            <w:vAlign w:val="bottom"/>
          </w:tcPr>
          <w:p>
            <w:pPr>
              <w:ind w:left="220"/>
              <w:spacing w:after="0"/>
              <w:rPr>
                <w:sz w:val="20"/>
                <w:szCs w:val="20"/>
                <w:color w:val="auto"/>
              </w:rPr>
            </w:pPr>
            <w:r>
              <w:rPr>
                <w:rFonts w:ascii="Arial" w:cs="Arial" w:eastAsia="Arial" w:hAnsi="Arial"/>
                <w:sz w:val="18"/>
                <w:szCs w:val="18"/>
                <w:color w:val="auto"/>
              </w:rPr>
              <w:t>the effective tax rate</w:t>
            </w:r>
          </w:p>
        </w:tc>
        <w:tc>
          <w:tcPr>
            <w:tcW w:w="76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$14,715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and penalties recognized in current income tax expense (after giving effect to the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$3,390, $3,169 and $1,583, respectively)</w:t>
            </w:r>
          </w:p>
        </w:tc>
        <w:tc>
          <w:tcPr>
            <w:tcW w:w="76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6"/>
              </w:rPr>
              <w:t>$ 1,069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anticipates that it is reasonably possible that approximately $8,600 of unrecognized tax benefits recorded at December 31, 2013 may be recognized within 12 months as a result of the lapse of the statute of limitations in various tax jurisdictions.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00"/>
          </w:cols>
          <w:pgMar w:left="24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18.</w:t>
        <w:tab/>
        <w:t>RELATED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9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LFCM Holdings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7,794</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Payables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199,137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202,919</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former and current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discussed below.</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former and current employees of the separated businesses. The Company retained all accrued liabilities under, and assets of, the pension plans in the U.S. and the U.K. as well as the 401(k) plan accounts of the inactive employees of LFCM Holdings and its subsidiaries.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administrative services agreement, dated as of May 10, 2005, by and among LAZ-MD Holdings, LFCM Holdings and Lazard Group,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earlier if there is a change of control of either party or the business alliance provided in the business alliance agreement entered into on May 10, 2005, by and among LAZ-MD Holdings, LFCM Holdings and Lazard Group (described below) expires or is terminated. The party receiving a service may also terminate a service earlier upon 180 days’ notice as long as the receiving party pays the service provider an additional three months of service fee for the terminated service.</w:t>
      </w:r>
    </w:p>
    <w:p>
      <w:pPr>
        <w:spacing w:after="0" w:line="8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LFCM Holdings elects to terminate the agreement in connection with any such renewal or elects to terminate on account of a change of control of the other party. As of December 31, 2013, the date by which either party was required to provide notice of non-renewal had been tolled, and neither party had given notice of non-renewal or termination.</w:t>
      </w:r>
    </w:p>
    <w:p>
      <w:pPr>
        <w:spacing w:after="0" w:line="12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years ended December 31, 2013, 2012 and 2011, amounts recorded by Lazard Group relating to the administrative services agreement amounted to $1,456, $7,637 and $10,277, respectively, and net referral fees for underwriting, private placement, M&amp;A and restructuring transactions under the business alliance agreement amounted to $(1,646), $5,947 and $18,862,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Receivables from LFCM Holdings and its subsidiaries as of December 31, 2013 and 2012 include $3,112 and $14,299, respectively, related to administrative and support services and other receivables which include sublease income and reimbursement of expenses incurred on behalf of LFCM Holdings, and $4,682 and $6,230, respectively, related to referral fees for underwriting and private placement transactions. Payables to LFCM Holdings and its subsidiaries at December 31, 2013 and 2012 include $3,051 and $2,943, respectively, primarily relating to referral fees for Financial Advisory transactions.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 Group’s receivables from subsidiaries of Lazard Ltd at December 31, 2013 and December 31, 2012 included interest-bearing loans of $108,204 and $101,833, respectively, including accrued interest thereon. Interest income relating to interest-bearing loans with subsidiaries of Lazard Ltd amounted to $6,371, $11,382 and $7,680 for the years ended December 31, 2013, 2012 and 2011, respectively.</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December 31, 2013 and December 31, 2012, Lazard Group’s payables to subsidiaries of Lazard Ltd included $3,125 and $3,410, respectively, in connection with Lazard Group’s prior year business acquisitions. In addition, as of December 31, 2013 and December 31, 2012, Lazard Group’s payables to subsidiaries of Lazard Ltd included interest-bearing loans, plus accrued interest thereon, of approximately $194,000 and $202,000, respectively. Such amounts at December 31, 2013 and December 31, 2012 included approximately $75,000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$86,000, respectively, resulting from the sale in the first quarter of 2012 of an interest-bearing intercompany receivable due from a Lazard Group subsidiary to a Lazard Ltd subsidiary, which was sold at a discount to reflect arm’s-length terms, resulting in a loss to Lazard Group of $5,638. Interest expense relating to interest-bearing loans with subsidiaries of Lazard Ltd amounted to $7,718, $9,843 and $4,086 for the years ended December 31, 2013, 2012 and 2011,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years ended December 31, 2013, 2012 and 2011, amounts recorded by Lazard Group relating to referral fees for restructuring and M&amp;A transactions and fee sharing with MBA Lazard Holdings S.A. and its affiliates (“MBA”), an Argentina-based group in which the Company has a 50% ownership interest, amounted to $(2,221), $1,506 and $1,866 respectively, and are reported in advisory fee revenue.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Other receivables and payables at December 31, 2013 and 2012 primarily relate to referral fees for M&amp;A and restructuring transactions with MBA and at December 31, 2012 a related party loan.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2013, 2012 and 2011, such charges amounted to $1,000, $1,000 and $750,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Through February 2009, the Company had prepaid $5,500 of the option exercise price related to the North American business of LAI. The remaining option to purchase the North American fund management activities is currently exercisable at any time prior to May 10, 2014, for a purchase price of $2,500.</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Accordingly, during such period the Company wrote-off the $5,500 previously capitalized cost associated with the prepayment of the option which is included within “other” operating expenses on the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December 31, 2013, LFNY’s regulatory net capital was $110,317, which exceeded the minimum requirement by $106,944.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December 31, 2013, the aggregate regulatory net capital of the U.K. Subsidiaries was $77,786, which exceeded the minimum requirement by $63,349.</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December 31, 2013, the consolidated regulatory net capital of CFLF was $196,109, which exceeded the minimum requirement set for regulatory capital levels by $162,915.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2013, for those subsidiaries with regulatory capital requirements, their aggregate net capital was $113,118, which exceeded the minimum required capital by $78,848.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each of these subsidiaries individually was in compliance with its regulatory capital requirements.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2013, 2012 and 2011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the years ended December 31, 2013, 2012 and 2011, no individual client constituted more than 10% of the net revenue of any of the Company’s business segments.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2013(b)</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2012(b)</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980,577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1,049,090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959,668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1,057,620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714,708</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793,007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767,699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1,039,130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704,045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659,502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628,945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335,085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236,758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612,018</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566,677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583,524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(35,633)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69,415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(136,985)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(106,635)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1,767,262</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1,688,696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1,686,230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1,984,074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1,908,130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1,765,065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1,786,537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1,591,770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219,009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3,093,988</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3,048,380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3,037,453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2013</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26,938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21,895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14,339</w:t>
            </w:r>
          </w:p>
        </w:tc>
        <w:tc>
          <w:tcPr>
            <w:tcW w:w="8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34,750</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30,855</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24,580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 Initiatives announced by the Company in 2013 and 2012, and the impact on each of the Company’s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1,215,736</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1,168,199</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1,087,507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281,740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265,523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1,984,074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1,908,130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1,833,561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(37,329)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(20,812)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219,009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121,593</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1,612,546</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1,568,818</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1,586,064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824,712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808,655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3,093,988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3,048,380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3,037,453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459" w:right="8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2013 and 2012.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2013 Fiscal 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2"/>
              </w:rPr>
              <w:t>First(a)</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Second(a)</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Fourth(b)</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401,184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490,327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479,969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612,594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379,960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448,391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398,899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537,815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1,765,065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41,936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219,009</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35,157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68,818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64,590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186,767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Lazard Group</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34,893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66,718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65,347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 Initiatives.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 for information regarding the debt refinancing.</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2012 Fiscal Quarter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6"/>
              </w:rPr>
              <w:t>Second</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Fourth(a)</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480,528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436,937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429,311</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561,354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447,950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391,483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381,811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565,293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1,786,537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47,500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34,919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36,731</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33,272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38,296</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See Note 16 of Notes to Consolidated Financial Statements for information regarding the Cost Saving Initiatives announced in the fourth quarter of 2012.</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2013 (the end of the period covered by this Annual Report on Form 10-K). Based on that evaluation, our Chief Executive Officer and Chief Financial Officer have concluded that, as of the end of the period covered by this Annual Report on Form</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2014</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Kenneth M. Jacobs, </w:t>
      </w:r>
      <w:r>
        <w:rPr>
          <w:rFonts w:ascii="Arial" w:cs="Arial" w:eastAsia="Arial" w:hAnsi="Arial"/>
          <w:sz w:val="16"/>
          <w:szCs w:val="16"/>
          <w:color w:val="auto"/>
        </w:rPr>
        <w:t>age 55, has served as Chairman of the Board of Directors and Chief Executive Officer of Lazard Ltd and Lazard Group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 Mr. Jacobs was selected to be the Chairman and Chief Executive Officer of the Company because of his vision, intellect and dynamism, his proven track record of creativity in building new businesses, and his skills as a trusted advisor, collaborator and team leader.</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Philip A. Laskawy, </w:t>
      </w:r>
      <w:r>
        <w:rPr>
          <w:rFonts w:ascii="Arial" w:cs="Arial" w:eastAsia="Arial" w:hAnsi="Arial"/>
          <w:sz w:val="16"/>
          <w:szCs w:val="16"/>
          <w:color w:val="auto"/>
        </w:rPr>
        <w:t>age 72, has served as a director of Lazard Ltd and Lazard Group since July 2008. Mr. Laskawy served as Chairman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Ernst &amp; Young from 1994 until his retirement in 2001, after 40 years of service with the professional services firm. Mr. Laskawy served as Chairman of the International Accounting Standards Board from 2006 to 2007, and as a member of the 1999 Blue Ribbon Committee on Improving the Effectiveness of Corporate Audit Committees. Mr. Laskawy has served as Chairman of Fannie Mae since September 2008 and is also a member of the board of directors of Loews Corp. and Henry Schein, Inc. Mr. Laskawy had previously served on the board of directors of General Motors Corp. until June 2013. Mr. Laskawy is the Chairman of the Compensation Committee and a member of the Audit Committee of Lazard Ltd’s Board of Directors. Mr. Laskawy was selected to be a director of the Company because of his expertise in the areas of auditing and accounting, his qualifications as an “audit committee financial expert” and the unique perspective he brings as a former chief executive of a major professional services firm.</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Michael J. Turner, </w:t>
      </w:r>
      <w:r>
        <w:rPr>
          <w:rFonts w:ascii="Arial" w:cs="Arial" w:eastAsia="Arial" w:hAnsi="Arial"/>
          <w:sz w:val="16"/>
          <w:szCs w:val="16"/>
          <w:color w:val="auto"/>
        </w:rPr>
        <w:t>CBE, age 65, has served as a director of Lazard Ltd and Lazard Group since March 2006. In November 2008, Mr. Turner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the non-executive Chairman of Babcock International Group PLC. Mr. Turner was the Chief Executive Officer of BAE Systems plc from March 2002 until August 2008. Mr. Turner joined BAE Systems in 1966 and held a number of commercial, marketing and general management positions, including Chief Operating Officer from 1999 to March 2002. Mr. Turner was appointed a non-executive member of the board of directors of GKN PLC in September 2009 and then Chairman in May 2012. Mr. Turner is a member of the Compensation Committee and the Nominating &amp; Governance Committee of Lazard Ltd’s Board of Directors. Mr. Turner was selected to be a director of the Company because of his extensive background, experience and leadership as a former chief executive in the aerospace and defense industry and the Board of Directors’ desire to add geographical diversity to its membership that reflects the Company’s client base in Europe.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2015</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Andrew M. Alper, </w:t>
      </w:r>
      <w:r>
        <w:rPr>
          <w:rFonts w:ascii="Arial" w:cs="Arial" w:eastAsia="Arial" w:hAnsi="Arial"/>
          <w:sz w:val="16"/>
          <w:szCs w:val="16"/>
          <w:color w:val="auto"/>
        </w:rPr>
        <w:t>age 56, has served as a director of Lazard Ltd and Lazard Group since October 2012. Mr. Alper serves as Chairman of Alper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 From October 2006 to January 2013, Mr. Alper served as the Chairman and Chief Executive Officer of EQA Partners, LP, a limited partnership engaged in a global macro strategy. From February 2002 to June 2006, Mr. Alper served as President of the New York City Economic Development Corporation and Chairman of the New York City Industrial Development Agency, appointed to both positions by Mayor Michael Bloomberg. Prior to that, Mr. Alper spent 21 years in the Investment Banking Division of Goldman, Sachs &amp; Co., where he was Chief Operating Officer of the Investment Banking Division from 1997 to 2000. Mr. Alper was co-head of the Financial Institutions Group of the Investment Banking Division of Goldman, Sachs &amp; Co. from 1994 to 1997. Mr. Alper previously served on the board of directors of FBR Capital Markets Corporation from January 2007 until June 2009. Mr. Alper is Chairman of the University of Chicago board of trustees and also serves as a trustee of The University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Chicago Medical Center and the Mount Sinai Medical Center in New York. Mr. Alper is Chairman of the Audit Committee and a member of the Compensation Committee of Lazard Ltd’s Board of Directors. Mr. Alper was selected to be a director of the Company because of his extensive experience with the financial and operational aspects of businesses that are comparable to the Company, as well as his background and experience in government service.</w:t>
      </w:r>
    </w:p>
    <w:p>
      <w:pPr>
        <w:spacing w:after="0" w:line="107"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i w:val="1"/>
          <w:iCs w:val="1"/>
          <w:color w:val="auto"/>
        </w:rPr>
        <w:t xml:space="preserve">Ashish Bhutani, </w:t>
      </w:r>
      <w:r>
        <w:rPr>
          <w:rFonts w:ascii="Arial" w:cs="Arial" w:eastAsia="Arial" w:hAnsi="Arial"/>
          <w:sz w:val="15"/>
          <w:szCs w:val="15"/>
          <w:color w:val="auto"/>
        </w:rPr>
        <w:t>age 53, has served as a director of Lazard Ltd and Lazard Group since March 2010. Mr. Bhutani is a Managing Director of Lazard and has</w:t>
      </w:r>
      <w:r>
        <w:rPr>
          <w:rFonts w:ascii="Arial" w:cs="Arial" w:eastAsia="Arial" w:hAnsi="Arial"/>
          <w:sz w:val="15"/>
          <w:szCs w:val="15"/>
          <w:i w:val="1"/>
          <w:iCs w:val="1"/>
          <w:color w:val="auto"/>
        </w:rPr>
        <w:t xml:space="preserve"> </w:t>
      </w:r>
      <w:r>
        <w:rPr>
          <w:rFonts w:ascii="Arial" w:cs="Arial" w:eastAsia="Arial" w:hAnsi="Arial"/>
          <w:sz w:val="15"/>
          <w:szCs w:val="15"/>
          <w:color w:val="auto"/>
        </w:rPr>
        <w:t>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Bhutani was selected to be a director of the Company because of his extensive background, experience and knowledge of the asset management industry, his role within the firm as Chief Executive Officer of LAM and Mr. Jacobs’ and the Board’s desire that Mr. Bhutani become a regular contributor to the Board’s deliberations.</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Steven J. Heyer, </w:t>
      </w:r>
      <w:r>
        <w:rPr>
          <w:rFonts w:ascii="Arial" w:cs="Arial" w:eastAsia="Arial" w:hAnsi="Arial"/>
          <w:sz w:val="16"/>
          <w:szCs w:val="16"/>
          <w:color w:val="auto"/>
        </w:rPr>
        <w:t>age 61, has served as a director of Lazard Ltd and Lazard Group since June 2005 and was appointed Lead Director in November 2009.</w:t>
      </w:r>
      <w:r>
        <w:rPr>
          <w:rFonts w:ascii="Arial" w:cs="Arial" w:eastAsia="Arial" w:hAnsi="Arial"/>
          <w:sz w:val="16"/>
          <w:szCs w:val="16"/>
          <w:i w:val="1"/>
          <w:iCs w:val="1"/>
          <w:color w:val="auto"/>
        </w:rPr>
        <w:t xml:space="preserve"> </w:t>
      </w:r>
      <w:r>
        <w:rPr>
          <w:rFonts w:ascii="Arial" w:cs="Arial" w:eastAsia="Arial" w:hAnsi="Arial"/>
          <w:sz w:val="16"/>
          <w:szCs w:val="16"/>
          <w:color w:val="auto"/>
        </w:rPr>
        <w:t>Mr. Heyer is the Chairman and Chief Executive Officer of Lela.com, an ecommerce company. Mr. Heyer is also the Chairman and Chief Executive Officer of the Pod Hotel Group. Mr. Heyer is a member of the board of directors of Omnicare, Inc. From February 2010 until March 2011, Mr. Heyer served as Chairman and CEO of Harry &amp; David Holdings, Inc., a company that was in financial distress at the time of his appointment and that filed for bankruptcy protection in March 2011. Mr. Heyer resigned as CEO prior to the company’s bankruptcy filing but remained as Chairman to provide guidance and leadership through the bankruptcy proceedings. The company emerged from bankruptcy in September 2011, and Mr. Heyer resigned as Chairman at that time. Mr. Heyer was the Chief Executive Officer of Starwood Hotels &amp; Resorts Worldwide from October 2004 until April 2007. Prior to joining Starwood, he was President and Chief Operating Officer of The Coca-Cola Company from 2002 to September 2004. From 1994 to 2001 he was President and Chief Operating Officer of Turner Broadcasting System, Inc., and a member of AOL Time Warner’s Operating Committee. Previously, Mr. Heyer was President and Chief Operating Officer of Young &amp; Rubicam Advertising Worldwide, and before that spent 15 years at Booz Allen &amp; Hamilton, ultimately becoming Senior Vice President and Managing Partner. Mr. Heyer has ownership positions in a portfolio of private companies and is a member of many of their boards of directors. Mr. Heyer is a member of the Audit Committee, the Compensation Committee and the Nominating &amp; Governance Committee of Lazard Ltd’s Board of Directors. Mr. Heyer was selected to be a director of the Company because of the depth of his analytical skills, which he has applied in a variety of leadership positions across diverse industry groups, including broadcast media, consumer products, and hotel and leisure companies.</w:t>
      </w:r>
    </w:p>
    <w:p>
      <w:pPr>
        <w:spacing w:after="0" w:line="12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Sylvia Jay, </w:t>
      </w:r>
      <w:r>
        <w:rPr>
          <w:rFonts w:ascii="Arial" w:cs="Arial" w:eastAsia="Arial" w:hAnsi="Arial"/>
          <w:sz w:val="16"/>
          <w:szCs w:val="16"/>
          <w:color w:val="auto"/>
        </w:rPr>
        <w:t>CBE, age 67, has served as a director of Lazard Ltd and Lazard Group since March 2006. From June 2011 until July 2013, Lady Jay was</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L’Oreal UK. From September 2005 until June 2011, she was Vice Chairman of L’Oreal UK. From January 2001 to August 2005, she was the Director General of the Food &amp; Drink Federation, a UK trade body. Lady Jay joined the United Kingdom Civil Service in 1971. Her civil service career, until she resigned in 1995, mainly concerned government financial aid to developing countries, including being a non-executive director of the Gibraltar Ship Repair Company. She also worked in the Civil Service Selection Board to recruit fast stream administrators and diplomats; the French Ministere de la Cooperation; and the French Trésor. Lady Jay also was a member of a small international team that set up the European Bank for Reconstruction and Development. Lady Jay is a member of the board of directors of Saint-Gobain, Alcatel-Lucent and Groupe Casino, and was Chairman of Food from Britain from 2005 until 2009. Lady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Jay is a member of the Compensation Committee and the Nominating &amp; Governance Committee of Lazard Ltd’s Board of Directors. Lady Jay was selected to be a director of the Company because of her extensive background and experience in government service and the Board’s desire to add geographical diversity that reflects the Company’s client base in Europe.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with Terms Expiring in 2016</w:t>
      </w:r>
    </w:p>
    <w:p>
      <w:pPr>
        <w:spacing w:after="0" w:line="96" w:lineRule="exact"/>
        <w:rPr>
          <w:sz w:val="20"/>
          <w:szCs w:val="20"/>
          <w:color w:val="auto"/>
        </w:rPr>
      </w:pPr>
    </w:p>
    <w:p>
      <w:pPr>
        <w:ind w:right="220" w:firstLine="456"/>
        <w:spacing w:after="0" w:line="283" w:lineRule="auto"/>
        <w:rPr>
          <w:sz w:val="20"/>
          <w:szCs w:val="20"/>
          <w:color w:val="auto"/>
        </w:rPr>
      </w:pPr>
      <w:r>
        <w:rPr>
          <w:rFonts w:ascii="Arial" w:cs="Arial" w:eastAsia="Arial" w:hAnsi="Arial"/>
          <w:sz w:val="16"/>
          <w:szCs w:val="16"/>
          <w:i w:val="1"/>
          <w:iCs w:val="1"/>
          <w:color w:val="auto"/>
        </w:rPr>
        <w:t xml:space="preserve">Laurent Mignon, </w:t>
      </w:r>
      <w:r>
        <w:rPr>
          <w:rFonts w:ascii="Arial" w:cs="Arial" w:eastAsia="Arial" w:hAnsi="Arial"/>
          <w:sz w:val="16"/>
          <w:szCs w:val="16"/>
          <w:color w:val="auto"/>
        </w:rPr>
        <w:t>age 50, has served as a director of Lazard Ltd and Lazard Group since July 2009. Mr. Mignon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Natixis (the successor to IXIS Corporate &amp; Investment Bank) since May 2009. From September 2007 to May 2009, he was General Partner of Oddo &amp; Cie, a private French investment bank. Prior to joining Oddo &amp; Cie, Mr. Mignon was the Chief Executive Officer of AGF France. He joined AGF France in 1997 as Chief Financial Officer and was nominated to be a member of the Executive Committee in 1998. Prior to joining the AGF Group, Mr. Mignon held a variety of positions in banking over a ten-year period, ranging from trading to investment banking. Mr. Mignon is a member of the board of directors of Arkema.</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Mignon was selected to be a director of the Company pursuant to an agreement that Lazard entered into with Natixis at the time of Lazard Ltd’s equity public offering in 2005. See “Agreements with Natixis” below.</w:t>
      </w:r>
    </w:p>
    <w:p>
      <w:pPr>
        <w:spacing w:after="0" w:line="1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Richard D. Parsons, </w:t>
      </w:r>
      <w:r>
        <w:rPr>
          <w:rFonts w:ascii="Arial" w:cs="Arial" w:eastAsia="Arial" w:hAnsi="Arial"/>
          <w:sz w:val="16"/>
          <w:szCs w:val="16"/>
          <w:color w:val="auto"/>
        </w:rPr>
        <w:t>age 65, has served as a director of Lazard Ltd and Lazard Group since June 2012. Mr. Parsons has been a senior advisor to Providence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Partners LLC since September 2009. Mr. Parsons also serves as a member of the Council on Jobs and Competitiveness for the U.S. Office of the President. Mr. Parsons is a member of the board of directors of The Estée Lauder Companies Inc. and The Madison Square Garden Company. Mr. Parsons previously served as Chairman of the board of directors of Citigroup Inc. from February 2009 through April 2012, and had served as a director of Citigroup Inc. since 1996. From May 2003 until his retirement in December 2008, Mr. Parsons served as Chairman of the board of directors of Time Warner Inc., and from May 2002 until December 2007, Mr. Parsons served as Chief Executive Officer of Time Warner Inc. Mr. Parsons was formerly Chairman and Chief Executive Officer of Dime Bancorp, Inc. Among his numerous community activities, Mr. Parsons is Chairman of the Apollo Theatre Foundation, Chairman of the Jazz Foundation of America, and a member of the board of directors of the New York City Partnership and Teach for America. Mr. Parsons also is a trustee of the Museum of Modern Art. Mr. Parsons is a member of the Nominating &amp; Governance Committee of Lazard Ltd’s Board of Directors. Mr. Parsons was selected to be a director of the Company because of his extensive and diverse leadership experience with both financial services and non-financial services businesses.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Hal S. Scott, </w:t>
      </w:r>
      <w:r>
        <w:rPr>
          <w:rFonts w:ascii="Arial" w:cs="Arial" w:eastAsia="Arial" w:hAnsi="Arial"/>
          <w:sz w:val="16"/>
          <w:szCs w:val="16"/>
          <w:color w:val="auto"/>
        </w:rPr>
        <w:t>age 70, has served as a director of Lazard Ltd and Lazard Group since March 2006. Professor Scott is the Nomura Professor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Program on International Financial Systems at Harvard Law School, where he has taught since 1975. Before joining Harvard, he served as a Law Clerk for the Hon. Justice Byron R. White, U.S. Supreme Court, from 1973 to 1974, and as an Assistant Professor of Law, University of California at Berkeley from 1974 to 1975. Professor Scott has published numerous books and articles on finance, international trade and securities laws. He is the President of the Committee on Capital Markets Regulation, Inc. Professor Scott is a past President of the International Academy of Consumer and Commercial Law and was a Governor of the American Stock Exchange from 2002 to 2005. Professor Scott is the Chairman of the Nominating &amp; Governance Committee and a member of the Audit Committee of Lazard Ltd’s Board of Directors. Professor Scott was selected to be a director of the Company because of his impressive academic background and expertise in public policy and global financial market regulation as it affects the financial services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Natixis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2013, Natixis (the successor to IXIS Corporate &amp; Investment Bank) held 6,999,800 shares of Class A common stock of Lazard Ltd, of which 2,000,000 shares of Class A common stock were acquired in recapitalization transactions in May 2005 and 4,999,800 shares were acquired in May 2008 upon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settlement of the purchase contracts related to $150 million of Lazard Ltd’s equity security units (which equity security units were also acquired in the recapitalization transactions in May 2005). In connection with this investment by Natixis in May 2005, we agreed to nominate one person designated by Natixis to our Board of Directors until such time as (1) the shares of common stock of Lazard Ltd then owned by Natixis, plus (2) the shares of common stock of Lazard Ltd issuable under the terms of any exchangeable securities issued by Lazard Ltd then owned by Natixis, constitute less than 50% of the sum of (a) the shares of common stock of Lazard Ltd initially purchased by Natixis, plus (b) the shares of common stock of Lazard Ltd issuable under the terms of any exchangeable securities issued by Lazard Ltd initially purchased by Natixis. Laurent Mignon is currently the Natixis nominee to our Board of Directors.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Since Lazard Ltd’s Class A common stock is listed on the New York Stock Exchange and Lazard Group is part of Lazard Ltd’s consolidated reporting group, Lazard Group is not required to have a separate audit committee. Lazard Ltd maintains an independent audit committee and the Board of Directors of Lazard Ltd has determined that Mr. Laskawy has the requisite qualifications to satisfy the SEC’s definition of “audit committee financial expert”.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Ltd has adopted a Code of Business Conduct and Ethics that is applicable to all directors, managing directors, officers and employees of Lazard Ltd and its subsidiaries and affiliates. Lazard Ltd also has adopted a Supplement to the Code of Business Conduct and Ethics for certain other senior officers, including our Chief Executive Officer, Chief Financial Officer and principal accounting officer. Each of these codes is available on our website at http://www.lazard.com/Investorrelations/CodeandEthics.aspx. A print copy of each of these documents is available to any shareholder upon request. We intend to disclose amendments to, or waivers from, the Code of Business Conduct and Ethics, if any, on our website.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Information relating to the compensation of our directors and executive officers, including a Compensation Discussion and Analysis, will be included in Lazard Ltd’s definitive proxy statement for its 2014 annual general meeting of shareholders. We expect that Lazard Ltd will file its definitive proxy statement in March 2014. An amendment to this 2013 Annual Report on Form 10-K will be made at that time to reflect this additional compensation information.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2013, approximately 99.5% and 0.5% of our common membership interests were held by indirect wholly-owned subsidiaries of Lazard Ltd and by LAZ-MD Holdings, respectively. Our managing member interests are held by two indirect wholly-owned subsidiaries of Lazard Ltd and our profit participation interests are held by various managing directors.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corporate governance listing standards of the NYSE, the Board of Directors has adopted standards for determining whether directors have material relationships with Lazard. Under these standards, a director employed by Lazard cannot be deemed to be an “independent director,” and consequently Messrs. Jacobs and Bhutani are not independent directors of Lazard.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has determined that Messrs. Alper, Heyer, Laskawy, Parsons, Scott and Turner and Lady Jay do not have a material relationship with Lazard under the Board of Directors’ standards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independence and, accordingly, each is independent under the NYSE corporate governance listing standards. In making its independence determinations, the Board of Directors considered financial advisory services provided by Lazard in 2013, 2012 and 2011 to L’Oreal USA, Inc., a sister company of L’Oreal UK, as well as financial advisory services provided by Lazard to L’Oreal SA, the ultimate parent company of L’Oreal UK. Until her retirement in July 2013, Lady Jay was Chairman of L’Oreal UK. Lady Jay was not an executive officer of L’Oreal USA or L’Oreal SA. Lazard provided financial advisory services in the ordinary course of business to L’Oreal USA and L’Oreal SA pursuant to these engagements, and the engagements were deemed immaterial pursuant to Lazard’s Standards of Director Independence.</w:t>
      </w:r>
    </w:p>
    <w:p>
      <w:pPr>
        <w:spacing w:after="0" w:line="14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Board of Directors also determined that Mr. Mignon was independent, after giving careful consideration to the relationship between Lazard and Natixis, of which Mr. Mignon is the Chief Executive Officer. Natixis is the successor entity in a merger with IXIS Corporate &amp; Investment Bank, which participated as an investor in the recapitalization transactions in May 2005. See “Agreements with Natixis” above. In connection with Natixis’s original investment in 2005, Lazard agreed to nominate one person designated by Natixis to our Board of Directors, currently Mr. Mignon. Lazard had a cooperation arrangement with Natixis in France during 2012. The cooperation arrangement provided that Lazard Group and Natixis would place and underwrite securities on the French equity primary capital markets under a common brand, “Lazard-Natixis,” and cooperate in their respective origination, syndication and placement activities. The cooperation arrangement expired on December 31, 2012, and did not generate revenue for Natixis or Lazard during 2013. The Board of Directors determined, in its business judgment, that these relationships were not material, noting that the cooperation arrangement did not generate revenue for Natixis or Lazard during 2013 and, during 2012, the cooperation arrangement generated only $800,000 and $500,000 of revenue for Natixis and Lazard, respectively. See “Agreements with Natixis” and “Certain Relationships with Our Directors, Executive Officers and Employees.”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Party Transactions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has adopted a written policy requiring that all “Interested Transactions” (as defined below) be approved or ratified by either the Nominating &amp; Governance Committee of Lazard Ltd or, under certain circumstances, the Chair of the Nominating &amp; Governance Committee of Lazard Ltd. The Nominating &amp; Governance Committee of Lazard Ltd is required to review the material facts of all Interested Transactions that require the Committee’s approval or ratification and either approve or disapprove of the entry into the Interested Transaction. In determining whether to approve or ratify an Interested Transaction, the Nominating &amp; Governance Committee of Lazard Ltd takes into account, among other factors it deems appropriate, whether the Interested Transaction is on terms no less favorable than terms generally available to an unaffiliated third-party under the same or similar circumstances and the extent of the interest of the “Related Party” (as defined below) in the transaction. In addition, the Board of Directors of Lazard Ltd has delegated to the Chair of the Nominating &amp; Governance Committee of Lazard Ltd the authority to pre-approve or ratify (as applicable) any Interested Transaction with a Related Party in which the aggregate amount involved is expected to be less than $1 million. A report is then made to the Nominating &amp; Governance Committee of Lazard Ltd at its next regularly scheduled meeting of each new Interested Transaction pre-approved by the Chair of the Nominating &amp; Governance Committee of Lazard Ltd. Any director who is a Related Party with respect to an Interested Transaction may not participate in any discussion or approval of such Interested Transaction. An “Interested Transaction” is one in which (i) we are a participant, (ii) the aggregate amount involved will or may be expected to exceed $120,000, (iii) one of our executive officers, directors, director nominees, 5% shareholders, or their family members (each a “Related Party”) has a direct or indirect material interest in the transaction and (iv) the transaction is required to be disclosed in our Proxy Statement or Annual Report on Form 10-K pursuant to the rules and regulations promulgated by the SEC.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May 10, 2005, as part of Lazard Ltd’s equity public offering, we completed a series of financing transactions, the net proceeds of which were primarily used to redeem the outstanding Lazard Group membership interests of Lazard Group’s historical partners. In the discussions below, we refer to these financing transactions and the equity public offering, collectively, as the “recapitalization.” Concurrently, on May 10, 2005, Lazard Group transferred its capital markets business, which consisted of equity, fixed income and convertibles sales and trading, broking, research and underwriting services, its fund management activities outside of France and specified non-operating assets and liabilities, to LFCM Holdings. In the discussions below, we refer to these businesses, assets and liabilities as the “separated businesses” and these transfers collectively as the “separation.”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Relationship with LAZ-MD Holdings and LFCM Holdings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2013, LAZ-MD Holdings owned approximately 0.50% of the voting power of all shares of Lazard Ltd’s voting stock through its ownership of the Class B common stock of Lazard Ltd. LAZ-MD Holdings’ voting power in Lazard Ltd is intended to mirror its economic interest in Lazard Group, and its voting power will continue to decrease over time in connection with the exchange of the LAZ-MD Holdings exchangeable interests by current and former members of Lazard Group for shares of Lazard Ltd’s Class A common stock. The current and former members of Lazard Group, including our managing directors who held member interests at the time of the recapitalization, own LAZ-MD Holdings exchangeable interests and, through the LAZ-MD Holdings stockholders’ agreement, have the right to cause LAZ-MD Holdings to vote its Class B common stock on an as-if-exchanged basis.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LFCM Holdings, which is the entity that owns and operates the separated businesses, ceased to be a subsidiary of Lazard Group and LAZ-MD Holdings at the time of the separation. It is owned by current and former managing directors (including our executive officers). The chairman of LFCM Holdings provides services to, and is compensated by, Lazard Frères &amp; Co. LLC, a wholly owned subsidiary of Lazard Group. LFCM Holdings reimbursed us for a portion of our compensation expenses relating to such person for services that he rendered to LFCM Holdings in 2013. The aggregate amount of such reimbursement was approximately $500,000 as of December 31, 2013. LFCM Holdings or its affiliates also reimbursed us for services of certain other employees of our business that were rendered to LFCM Holdings during 2013 and made payments to us under sublease arrangements during 2013.</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entered into several agreements with Lazard Ltd, LAZ-MD Holdings and LFCM Holdings to effect the separation and recapitalization transactions and to define and regulate the relationships of the parties.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LAZ-MD Holdings and LFCM Holdings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provided below summary descriptions of the master separation agreement and the other key related agreements we entered into with Lazard Ltd, LAZ-MD Holdings and LFCM Holdings in connection with the separation and recapitalization transactions, as well as any material amendments thereto. These agreements effected the separation and recapitalization transactions and also provide a framework for our ongoing relationship with LAZ-MD Holdings and LFCM Holdings. These agreements include:</w:t>
      </w:r>
    </w:p>
    <w:p>
      <w:pPr>
        <w:spacing w:after="0" w:line="62"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master separation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administrative services agreement;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business alliance agreement.</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descriptions set forth below, which summarize selected terms of these agreements, are not complete. Copies of these agreements have been filed as exhibits to our Annual Report on Form 10-K and are available to the public from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Separation Agreement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Lazard Ltd entered into the master separation agreement with Lazard Group, LAZ-MD Holdings and LFCM Holdings. The master separation agreement contains key provisions relating to the separation and recapitalization transactions and the relationship among the parties after completion of the separation and recapitalization. The master separation agreement identified the assets, liabilities and businesses of Lazard Group that were transferred to LFCM Holdings in connection with the separation and recapitalization and described when and how the separation and recapitalization occurred. In addition, the master separation agreement continues to regulate aspects of the relationship among the parties, including the exchange mechanics of the LAZ-MD Holdings exchangeable interests.</w:t>
      </w:r>
    </w:p>
    <w:p>
      <w:pPr>
        <w:spacing w:after="0" w:line="14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Relationship Among Lazard Ltd, Lazard Group, LAZ-MD Holdings and LFCM Holdings. </w:t>
      </w:r>
      <w:r>
        <w:rPr>
          <w:rFonts w:ascii="Arial" w:cs="Arial" w:eastAsia="Arial" w:hAnsi="Arial"/>
          <w:sz w:val="18"/>
          <w:szCs w:val="18"/>
          <w:color w:val="auto"/>
        </w:rPr>
        <w:t>The master separation agreement contains various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relationship among Lazard Ltd, Lazard Group, LAZ-MD Holdings and LFCM Holdings after the separation and recapitalization, including with respect to the following matters.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Limitation on Scope of LAZ-MD Holdings’ Operations. </w:t>
      </w:r>
      <w:r>
        <w:rPr>
          <w:rFonts w:ascii="Arial" w:cs="Arial" w:eastAsia="Arial" w:hAnsi="Arial"/>
          <w:sz w:val="18"/>
          <w:szCs w:val="18"/>
          <w:color w:val="auto"/>
        </w:rPr>
        <w:t>The master separation agreement provides that LAZ-MD Holdings will not engage in any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to act as the holding company for the members’ interests in Lazard Group and Lazard Ltd’s Class B common stock and actions incidental thereto, except as otherwise agreed by Lazard Ltd.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Parity of Lazard Group Common Membership Interests and Lazard Ltd’s common stock. </w:t>
      </w:r>
      <w:r>
        <w:rPr>
          <w:rFonts w:ascii="Arial" w:cs="Arial" w:eastAsia="Arial" w:hAnsi="Arial"/>
          <w:sz w:val="16"/>
          <w:szCs w:val="16"/>
          <w:color w:val="auto"/>
        </w:rPr>
        <w:t>The master separation agreement sets forth the intention of Lazard</w:t>
      </w:r>
      <w:r>
        <w:rPr>
          <w:rFonts w:ascii="Arial" w:cs="Arial" w:eastAsia="Arial" w:hAnsi="Arial"/>
          <w:sz w:val="16"/>
          <w:szCs w:val="16"/>
          <w:i w:val="1"/>
          <w:iCs w:val="1"/>
          <w:color w:val="auto"/>
        </w:rPr>
        <w:t xml:space="preserve"> </w:t>
      </w:r>
      <w:r>
        <w:rPr>
          <w:rFonts w:ascii="Arial" w:cs="Arial" w:eastAsia="Arial" w:hAnsi="Arial"/>
          <w:sz w:val="16"/>
          <w:szCs w:val="16"/>
          <w:color w:val="auto"/>
        </w:rPr>
        <w:t>Group and Lazard Ltd that the number of Lazard Group common membership interests held by Lazard Ltd (or its subsidiaries) will at all times be equal in number to the number of outstanding shares of Lazard Ltd’s common stock, subject to customary anti-dilution adjustments.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master separation agreement sets forth the intention of Lazard Group to reimburse Lazard Ltd for its costs and expenses incurred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LAZ-MD Holdings Exchangeable Interests. </w:t>
      </w:r>
      <w:r>
        <w:rPr>
          <w:rFonts w:ascii="Arial" w:cs="Arial" w:eastAsia="Arial" w:hAnsi="Arial"/>
          <w:sz w:val="16"/>
          <w:szCs w:val="16"/>
          <w:color w:val="auto"/>
        </w:rPr>
        <w:t>The master separation agreement sets forth the terms and arrangements with respect to the LAZ-MD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interests, including the exchange rate and timing of exchangeability of those interests. The master separation agreement also provides for certain mandatory exchanges of LAZ-MD Holdings exchangeable interests, including mandatory exchanges that may be caused by subsidiaries of Lazard Ltd following the ninth anniversary of Lazard Ltd’s initial equity public offering, or May 10, 2014.</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In general, under the master separation agreement, Lazard Group indemnifies LFCM Holdings, LAZ-MD Holdings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and affiliates for any and all losses (including tax losses) that such persons incur to the extent arising out of or relating to our business (both historically and in the future) and any and all losses that LFCM Holdings, LAZ-MD Holdings and their respective representatives and affiliates incur arising out of or relating to any breach of the master separation agreement by Lazard Group or Lazard Ltd.</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under the master separation agreement, LFCM Holdings indemnifies Lazard Ltd, Lazard Group, LAZ-MD Holdings and their respective representatives and affiliates for any and all losses (including tax losses) that such persons incur arising out of or relating to the separated businesses and the businesses conducted by LFCM Holdings (both historically and in the future) and any and all losses that Lazard Ltd, Lazard Group, LAZ-MD Holdings and their respective representatives or affiliates incur arising out of or relating to any breach of the master separation agreement by LFCM Holdings.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general, under the master separation agreement, LAZ-MD Holdings indemnifies Lazard Ltd, Lazard Group, LFCM Holdings and their respective representatives and affiliates for any and all losses that such persons incur to the extent arising out of or relating to any breach of the master separation agreement by LAZ-MD Holdings.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Any indemnification amounts are reduced by any insurance proceeds and other offsetting amounts recovered by the indemnitee. The master separation agreement specifies procedures with respect to claims subject to indemnification and related matters.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The master separation agreement also contains provisions governing the sharing of information between Lazard Ltd and Lazard Group,</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LAZ-MD Holdings and LFCM Holdings, on the other hand.</w:t>
      </w:r>
    </w:p>
    <w:p>
      <w:pPr>
        <w:spacing w:after="0" w:line="132"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On November 6, 2006, Lazard Ltd, Lazard Group and LAZ-MD Holdings entered into Amendment No. 1 to the master separation agreement (the “amendment”). The amendment modified the provisions of the master separation agreement relating to the exchange terms of the LAZ-MD Holdings exchangeable interests. The modifications included the following:</w:t>
      </w:r>
    </w:p>
    <w:p>
      <w:pPr>
        <w:spacing w:after="0" w:line="59" w:lineRule="exact"/>
        <w:rPr>
          <w:sz w:val="20"/>
          <w:szCs w:val="20"/>
          <w:color w:val="auto"/>
        </w:rPr>
      </w:pPr>
    </w:p>
    <w:p>
      <w:pPr>
        <w:ind w:left="900" w:right="2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exchange of LAZ-MD Holdings exchangeable interests may be conditioned upon the actual sale of all or any portion (such amount designated by the holder) of the LAZ-MD Holdings exchangeable interests in connection with a registered offering.</w:t>
      </w:r>
    </w:p>
    <w:p>
      <w:pPr>
        <w:spacing w:after="0" w:line="5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Holders of LAZ-MD Holdings exchangeable interests that are then exchangeable may exchange these interests not only at annual registration periods, but also in connection with demand and piggy-back registration opportunities and during window periods after the filing of selected Quarterly Reports on Form 10-Q and Annual Reports on Form 10-K by Lazard Ltd.</w:t>
      </w:r>
    </w:p>
    <w:p>
      <w:pPr>
        <w:spacing w:after="0" w:line="59"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addition to requiring the consent of Lazard Ltd, Lazard Group and LAZ-MD Holdings to amend the exchangeability provisions, any amendment that materially and adversely impacts the rights of any holder thereunder requires the consent of such holder, or it will not apply to such person unless such amendment applies to, and affects the rights of all holders equally, regardless of whether or not such person is providing services to Lazard Ltd.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License Agreement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logo, trademarks, trade names and service marks of Lazard are currently the property of various wholly owned subsidiaries of Lazard Group. Pursuant to the master separation agreement, Lazard Group and those subsidiaries entered into a license agreement with LFCM Holdings that governs the use of the Lazard and LF names by LFCM Holdings in connection with the separated businesses.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LFCM Holdings is permitted to use the Lazard and LF names to the extent that the Lazard name was being used at the time of the separation and recapitalization by the separated businesses and is permitted to use the LF name solely for the use of the name LFCM Holdings LLC in its capacity as a holding company for the separated businesses. Under the agreement, LFCM Holdings pays $100,000 per year for the right to license the Lazard name. The license survives with respect to capital markets activities until the expiration or termination of the business alliance provided for in the business alliance agreement that LFCM Holdings entered into with Lazard Group. With respect to alternative investment (including private equity) activities, LFCM Holdings’ license survives until the earlier of the expiration, termination or closing of the options to purchase the North American and European fund management activities, granted in the business alliance agreement, as described in “—Business Alliance Agreement”, or until the business alliance agreement is terminated. The license for the LF name in LFCM Holdings LLC may be terminated by either party for any reason after the license with respect to the capital markets business and the license for the alternative investment activities have both expired or been terminated. Upon termination of either the license with respect to the capital markets business or the license for the alternative investment activities, the license fee for the calendar year following the termination and each year thereafter will be $75,000 per year. If both of those licenses are terminated, the license fee for the calendar year following the termination and each year thereafter will be $25,000 per year.</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an administrative services agreement with LAZ-MD Holdings and LFCM Holdings regarding the provision of administrative and support services after the separation and recapitalization.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provides selected administrative and support services to LAZ-MD Holdings and LFCM Holdings, such as:</w:t>
      </w:r>
    </w:p>
    <w:p>
      <w:pPr>
        <w:spacing w:after="0" w:line="51"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cash management and debt service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accounting and financing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payroll;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human resources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financial transaction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public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data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real estate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general administrative functions.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Lazard Group charges LFCM Holdings for the above services based on Lazard Group’s cost allocation methodology. Notwithstanding Lazard Group’s provision of data processing services, Lazard Group does not provide any security administration services, as such services were transferred to LFCM Holdings.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also provides tax services to LAZ-MD Holdings and LFCM Holdings provides security administrative services to Lazard Group.</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services provided by Lazard Group to LFCM Holdings, and by LFCM Holdings to Lazard Group, under the administrative services agreement generally were to be provided until December 31, 2008, and were subject to automatic annual renewal, unless either party gives 180 days’ notice of termination. As of December 31, 2013, neither party has given notice of termination, and the agreement has been automatically renewed for an additional one-year period. LFCM Holdings and Lazard Group have a right to terminate the services earlier if there is a change of control of either party or the business alliance provided for in the business alliance agreement expires or is terminated. The party receiving a service may also terminate a service earlier upon 180 days’ notice as long as such receiving party pays the service provider an additional three months of service fee for the terminated service. The services provided by Lazard Group to LAZ-MD Holdings will generally be provided until December 31, 2014, unless terminated earlier. See Note 18 of Notes to the Consolidated Financial Statements contained in this 2013 Annual Report on Form 10-K for a discussion of payments made in 2013 under the administrative services agreement.</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the absence of gross negligence or willful misconduct, the party receiving services under the administrative services agreement waives any rights and claims it may have against the service provider in respect of any services provided under the administrative services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Alliance Agreement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Lazard Group and LFCM Holdings entered into a business alliance agreement that provides for the continuation of Lazard Group’s and LFCM Holdings’ business relationships in the areas and on the terms summarized below.</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alliance agreement provides that Lazard Group will refer to LFCM Holdings selected opportunities for underwriting and distribution of securities. In addition, Lazard Group will provide assistance in the execution of any such referred business. In exchange for this referral obligation and assistance, Lazard Group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is entitled to a referral fee from LFCM Holdings equal to approximately half of the revenue obtained by LFCM Holdings in respect of any underwriting or distribution opportunity. In addition, LFCM Holdings will refer opportunities in the financial advisory and asset management businesses to Lazard Group. In exchange for this referral, LFCM Holdings is entitled to a customary finders’ fee from Lazard Group. In addition, the business alliance agreement further provides that, during the term of the business alliance, Lazard Frères &amp; Co. LLC and Lazard Asset Management Securities LLC will introduce execution and settlement transactions to newly formed broker-dealer entities affiliated with LFCM Holdings. The term of the business alliance is subject to periodic automatic renewal, unless either party elects not to renew or elects to terminate on account of a change of control of the other party. As of December 31, 2013, the date by which either party was required to provide notice of non-renewal had been tolled, and neither party had given notice of non-renewal or termination. See Note 18 of Notes to the Consolidated Financial Statements contained in this 2013 Annual Report on Form 10-K for a discussion of payments made in 2013 under the business alliance agreement.</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the business alliance agreement granted Lazard Group an option to purchase the North American fund management activities of Lazard Alternative Investments Holdings LLC, or LAI, the subsidiary of LFCM Holdings that owns and operates LFCM Holdings’ alternative investment activities. This option is currently exercisable at any time prior to May 10, 2014 for a purchase price of $2.5 million. The option price for the North American fund management activities reflects a reduction of $1.5 million due to the payment of a like amount to LFCM Holdings in February 2008 in connection with the initial public offering of Sapphire Industrials Corp., a special purpose acquisition company formed by a subsidiary of Lazard Group, and a reduction of $4 million due to the payment of a like amount in February 2009 to LFCM Holdings in connection with the spin-off of Corporate Partners II Limited to the investment professionals who managed it. In consideration for the February 2009 payment, the business alliance agreement was amended to remove any restriction on Lazard Group engaging in private equity businesses in North America. See Note 18 of Notes to the Consolidated Financial Statements contained in this 2013 Annual Report on Form 10-K. LAI’s fund management activities initially consisted of fund management and general partner entities that were transferred to LFCM Holdings in connection with the separation. The business alliance agreement provides that, prior to the expiration, termination or exercise of the option, Lazard Group has certain governance rights with respect to LAI, and LFCM Holdings is required to support the business of LAI. Lazard Group may agree to new capital commitments and other obligations with respect to newly formed funds in its sole discretion. Lazard Group may be entitled to receive from LFCM Holdings all or a portion of payments from the incentive fees attributable to newly established LAI funds less compensation payable to investment professionals who manage these funds. In addition, Lazard Group is obligated to abide by obligations that existed as of the date of the separation and recapitalization with respect to funds existing as of such date.</w:t>
      </w:r>
    </w:p>
    <w:p>
      <w:pPr>
        <w:spacing w:after="0" w:line="12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business alliance agreement, LFCM Holdings agreed not to compete with any existing Lazard Group businesses until the latest to occur of the termination of the license agreement, the expiration, termination or exercise of the option to purchase the North American merchant banking activities, or the expiration or termination of the business alliance.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fourth quarter of 2013, Lazard Group completed a refinancing of its 7.125% senior notes due 2015 (the “2015 Notes”) by issuing a tender and redemption notice for the 2015 Notes and by issuing $500 million of 4.25% senior notes due 2020 (the “2020 Notes”). Lazard Capital Markets LLC (“LCM”), a subsidiary of LFCM Holdings, served as a co-manager in the offering of the 2020 Notes. Pursuant to the business alliance agreement, Lazard Group became entitled to receive approximately half of the revenue obtained by LCM in connection with the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LAZ-MD Holdings Stockholders’ Agreement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Members of LAZ-MD Holdings, consisting of current and former members of Lazard Group, including certain managing directors, have entered into a stockholders’ agreement with LAZ-MD Holdings and Lazard Ltd that addresses, among other things, LAZ-MD Holdings’ voting of its share of Class B common stock of Lazard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Ltd and registration rights in favor of the shareholders who are party to the agreement. Every member at the time of the separation and recapitalization was offered the opportunity to become a party to the LAZ-MD Holdings stockholders’ agreement.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LAZ-MD Holdings stockholders’ agreement will continue in effect until all LAZ-MD Holdings exchangeable interests have been exchanged for shares of Lazard Ltd’s common stock, and individual members of LAZ-MD Holdings will cease being party to the LAZ-MD Holdings stockholders’ agreement upon full exchange of their LAZ-MD Holdings exchangeable interests and underlying Lazard Group interests for Lazard Ltd’s common stock and such common stock is capable of resale generally under Rule 144 of the Securities Act of 1933, as amended (the “Securities Act”). The LAZ-MD Holdings stockholders’ agreement may be terminated on an earlier date by LAZ-MD Holdings members entitled to vote at least 66 2/3% of the aggregate voting power represented by the LAZ-MD Holdings members who are party to the LAZ-MD Holdings stockholders’ agreement. The LAZ-MD Holdings stockholders’ agreement generally may be amended at any time by a majority of the aggregate voting power represented by LAZ-MD Holdings members who are party to the LAZ-MD Holdings stockholders’ agreement.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November 6, 2006, Lazard Group delivered to LAZ-MD Holdings an acknowledgement letter (the “acknowledgement letter”) modifying the terms of the retention agreements of persons party to the amended and restated LAZ-MD stockholders’ agreement who were at that time current managing directors. The modifications include Lazard Group’s agreement that, in the event that any such person shall become entitled to exchangeability immediately following the third anniversary of the initial equity public offering, or May 10, 2008, of his or her LAZ-MD Holdings exchangeable interests, that person will not forfeit the right to early exchangeability with respect to the first tranche of his or her LAZ-MD Holdings exchangeable interests if he or she breaches the restrictive covenants (</w:t>
      </w:r>
      <w:r>
        <w:rPr>
          <w:rFonts w:ascii="Arial" w:cs="Arial" w:eastAsia="Arial" w:hAnsi="Arial"/>
          <w:sz w:val="16"/>
          <w:szCs w:val="16"/>
          <w:i w:val="1"/>
          <w:iCs w:val="1"/>
          <w:color w:val="auto"/>
        </w:rPr>
        <w:t>i.e.</w:t>
      </w:r>
      <w:r>
        <w:rPr>
          <w:rFonts w:ascii="Arial" w:cs="Arial" w:eastAsia="Arial" w:hAnsi="Arial"/>
          <w:sz w:val="16"/>
          <w:szCs w:val="16"/>
          <w:color w:val="auto"/>
        </w:rPr>
        <w:t>, non-compete and non-solicitation provisions) in the retention agreement of such individual (although shares in the second and third tranches that would otherwise become exchangeable would not be exchangeable until the eighth anniversary of our equity public offering (May 10, 2013) in such an instance). The terms of the acknowledgement letter were approved by our Board of Directors.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u w:val="single" w:color="auto"/>
          <w:color w:val="auto"/>
        </w:rPr>
        <w:t>Registration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6, 2006, the LAZ-MD Holdings stockholders’ agreement was amended and restated. The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modified in certain respects the terms of the registration rights granted to holders of the LAZ-MD Holdings exchangeable interests who are party to that agreement.</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amended and restated LAZ-MD Holdings stockholders’ agreement provides that the holders of shares of Lazard Ltd’s common stock already issued or to be issued upon exchange of the LAZ-MD Holdings exchangeable interests or the Lazard Group common membership interests currently held by LAZ-MD Holdings will be granted registration rights. These shares we refer to as “registrable securities,” and the holders of these registrable securities we refer to as “holders.” The holders are third-party beneficiaries for that purpose under the amended and restated LAZ-MD Holdings stockholders’ agreement, meaning that they will have the right to request LAZ-MD Holdings to compel Lazard Ltd to honor those obligations under the amended and restated LAZ-MD Holdings stockholders’ agreement.</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amended and restated LAZ-MD Holdings stockholders’ agreement provides that, after exchange for shares of Lazard Ltd’s common stock, each holder is entitled to unlimited “piggyback” registration rights, meaning that each holder can include his or her registrable securities in registration statements filed by Lazard Ltd, subject to certain limitations. Holders also have “demand” registration rights, meaning that after exchange for shares of Lazard Ltd’s common stock, they may require us to register the registrable securities held by them, subject to certain minimum sale and other requirements. Lazard Ltd will pay the costs associated with all such registrations. Moreover, Lazard Ltd also will use its reasonable best efforts to file and make effective a registration statement on the third through the ninth anniversaries of the separation and recapitalization, in order to register registrable securities that were issued on those anniversaries or otherwise subject to continuing volume or transfer restrictions under Rule 144 of the Securities Act upon the exchange of the LAZ-MD Holdings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exchangeable interests and the Lazard Group common membership interests, provided that the amount of registrable securities subject to such registration exceeds certain minimum value requirements.</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Shares of Lazard Ltd’s common stock will cease to be registrable securities upon the consummation of any sale of such shares pursuant to an effective registration statement or under Rule 144 of the Securities Act or when they become eligible for sale under Rule 144 of the Securities Act. However, any holder who has shares that would have been registrable securities but for their eligibility for sale under Rule 144 and who holds, in the aggregate, an amount of registrable securities with a market value in excess of $25 million of Lazard Ltd’s outstanding common stock will be entitled to continued demand, annual registration and piggyback registration rights as described above.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amendments to the registration rights provisions of the amended and restated stockholders’ agreement shall require the affirmative approval of holders holding two-thirds of the shares of Lazard Ltd common stock covered under the amended and restated stockholders’ agreement in addition to the consent of Lazard Ltd and LAZ-MD Holdings, and any amendment that materially and adversely impacts the rights of any holder under the amended and restated stockholders’ agreement will also require the consent of such holder or it will not apply to such person unless such amendment applies to and affects the rights of all holders equally, regardless of whether or not such person is providing services to Lazard Ltd.</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Each holder of registrable securities party to the amended and restated stockholders’ agreement may enforce his or her registration rights directly against Lazard Ltd, although LAZ-MD Holdings may elect to assume, seek and conduct the enforcement of any claims itself on behalf of such holder.</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expect that substantially all of Lazard Ltd’s common stock to be issued upon exchange of the LAZ-MD Holdings exchangeable interests will have the foregoing registration rights.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u w:val="single" w:color="auto"/>
          <w:color w:val="auto"/>
        </w:rPr>
        <w:t>Voting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any vote of the shareholders of Lazard Ltd, the LAZ-MD Holdings stockholders’ agreement requires a separate, preliminary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members of LAZ-MD Holdings who are party to the LAZ-MD Holdings stockholders’ agreement (either by a meeting or by proxy or written instruction of the members of LAZ-MD Holdings) on each matter upon which a vote of the shareholders is proposed to be taken. Pursuant to the LAZ-MD Holdings stockholders’ agreement, members of LAZ-MD Holdings holding LAZ-MD Holdings exchangeable interests who are party to that agreement are individually entitled to direct LAZ-MD Holdings how to vote their proportionate interest in Lazard Ltd’s Class B common stock on an as-if-exchanged basis. For example, if a current or former member’s LAZ-MD Holdings exchangeable interests were exchangeable for 1,000 shares of Lazard Ltd’s common stock, that member would be able to instruct LAZ-MD Holdings how to vote 1,000 of the votes represented by the Class B common stock of Lazard Ltd. However, the LAZ-MD Holdings Board of Directors has the ability to vote the voting interest represented by the Class B common stock of Lazard Ltd in its discretion if the LAZ-MD Holdings Board of Directors determines that it is in the best interests of LAZ-MD Holdings.</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votes under the Class B common stock of Lazard Ltd that are associated with any current or former member who does not direct LAZ-MD Holdings how to vote on a particular matter will be abstained from voting. The terms of the LAZ-MD Holdings stockholders’ agreement with respect to voting continue to apply to any party to the LAZ-MD Holdings stockholders’ agreement who receives Lazard Group common membership interests upon exchange of his or her LAZ-MD Holdings exchangeable interests, until such time as that holder exchanges all of his or her Lazard Group common membership interests for shares of Lazard Ltd’s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with Our Directors, Executive Officers and Employees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Laurent Mignon, a member of our Board of Directors, is the Chief Executive Officer of Natixis. In April 2004, Lazard Group and Natixis (as the successor to IXIS Corporate &amp; Investment Bank) entered into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cooperation arrangement to place and underwrite securities on the French capital markets under a common brand, “Lazard-Natixis” (formerly “Lazard-Ixis”), and cooperate in their respective origination, syndication, placement and other activities. This cooperation covered French listed companies exceeding a market capitalization of €500 million. On March 15, 2005, Lazard Group and Natixis expanded this arrangement into an exclusive arrangement within France. The cooperation arrangement was renewed on July 8, 2012 for an additional term that expired on December 31, 2012. The cooperation arrangement did not generate revenue for Natixis or Lazard during 2013. Discussions have occurred, and may occur in the future, regarding the execution of a new form of cooperation arrangement.</w:t>
      </w:r>
    </w:p>
    <w:p>
      <w:pPr>
        <w:spacing w:after="0" w:line="14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2013 and consistent with our past practice, the Company purchased shares of Class A common stock from certain of our executive officers in connection with the vesting of previously-granted deferred equity incentive awards. The receipt of Class A common stock by such executive officers in connection with such equity awards gave rise to a tax, and the shares of Class A common stock purchased by the Company represented the estimated amount of such tax. Each transaction, including its terms, was reported in a Form 4 filing.</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fiscal years ended December 31, 2013 and 2012, fees for services provided by Deloitte &amp; Touche LLP, the member firms of Deloitte Touche Tohmatsu and their respective affiliates were as follows (in thousands of dollars):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9360" w:type="dxa"/>
            <w:vAlign w:val="bottom"/>
          </w:tcPr>
          <w:p>
            <w:pPr>
              <w:spacing w:after="0"/>
              <w:rPr>
                <w:sz w:val="15"/>
                <w:szCs w:val="15"/>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r>
      <w:tr>
        <w:trPr>
          <w:trHeight w:val="181"/>
        </w:trPr>
        <w:tc>
          <w:tcPr>
            <w:tcW w:w="9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5"/>
              </w:rPr>
              <w:t xml:space="preserve">Audit Fees </w:t>
            </w:r>
            <w:r>
              <w:rPr>
                <w:rFonts w:ascii="Arial" w:cs="Arial" w:eastAsia="Arial" w:hAnsi="Arial"/>
                <w:sz w:val="18"/>
                <w:szCs w:val="18"/>
                <w:color w:val="auto"/>
                <w:w w:val="95"/>
              </w:rPr>
              <w:t>for the audit of Lazard’s annual financial statements, the audit of the effectiveness of Lazard’s internal controls over</w:t>
            </w: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9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financial reporting and reviews of the financial statements included in Lazard’s quarterly reports on Form 10-Q, including services</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 connection with statutory and regulatory filings or engagements</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$6,575</w:t>
            </w:r>
          </w:p>
        </w:tc>
        <w:tc>
          <w:tcPr>
            <w:tcW w:w="100" w:type="dxa"/>
            <w:vAlign w:val="bottom"/>
            <w:shd w:val="clear" w:color="auto" w:fill="CCEEFF"/>
          </w:tcPr>
          <w:p>
            <w:pPr>
              <w:spacing w:after="0"/>
              <w:rPr>
                <w:sz w:val="19"/>
                <w:szCs w:val="19"/>
                <w:color w:val="auto"/>
              </w:rPr>
            </w:pPr>
          </w:p>
        </w:tc>
      </w:tr>
      <w:tr>
        <w:trPr>
          <w:trHeight w:val="208"/>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w w:val="92"/>
              </w:rPr>
              <w:t>Audit-Related Fees</w:t>
            </w:r>
            <w:r>
              <w:rPr>
                <w:rFonts w:ascii="Arial" w:cs="Arial" w:eastAsia="Arial" w:hAnsi="Arial"/>
                <w:sz w:val="18"/>
                <w:szCs w:val="18"/>
                <w:color w:val="auto"/>
                <w:w w:val="92"/>
              </w:rPr>
              <w:t>, including fees for audits of employee benefit plans, computer and control related audit services, agreed-upon</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40" w:type="dxa"/>
            <w:vAlign w:val="bottom"/>
            <w:gridSpan w:val="2"/>
          </w:tcPr>
          <w:p>
            <w:pPr>
              <w:ind w:left="220"/>
              <w:spacing w:after="0"/>
              <w:rPr>
                <w:sz w:val="20"/>
                <w:szCs w:val="20"/>
                <w:color w:val="auto"/>
              </w:rPr>
            </w:pPr>
            <w:r>
              <w:rPr>
                <w:rFonts w:ascii="Arial" w:cs="Arial" w:eastAsia="Arial" w:hAnsi="Arial"/>
                <w:sz w:val="18"/>
                <w:szCs w:val="18"/>
                <w:color w:val="auto"/>
                <w:w w:val="93"/>
              </w:rPr>
              <w:t>procedures, merger and acquisition assistance, regulatory and compliance reviews, fund audits and other accounting research</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640" w:type="dxa"/>
            <w:vAlign w:val="bottom"/>
            <w:gridSpan w:val="2"/>
          </w:tcPr>
          <w:p>
            <w:pPr>
              <w:ind w:left="220"/>
              <w:spacing w:after="0"/>
              <w:rPr>
                <w:sz w:val="20"/>
                <w:szCs w:val="20"/>
                <w:color w:val="auto"/>
              </w:rPr>
            </w:pPr>
            <w:r>
              <w:rPr>
                <w:rFonts w:ascii="Arial" w:cs="Arial" w:eastAsia="Arial" w:hAnsi="Arial"/>
                <w:sz w:val="18"/>
                <w:szCs w:val="18"/>
                <w:color w:val="auto"/>
              </w:rPr>
              <w:t>services</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$1,027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$1,481</w:t>
            </w:r>
          </w:p>
        </w:tc>
        <w:tc>
          <w:tcPr>
            <w:tcW w:w="100" w:type="dxa"/>
            <w:vAlign w:val="bottom"/>
          </w:tcPr>
          <w:p>
            <w:pPr>
              <w:spacing w:after="0"/>
              <w:rPr>
                <w:sz w:val="19"/>
                <w:szCs w:val="19"/>
                <w:color w:val="auto"/>
              </w:rPr>
            </w:pPr>
          </w:p>
        </w:tc>
      </w:tr>
      <w:tr>
        <w:trPr>
          <w:trHeight w:val="218"/>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consulting and compliance services not related to the audit</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w:t>
            </w:r>
          </w:p>
        </w:tc>
        <w:tc>
          <w:tcPr>
            <w:tcW w:w="100" w:type="dxa"/>
            <w:vAlign w:val="bottom"/>
            <w:shd w:val="clear" w:color="auto" w:fill="CCEEFF"/>
          </w:tcPr>
          <w:p>
            <w:pPr>
              <w:spacing w:after="0"/>
              <w:rPr>
                <w:sz w:val="18"/>
                <w:szCs w:val="18"/>
                <w:color w:val="auto"/>
              </w:rPr>
            </w:pPr>
          </w:p>
        </w:tc>
      </w:tr>
      <w:tr>
        <w:trPr>
          <w:trHeight w:val="228"/>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2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Lazard Ltd’s Audit Committee has adopted a policy regarding pre-approval of audit and non-audit services provided by Deloitte &amp; Touche LLP to Lazard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Committee, may grant approval for any such engagement if approval is required prior to the next scheduled meeting of the Committee.</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fees paid to Deloitte &amp; Touche LLP in 2013 were pre-approved by the Audit Committee, and there were no services for which the de minimus exception permitted in certain circumstances under SEC rules was utilized.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ind w:left="90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3.1</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3.2</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3.3</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3.4</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3.5</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3.6</w:t>
            </w: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4.1</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4.2</w:t>
            </w: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4.3</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31"/>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4.4</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2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2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4.5</w:t>
            </w:r>
          </w:p>
        </w:tc>
        <w:tc>
          <w:tcPr>
            <w:tcW w:w="10500" w:type="dxa"/>
            <w:vAlign w:val="bottom"/>
          </w:tcPr>
          <w:p>
            <w:pPr>
              <w:ind w:left="480"/>
              <w:spacing w:after="0"/>
              <w:rPr>
                <w:sz w:val="20"/>
                <w:szCs w:val="20"/>
                <w:color w:val="auto"/>
              </w:rPr>
            </w:pPr>
            <w:r>
              <w:rPr>
                <w:rFonts w:ascii="Arial" w:cs="Arial" w:eastAsia="Arial" w:hAnsi="Arial"/>
                <w:sz w:val="18"/>
                <w:szCs w:val="18"/>
                <w:color w:val="auto"/>
              </w:rPr>
              <w:t>Form of Senior Notes (included in Exhibits 4.2, 4.3 and 4.4).</w:t>
            </w:r>
          </w:p>
        </w:tc>
      </w:tr>
      <w:tr>
        <w:trPr>
          <w:trHeight w:val="378"/>
        </w:trPr>
        <w:tc>
          <w:tcPr>
            <w:tcW w:w="720" w:type="dxa"/>
            <w:vAlign w:val="bottom"/>
          </w:tcPr>
          <w:p>
            <w:pPr>
              <w:spacing w:after="0"/>
              <w:rPr>
                <w:sz w:val="24"/>
                <w:szCs w:val="24"/>
                <w:color w:val="auto"/>
              </w:rPr>
            </w:pPr>
          </w:p>
        </w:tc>
        <w:tc>
          <w:tcPr>
            <w:tcW w:w="10500" w:type="dxa"/>
            <w:vAlign w:val="bottom"/>
          </w:tcPr>
          <w:p>
            <w:pPr>
              <w:ind w:left="4680"/>
              <w:spacing w:after="0"/>
              <w:rPr>
                <w:sz w:val="20"/>
                <w:szCs w:val="20"/>
                <w:color w:val="auto"/>
              </w:rPr>
            </w:pPr>
            <w:r>
              <w:rPr>
                <w:rFonts w:ascii="Arial" w:cs="Arial" w:eastAsia="Arial" w:hAnsi="Arial"/>
                <w:sz w:val="18"/>
                <w:szCs w:val="18"/>
                <w:color w:val="auto"/>
              </w:rPr>
              <w:t>146</w:t>
            </w:r>
          </w:p>
        </w:tc>
      </w:tr>
    </w:tbl>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Holdings LLC (incorporated by reference to Exhibit 2.1 to Lazard Ltd’s Quarterly Report (File No. 001-32492) on Form 10-Q filed on June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440"/>
              <w:spacing w:after="0"/>
              <w:rPr>
                <w:sz w:val="20"/>
                <w:szCs w:val="20"/>
                <w:color w:val="auto"/>
              </w:rPr>
            </w:pPr>
            <w:r>
              <w:rPr>
                <w:rFonts w:ascii="Arial" w:cs="Arial" w:eastAsia="Arial" w:hAnsi="Arial"/>
                <w:sz w:val="18"/>
                <w:szCs w:val="18"/>
                <w:color w:val="auto"/>
                <w:w w:val="95"/>
              </w:rPr>
              <w:t>Amendment No. 1, dated as of November 6, 2006, to the Master Separation Agreement, dated as of May 10, 2005, by and among to</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Registrant, Lazard Ltd and LAZ-MD Holdings LLC (incorporated by reference to Exhibit 10.2 to the Registrant’s Quarterly Report (File No.</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333-126751) on Form 10-Q filed on November 7, 2006).</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44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the</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Registrant, Lazard Ltd and LAZ-MD Holdings LLC (incorporated by reference to Exhibit 2.1 to the Registrant’s Current Report on Form 8-K</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(File No. 333-126751) filed on May 9, 2008).</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440"/>
              <w:spacing w:after="0"/>
              <w:rPr>
                <w:sz w:val="20"/>
                <w:szCs w:val="20"/>
                <w:color w:val="auto"/>
              </w:rPr>
            </w:pPr>
            <w:r>
              <w:rPr>
                <w:rFonts w:ascii="Arial" w:cs="Arial" w:eastAsia="Arial" w:hAnsi="Arial"/>
                <w:sz w:val="18"/>
                <w:szCs w:val="18"/>
                <w:color w:val="auto"/>
                <w:w w:val="88"/>
              </w:rPr>
              <w:t>Class B-1 and Class C Members Transaction Agreement (incorporated by reference to Exhibit 2.2 to Lazard Ltd’s Registration Statement (File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No. 333-121407) on Form S-1 filed on December 17, 2004).</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9"/>
              </w:rPr>
              <w:t>certain members of LAZ-MD Holdings LLC (incorporated by reference to Exhibit 10.4 to the Registrant’s Quarterly Report (File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No. 333-126751) on Form 10-Q filed on November 7, 2006).</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LAZ-MD Holdings LLC and Lazard Ltd (incorporated by reference to Exhibit 10.6 to the Registrant’s Quarterly Report (File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No. 333-126751) on Form 10-Q filed on May 9, 2008).</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Freres &amp; Co LLC, Lazard</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Freres S.A.S., Lazard &amp; Co., Holdings Limited and LFCM Holdings LLC (incorporated by reference to Exhibit 10.6 to Lazard Ltd’s Quarterly</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Report (File-No. 001-32492) on Form 10-Q filed on June 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480" w:type="dxa"/>
            <w:vAlign w:val="bottom"/>
          </w:tcPr>
          <w:p>
            <w:pPr>
              <w:ind w:left="440"/>
              <w:spacing w:after="0"/>
              <w:rPr>
                <w:sz w:val="20"/>
                <w:szCs w:val="20"/>
                <w:color w:val="auto"/>
              </w:rPr>
            </w:pPr>
            <w:r>
              <w:rPr>
                <w:rFonts w:ascii="Arial" w:cs="Arial" w:eastAsia="Arial" w:hAnsi="Arial"/>
                <w:sz w:val="18"/>
                <w:szCs w:val="18"/>
                <w:color w:val="auto"/>
                <w:w w:val="96"/>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0"/>
              </w:rPr>
              <w:t>Registrant (incorporated by reference to Exhibit 10.7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Business Alliance Agreement, dated as of May 10, 2005, by and between the Registrant and LFCM Holdings LLC (incorporated by reference</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to Exhibit 10.8 to Lazard Ltd’s Quarterly Report (File No. 001-32492) on Form 10-Q filed on June 16, 2005).</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Registrant and LFCM Holdings LLC (incorporated by reference to Exhibit 10.12 to Lazard Ltd’s Annual Report (File No. 001-32492) on</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Form 10-K filed on March 2, 2009).</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5"/>
              </w:rPr>
              <w:t>reference to Exhibit 10.16 to Lazard Ltd’s Registration Statement (File No. 333-121407) on Form S-1/A filed on February 11, 2005).</w:t>
            </w:r>
          </w:p>
        </w:tc>
      </w:tr>
      <w:tr>
        <w:trPr>
          <w:trHeight w:val="378"/>
        </w:trPr>
        <w:tc>
          <w:tcPr>
            <w:tcW w:w="84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8"/>
                <w:szCs w:val="18"/>
                <w:color w:val="auto"/>
              </w:rPr>
              <w:t>147</w:t>
            </w: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40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Freres &amp; Co. LLC (incorporated by reference</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to Exhibit 10.19 to Lazard Ltd’s Registration Statement (File No. 333-121407) on Form S-1/A filed on February 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400"/>
              <w:spacing w:after="0"/>
              <w:rPr>
                <w:sz w:val="20"/>
                <w:szCs w:val="20"/>
                <w:color w:val="auto"/>
              </w:rPr>
            </w:pPr>
            <w:r>
              <w:rPr>
                <w:rFonts w:ascii="Arial" w:cs="Arial" w:eastAsia="Arial" w:hAnsi="Arial"/>
                <w:sz w:val="18"/>
                <w:szCs w:val="18"/>
                <w:color w:val="auto"/>
                <w:w w:val="91"/>
              </w:rPr>
              <w:t>Amendment dated as of February 16, 2001, by and among RCPI Landmark Properties, L.L.C. (as the successor in interest to Rockefeller</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Freres &amp; Co. LLC), to the</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Freres &amp; Co. LLC (incorporated by reference to</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40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40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121407) on Form S-1/A filed on May 2,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40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40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Form S-1/A filed on March 21,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tcPr>
          <w:p>
            <w:pPr>
              <w:ind w:left="40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10-Q filed on June 16,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400" w:type="dxa"/>
            <w:vAlign w:val="bottom"/>
          </w:tcPr>
          <w:p>
            <w:pPr>
              <w:ind w:left="40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333-126751) filed on May 9, 2008).</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00" w:type="dxa"/>
            <w:vAlign w:val="bottom"/>
          </w:tcPr>
          <w:p>
            <w:pPr>
              <w:ind w:left="40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400" w:type="dxa"/>
            <w:vAlign w:val="bottom"/>
          </w:tcPr>
          <w:p>
            <w:pPr>
              <w:ind w:left="40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Ltd’s Registration Statement (File No. 333-121407) on Form S-1/A filed on April 11,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00" w:type="dxa"/>
            <w:vAlign w:val="bottom"/>
          </w:tcPr>
          <w:p>
            <w:pPr>
              <w:ind w:left="40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400" w:type="dxa"/>
            <w:vAlign w:val="bottom"/>
          </w:tcPr>
          <w:p>
            <w:pPr>
              <w:ind w:left="40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333-126751) filed on March 23, 2010).</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400" w:type="dxa"/>
            <w:vAlign w:val="bottom"/>
          </w:tcPr>
          <w:p>
            <w:pPr>
              <w:ind w:left="400"/>
              <w:spacing w:after="0"/>
              <w:rPr>
                <w:sz w:val="20"/>
                <w:szCs w:val="20"/>
                <w:color w:val="auto"/>
              </w:rPr>
            </w:pPr>
            <w:r>
              <w:rPr>
                <w:rFonts w:ascii="Arial" w:cs="Arial" w:eastAsia="Arial" w:hAnsi="Arial"/>
                <w:sz w:val="18"/>
                <w:szCs w:val="18"/>
                <w:color w:val="auto"/>
                <w:w w:val="89"/>
              </w:rPr>
              <w:t>Agreement Relating to Retention and Noncompetition and Other Covenants, dated as of March 18, 2005, by and between the Registrant and</w:t>
            </w:r>
          </w:p>
        </w:tc>
      </w:tr>
      <w:tr>
        <w:trPr>
          <w:trHeight w:val="216"/>
        </w:trPr>
        <w:tc>
          <w:tcPr>
            <w:tcW w:w="88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88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on March 1, 2010).</w:t>
            </w:r>
          </w:p>
        </w:tc>
      </w:tr>
      <w:tr>
        <w:trPr>
          <w:trHeight w:val="378"/>
        </w:trPr>
        <w:tc>
          <w:tcPr>
            <w:tcW w:w="88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148</w:t>
            </w:r>
          </w:p>
        </w:tc>
      </w:tr>
    </w:tbl>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333-126751) filed on March 23, 2010).</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380" w:type="dxa"/>
            <w:vAlign w:val="bottom"/>
          </w:tcPr>
          <w:p>
            <w:pPr>
              <w:ind w:left="40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Acknowledgement Letter, dated as of November 6, 2006 from the Registrant to certain managing directors of the Registrant modifying the</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terms of the retention agreements of persons party to the Amended and Restated Stockholders’ Agreement, dated as of November 6, 2006</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(incorporated by reference to Exhibit 10.23 to the Registrant’s Quarterly Report (File No. 333-126751) on Form 10-Q filed on November 7,</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7"/>
              </w:rPr>
              <w:t>reference to Exhibit 10.27 to Lazard Ltd’s Registration Statement (File No. 333-121407) on Form S-1/A filed on March 21,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Ltd and IXIS</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10-Q filed on June 16,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38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380" w:type="dxa"/>
            <w:vAlign w:val="bottom"/>
          </w:tcPr>
          <w:p>
            <w:pPr>
              <w:ind w:left="40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380" w:type="dxa"/>
            <w:vAlign w:val="bottom"/>
          </w:tcPr>
          <w:p>
            <w:pPr>
              <w:ind w:left="400"/>
              <w:spacing w:after="0"/>
              <w:rPr>
                <w:sz w:val="20"/>
                <w:szCs w:val="20"/>
                <w:color w:val="auto"/>
              </w:rPr>
            </w:pPr>
            <w:r>
              <w:rPr>
                <w:rFonts w:ascii="Arial" w:cs="Arial" w:eastAsia="Arial" w:hAnsi="Arial"/>
                <w:sz w:val="18"/>
                <w:szCs w:val="18"/>
                <w:color w:val="auto"/>
                <w:w w:val="95"/>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10.42 to Lazard Ltd’s Annual Report (File No. 001-32492) on Form 10-K filed on 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10-Q filed on May 11, 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10.43 to Lazard Ltd’s Annual Report (File No. 001-32492) on Form 10-K filed on March 1, 2007).</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380" w:type="dxa"/>
            <w:vAlign w:val="bottom"/>
          </w:tcPr>
          <w:p>
            <w:pPr>
              <w:ind w:left="40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Lazard Asset Management Limited (incorporated by reference to Exhibit 2.1 to Lazard Ltd’s Current Report on Form 8-K (File No. 001-</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32492) filed on August 15, 2008).</w:t>
            </w:r>
          </w:p>
        </w:tc>
      </w:tr>
      <w:tr>
        <w:trPr>
          <w:trHeight w:val="378"/>
        </w:trPr>
        <w:tc>
          <w:tcPr>
            <w:tcW w:w="88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8"/>
                <w:szCs w:val="18"/>
                <w:color w:val="auto"/>
              </w:rPr>
              <w:t>149</w:t>
            </w:r>
          </w:p>
        </w:tc>
      </w:tr>
    </w:tbl>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Senior Revolving Credit Agreement, dated as of September 25, 2012, among the Registrant, the Banks from time to time parties thereto, and</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Citibank, N.A., as Administrative Agent (incorporated by reference to Exhibit 10.46 to the Registrant’s Quarterly Report (File No. 333-</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126751) on Form 10-Q 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(File No. 333-126751) on Form 10-Q filed on May 2,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(File No. 333-126751) on Form 10-Q filed on August 4,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420" w:type="dxa"/>
            <w:vAlign w:val="bottom"/>
          </w:tcPr>
          <w:p>
            <w:pPr>
              <w:ind w:left="40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2"/>
              </w:rPr>
              <w:t>of March 15, 2005 and amended on August 2, 2011, among the Registrant, Lazard Ltd and Ashish Bhutani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2"/>
              </w:rPr>
              <w:t>of October 4, 2004 and amended on April 1, 2011, among the Registrant, Lazard Ltd and Matthieu Bucaille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of October 4, 2004 and amended on March 23, 2010, among the Registrant, Lazard Ltd and Alexander F. Stern (incorporated by reference to</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420" w:type="dxa"/>
            <w:vAlign w:val="bottom"/>
          </w:tcPr>
          <w:p>
            <w:pPr>
              <w:ind w:left="40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8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8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2013).</w:t>
            </w:r>
          </w:p>
        </w:tc>
      </w:tr>
      <w:tr>
        <w:trPr>
          <w:trHeight w:val="365"/>
        </w:trPr>
        <w:tc>
          <w:tcPr>
            <w:tcW w:w="880" w:type="dxa"/>
            <w:vAlign w:val="bottom"/>
          </w:tcPr>
          <w:p>
            <w:pPr>
              <w:spacing w:after="0"/>
              <w:rPr>
                <w:sz w:val="24"/>
                <w:szCs w:val="24"/>
                <w:color w:val="auto"/>
              </w:rPr>
            </w:pPr>
          </w:p>
        </w:tc>
        <w:tc>
          <w:tcPr>
            <w:tcW w:w="10420" w:type="dxa"/>
            <w:vAlign w:val="bottom"/>
          </w:tcPr>
          <w:p>
            <w:pPr>
              <w:ind w:left="4600"/>
              <w:spacing w:after="0"/>
              <w:rPr>
                <w:sz w:val="20"/>
                <w:szCs w:val="20"/>
                <w:color w:val="auto"/>
              </w:rPr>
            </w:pPr>
            <w:r>
              <w:rPr>
                <w:rFonts w:ascii="Arial" w:cs="Arial" w:eastAsia="Arial" w:hAnsi="Arial"/>
                <w:sz w:val="18"/>
                <w:szCs w:val="18"/>
                <w:color w:val="auto"/>
              </w:rPr>
              <w:t>150</w:t>
            </w:r>
          </w:p>
        </w:tc>
      </w:tr>
    </w:tbl>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10.53*</w:t>
            </w:r>
          </w:p>
        </w:tc>
        <w:tc>
          <w:tcPr>
            <w:tcW w:w="10220" w:type="dxa"/>
            <w:vAlign w:val="bottom"/>
          </w:tcPr>
          <w:p>
            <w:pPr>
              <w:ind w:left="360"/>
              <w:spacing w:after="0"/>
              <w:rPr>
                <w:sz w:val="20"/>
                <w:szCs w:val="20"/>
                <w:color w:val="auto"/>
              </w:rPr>
            </w:pPr>
            <w:r>
              <w:rPr>
                <w:rFonts w:ascii="Arial" w:cs="Arial" w:eastAsia="Arial" w:hAnsi="Arial"/>
                <w:sz w:val="18"/>
                <w:szCs w:val="18"/>
                <w:color w:val="auto"/>
                <w:w w:val="88"/>
              </w:rPr>
              <w:t>Form of Agreement evidencing a grant of Restricted Stock Units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220" w:type="dxa"/>
            <w:vAlign w:val="bottom"/>
          </w:tcPr>
          <w:p>
            <w:pPr>
              <w:ind w:left="360"/>
              <w:spacing w:after="0"/>
              <w:rPr>
                <w:sz w:val="20"/>
                <w:szCs w:val="20"/>
                <w:color w:val="auto"/>
              </w:rPr>
            </w:pPr>
            <w:r>
              <w:rPr>
                <w:rFonts w:ascii="Arial" w:cs="Arial" w:eastAsia="Arial" w:hAnsi="Arial"/>
                <w:sz w:val="18"/>
                <w:szCs w:val="18"/>
                <w:color w:val="auto"/>
                <w:w w:val="92"/>
              </w:rPr>
              <w:t>(incorporated by reference to Exhibit 10.55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22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1022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18.1</w:t>
            </w:r>
          </w:p>
        </w:tc>
        <w:tc>
          <w:tcPr>
            <w:tcW w:w="10220" w:type="dxa"/>
            <w:vAlign w:val="bottom"/>
          </w:tcPr>
          <w:p>
            <w:pPr>
              <w:ind w:left="360"/>
              <w:spacing w:after="0"/>
              <w:rPr>
                <w:sz w:val="20"/>
                <w:szCs w:val="20"/>
                <w:color w:val="auto"/>
              </w:rPr>
            </w:pPr>
            <w:r>
              <w:rPr>
                <w:rFonts w:ascii="Arial" w:cs="Arial" w:eastAsia="Arial" w:hAnsi="Arial"/>
                <w:sz w:val="18"/>
                <w:szCs w:val="18"/>
                <w:color w:val="auto"/>
              </w:rPr>
              <w:t>Preferability Letter Regarding Change in Accounting Principle Relating to Goodwill.</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21.1</w:t>
            </w:r>
          </w:p>
        </w:tc>
        <w:tc>
          <w:tcPr>
            <w:tcW w:w="10220" w:type="dxa"/>
            <w:vAlign w:val="bottom"/>
          </w:tcPr>
          <w:p>
            <w:pPr>
              <w:ind w:left="360"/>
              <w:spacing w:after="0"/>
              <w:rPr>
                <w:sz w:val="20"/>
                <w:szCs w:val="20"/>
                <w:color w:val="auto"/>
              </w:rPr>
            </w:pPr>
            <w:r>
              <w:rPr>
                <w:rFonts w:ascii="Arial" w:cs="Arial" w:eastAsia="Arial" w:hAnsi="Arial"/>
                <w:sz w:val="18"/>
                <w:szCs w:val="18"/>
                <w:color w:val="auto"/>
              </w:rPr>
              <w:t>Subsidiaries of Registrant.</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1022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tcPr>
          <w:p>
            <w:pPr>
              <w:ind w:left="36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tcPr>
          <w:p>
            <w:pPr>
              <w:ind w:left="36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tcPr>
          <w:p>
            <w:pPr>
              <w:ind w:left="36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tcPr>
          <w:p>
            <w:pPr>
              <w:ind w:left="360"/>
              <w:spacing w:after="0"/>
              <w:rPr>
                <w:sz w:val="20"/>
                <w:szCs w:val="20"/>
                <w:color w:val="auto"/>
              </w:rPr>
            </w:pPr>
            <w:r>
              <w:rPr>
                <w:rFonts w:ascii="Arial" w:cs="Arial" w:eastAsia="Arial" w:hAnsi="Arial"/>
                <w:sz w:val="18"/>
                <w:szCs w:val="18"/>
                <w:color w:val="auto"/>
              </w:rPr>
              <w:t>Section 1350 Certification for Matthieu Bucaille.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Management’s Report on Internal Control Over Financial Reporting</w:t>
              </w:r>
            </w:hyperlink>
          </w:p>
        </w:tc>
        <w:tc>
          <w:tcPr>
            <w:tcW w:w="6020" w:type="dxa"/>
            <w:vAlign w:val="bottom"/>
            <w:gridSpan w:val="10"/>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Reports of Independent Registered Public Accounting Firm</w:t>
              </w:r>
            </w:hyperlink>
          </w:p>
        </w:tc>
        <w:tc>
          <w:tcPr>
            <w:tcW w:w="6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Financial Condition as of December 31, 2013 and 2012</w:t>
              </w:r>
            </w:hyperlink>
          </w:p>
        </w:tc>
        <w:tc>
          <w:tcPr>
            <w:tcW w:w="4940" w:type="dxa"/>
            <w:vAlign w:val="bottom"/>
            <w:gridSpan w:val="9"/>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Operations for the years ended December 31, 2013,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Comprehensive Income for the years ended December 31, 2013, 2012</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and 2011</w:t>
              </w:r>
            </w:hyperlink>
          </w:p>
        </w:tc>
        <w:tc>
          <w:tcPr>
            <w:tcW w:w="392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Consolidated Statements of Cash Flows for the years ended December 31, 2013, 2012 and 2011</w:t>
              </w:r>
            </w:hyperlink>
          </w:p>
        </w:tc>
        <w:tc>
          <w:tcPr>
            <w:tcW w:w="4080" w:type="dxa"/>
            <w:vAlign w:val="bottom"/>
            <w:gridSpan w:val="6"/>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Changes in Members’ Equity for the years ended December 31, 2013,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8020" w:type="dxa"/>
            <w:vAlign w:val="bottom"/>
            <w:tcBorders>
              <w:top w:val="single" w:sz="8" w:color="0000EE"/>
            </w:tcBorders>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280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Supplemental Financial Information</w:t>
              </w:r>
            </w:hyperlink>
          </w:p>
        </w:tc>
        <w:tc>
          <w:tcPr>
            <w:tcW w:w="77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Quarterly Results</w:t>
              </w:r>
            </w:hyperlink>
          </w:p>
        </w:tc>
        <w:tc>
          <w:tcPr>
            <w:tcW w:w="8080" w:type="dxa"/>
            <w:vAlign w:val="bottom"/>
            <w:gridSpan w:val="1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gridSpan w:val="17"/>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Condensed Statements of Financial Condition as of December 31, 2013 and 2012</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Condensed Statements of Operations for the years ended December 31, 2013, 2012 and 2011</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157">
              <w:r>
                <w:rPr>
                  <w:rFonts w:ascii="Arial" w:cs="Arial" w:eastAsia="Arial" w:hAnsi="Arial"/>
                  <w:sz w:val="18"/>
                  <w:szCs w:val="18"/>
                  <w:color w:val="0000EE"/>
                  <w:w w:val="86"/>
                </w:rPr>
                <w:t>Condensed Statements of Comprehensive Income for the years ended December 31, 2013, 2012 and 2011</w:t>
              </w:r>
            </w:hyperlink>
          </w:p>
        </w:tc>
        <w:tc>
          <w:tcPr>
            <w:tcW w:w="2940" w:type="dxa"/>
            <w:vAlign w:val="bottom"/>
            <w:gridSpan w:val="2"/>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Condensed Statements of Cash Flows for the years ended December 31, 2013, 2012 and 2011</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80" w:type="dxa"/>
            <w:vAlign w:val="bottom"/>
            <w:tcBorders>
              <w:top w:val="single" w:sz="8" w:color="0000EE"/>
            </w:tcBorders>
            <w:gridSpan w:val="14"/>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Notes to Condensed Financial Statements</w:t>
              </w:r>
            </w:hyperlink>
          </w:p>
        </w:tc>
        <w:tc>
          <w:tcPr>
            <w:tcW w:w="3800" w:type="dxa"/>
            <w:vAlign w:val="bottom"/>
            <w:gridSpan w:val="3"/>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60"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130,570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1,108,983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1,279,675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from subsidiaries of Lazard Ltd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Receivables-net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Property-net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1,984,851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1,908,988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28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Liabilities: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 and benefits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Due to subsidiaries of Lazard Ltd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211,073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debt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1,515,379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1,455,809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Members’ equity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571,668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(102,196)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(92,393)</w:t>
            </w:r>
          </w:p>
        </w:tc>
        <w:tc>
          <w:tcPr>
            <w:tcW w:w="0" w:type="dxa"/>
            <w:vAlign w:val="bottom"/>
          </w:tcPr>
          <w:p>
            <w:pPr>
              <w:spacing w:after="0"/>
              <w:rPr>
                <w:sz w:val="1"/>
                <w:szCs w:val="1"/>
                <w:color w:val="auto"/>
              </w:rPr>
            </w:pPr>
          </w:p>
        </w:tc>
      </w:tr>
      <w:tr>
        <w:trPr>
          <w:trHeight w:val="230"/>
        </w:trPr>
        <w:tc>
          <w:tcPr>
            <w:tcW w:w="7280" w:type="dxa"/>
            <w:vAlign w:val="bottom"/>
          </w:tcPr>
          <w:p>
            <w:pPr>
              <w:ind w:left="880"/>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1,984,851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1,908,988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6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Equity in earnings of subsidiaries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$415,162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336,214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$398,933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12,453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19,049</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12,059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(4,602)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434,285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344,065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260,938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335,622</w:t>
            </w: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160,634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120,324</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Professional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5,825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6,030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172,066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172,436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182,917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88,502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207,478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(benefit) for incomes taxes</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183,063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87,609</w:t>
            </w:r>
          </w:p>
        </w:tc>
        <w:tc>
          <w:tcPr>
            <w:tcW w:w="4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210,705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8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183,063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$ 87,609</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(3,342)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w w:val="93"/>
              </w:rPr>
              <w:t>Actuarial loss (net of tax benefit of $6,388, $12,950 and $12,526 for the years ended December 31,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2013, 2012 and 2011, respectively)</w:t>
            </w:r>
          </w:p>
        </w:tc>
        <w:tc>
          <w:tcPr>
            <w:tcW w:w="1100" w:type="dxa"/>
            <w:vAlign w:val="bottom"/>
            <w:gridSpan w:val="3"/>
          </w:tcPr>
          <w:p>
            <w:pPr>
              <w:jc w:val="right"/>
              <w:ind w:right="112"/>
              <w:spacing w:after="0"/>
              <w:rPr>
                <w:sz w:val="20"/>
                <w:szCs w:val="20"/>
                <w:color w:val="auto"/>
              </w:rPr>
            </w:pPr>
            <w:r>
              <w:rPr>
                <w:rFonts w:ascii="Arial" w:cs="Arial" w:eastAsia="Arial" w:hAnsi="Arial"/>
                <w:sz w:val="18"/>
                <w:szCs w:val="18"/>
                <w:color w:val="auto"/>
              </w:rPr>
              <w:t>(13,500)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(40,298)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Adjustments for items reclassified to earnings (net of tax expense of $1,929, $1,145 and $1,031 for the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2013, 2012 and 2011, respectively)</w:t>
            </w:r>
          </w:p>
        </w:tc>
        <w:tc>
          <w:tcPr>
            <w:tcW w:w="1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4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80" w:type="dxa"/>
            <w:vAlign w:val="bottom"/>
          </w:tcPr>
          <w:p>
            <w:pPr>
              <w:spacing w:after="0"/>
              <w:rPr>
                <w:sz w:val="19"/>
                <w:szCs w:val="19"/>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(9,735)</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(13,141)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(44,229)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173,328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$ 74,468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$ 183,063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87,609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Equity in earnings of subsidiaries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(415,162)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(336,214)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(398,933)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benefit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50,757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w w:val="93"/>
              </w:rPr>
              <w:t>Amortization of deferred expenses, share-based incentive compensation and interest rate hedge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290,693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340,157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 from subsidiaries</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584,792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374,340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to/from subsidiaries</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(69,827)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(46,997)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operating assets and liabilities</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617,643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517,705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(34,556)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(58,668)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to subsidiaries</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(224,012)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(68,261)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(98,646)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(244,091)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share-based incentive compensation</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Sale of intercompany receivable</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81,105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senior debt, net of expenses</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493,398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debt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(578,464)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(140,278)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(132,533)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(44,883)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(132,477)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(332,095)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(477,429)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(441,421)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(358,721)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$ 130,570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2013 and 2012, and for each of the three years in the period ended December 31, 2013,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60" w:name="page161"/>
    <w:bookmarkEnd w:id="160"/>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5"/>
          </w:tcPr>
          <w:p>
            <w:pPr>
              <w:jc w:val="right"/>
              <w:ind w:right="8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219,009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121,593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241,791</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$246,809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111,317</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116,255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114,998</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121,656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132,785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330,326</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237,848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356,789</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(49,203)</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91,359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94,211</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$102,249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24,278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111,317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116,255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114,998</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132,785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56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2.97(d)</w:t>
            </w: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2.05(e)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3.03(f)</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Deficiency in the coverage of operating income (loss) before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pacing w:after="0" w:line="16" w:lineRule="exact"/>
        <w:rPr>
          <w:rFonts w:ascii="Arial" w:cs="Arial" w:eastAsia="Arial" w:hAnsi="Arial"/>
          <w:sz w:val="15"/>
          <w:szCs w:val="15"/>
          <w:color w:val="auto"/>
        </w:rPr>
      </w:pPr>
    </w:p>
    <w:p>
      <w:pPr>
        <w:ind w:left="460" w:right="4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pacing w:after="0" w:line="59"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18.1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have audited the consolidated financial statements of Lazard Group LLC and subsidiaries as of December 31, 2013 and 2012, and for each of the three years in the period ended December 31, 2013, included in your Annual Report on Form 10-K to the Securities and Exchange Commission and have issued our report thereon dated February 27, 2014. Note 2 to such consolidated financial statements contains a description of your adoption during the year ended December 31, 2013 of the change in the annual goodwill impairment test date from December 31st to November 1st. In our judgment, such change is to an alternative accounting principle that is preferable under the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International</w:t>
            </w:r>
          </w:p>
        </w:tc>
        <w:tc>
          <w:tcPr>
            <w:tcW w:w="2040" w:type="dxa"/>
            <w:vAlign w:val="bottom"/>
          </w:tcPr>
          <w:p>
            <w:pPr>
              <w:spacing w:after="0" w:line="188" w:lineRule="exact"/>
              <w:rPr>
                <w:sz w:val="20"/>
                <w:szCs w:val="20"/>
                <w:color w:val="auto"/>
              </w:rPr>
            </w:pPr>
            <w:r>
              <w:rPr>
                <w:rFonts w:ascii="Arial" w:cs="Arial" w:eastAsia="Arial" w:hAnsi="Arial"/>
                <w:sz w:val="18"/>
                <w:szCs w:val="18"/>
                <w:color w:val="auto"/>
              </w:rPr>
              <w:t>Holdings, Inc.</w:t>
            </w: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Services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333-174547 on Form S-3 of our reports dated February 27, 2014, relating to the consolidated financial statements and financial statement schedule of Lazard Group LLC, and the effectiveness of Lazard Group LLC’s internal control over financial reporting appearing in this Annual Report on Form 10-K of Lazard Group LLC for the year ended December 31, 2013.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lowerLetter"/>
      <w:start w:val="3"/>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lowerRoman"/>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1"/>
    </w:lvl>
  </w:abstractNum>
  <w:abstractNum w:abstractNumId="32">
    <w:nsid w:val="3F6AB60F"/>
    <w:multiLevelType w:val="hybridMultilevel"/>
    <w:lvl w:ilvl="0">
      <w:lvlJc w:val="left"/>
      <w:lvlText w:val="(%1)"/>
      <w:numFmt w:val="lowerLetter"/>
      <w:start w:val="2"/>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1)"/>
      <w:numFmt w:val="lowerLetter"/>
      <w:start w:val="2"/>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2"/>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3"/>
    </w:lvl>
  </w:abstractNum>
  <w:abstractNum w:abstractNumId="49">
    <w:nsid w:val="5F5E7FD0"/>
    <w:multiLevelType w:val="hybridMultilevel"/>
    <w:lvl w:ilvl="0">
      <w:lvlJc w:val="left"/>
      <w:lvlText w:val="%1."/>
      <w:numFmt w:val="decimal"/>
      <w:start w:val="4"/>
    </w:lvl>
  </w:abstractNum>
  <w:abstractNum w:abstractNumId="50">
    <w:nsid w:val="98A3148"/>
    <w:multiLevelType w:val="hybridMultilevel"/>
    <w:lvl w:ilvl="0">
      <w:lvlJc w:val="left"/>
      <w:lvlText w:val="%1."/>
      <w:numFmt w:val="decimal"/>
      <w:start w:val="5"/>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decimal"/>
      <w:start w:val="6"/>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decimal"/>
      <w:start w:val="7"/>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decimal"/>
      <w:start w:val="8"/>
    </w:lvl>
  </w:abstractNum>
  <w:abstractNum w:abstractNumId="59">
    <w:nsid w:val="7BD3EE7B"/>
    <w:multiLevelType w:val="hybridMultilevel"/>
    <w:lvl w:ilvl="0">
      <w:lvlJc w:val="left"/>
      <w:lvlText w:val="%1."/>
      <w:numFmt w:val="decimal"/>
      <w:start w:val="9"/>
    </w:lvl>
  </w:abstractNum>
  <w:abstractNum w:abstractNumId="60">
    <w:nsid w:val="51D9C564"/>
    <w:multiLevelType w:val="hybridMultilevel"/>
    <w:lvl w:ilvl="0">
      <w:lvlJc w:val="left"/>
      <w:lvlText w:val="%1"/>
      <w:numFmt w:val="decimal"/>
      <w:start w:val="1"/>
    </w:lvl>
    <w:lvl w:ilvl="1">
      <w:lvlJc w:val="left"/>
      <w:lvlText w:val="(%2)"/>
      <w:numFmt w:val="lowerLetter"/>
      <w:start w:val="1"/>
    </w:lvl>
  </w:abstractNum>
  <w:abstractNum w:abstractNumId="61">
    <w:nsid w:val="613EFDC5"/>
    <w:multiLevelType w:val="hybridMultilevel"/>
    <w:lvl w:ilvl="0">
      <w:lvlJc w:val="left"/>
      <w:lvlText w:val="%1."/>
      <w:numFmt w:val="decimal"/>
      <w:start w:val="10"/>
    </w:lvl>
    <w:lvl w:ilvl="1">
      <w:lvlJc w:val="left"/>
      <w:lvlText w:val="%2"/>
      <w:numFmt w:val="lowerLetter"/>
      <w:start w:val="1"/>
    </w:lvl>
  </w:abstractNum>
  <w:abstractNum w:abstractNumId="62">
    <w:nsid w:val="BF72B14"/>
    <w:multiLevelType w:val="hybridMultilevel"/>
    <w:lvl w:ilvl="0">
      <w:lvlJc w:val="left"/>
      <w:lvlText w:val="%1."/>
      <w:numFmt w:val="decimal"/>
      <w:start w:val="11"/>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decimal"/>
      <w:start w:val="12"/>
    </w:lvl>
  </w:abstractNum>
  <w:abstractNum w:abstractNumId="65">
    <w:nsid w:val="A0382C5"/>
    <w:multiLevelType w:val="hybridMultilevel"/>
    <w:lvl w:ilvl="0">
      <w:lvlJc w:val="left"/>
      <w:lvlText w:val="%1."/>
      <w:numFmt w:val="decimal"/>
      <w:start w:val="13"/>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decimal"/>
      <w:start w:val="14"/>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decimal"/>
      <w:start w:val="15"/>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decimal"/>
      <w:start w:val="16"/>
    </w:lvl>
  </w:abstractNum>
  <w:abstractNum w:abstractNumId="74">
    <w:nsid w:val="7FFFCA11"/>
    <w:multiLevelType w:val="hybridMultilevel"/>
    <w:lvl w:ilvl="0">
      <w:lvlJc w:val="left"/>
      <w:lvlText w:val="%1."/>
      <w:numFmt w:val="decimal"/>
      <w:start w:val="17"/>
    </w:lvl>
  </w:abstractNum>
  <w:abstractNum w:abstractNumId="75">
    <w:nsid w:val="1A27709E"/>
    <w:multiLevelType w:val="hybridMultilevel"/>
    <w:lvl w:ilvl="0">
      <w:lvlJc w:val="left"/>
      <w:lvlText w:val="%1."/>
      <w:numFmt w:val="decimal"/>
      <w:start w:val="19"/>
    </w:lvl>
  </w:abstractNum>
  <w:abstractNum w:abstractNumId="76">
    <w:nsid w:val="71EA1109"/>
    <w:multiLevelType w:val="hybridMultilevel"/>
    <w:lvl w:ilvl="0">
      <w:lvlJc w:val="left"/>
      <w:lvlText w:val="%1."/>
      <w:numFmt w:val="decimal"/>
      <w:start w:val="20"/>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2"/>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lowerLetter"/>
      <w:start w:val="1"/>
    </w:lvl>
    <w:lvl w:ilvl="1">
      <w:lvlJc w:val="left"/>
      <w:lvlText w:val="%2."/>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lowerLetter"/>
      <w:start w:val="1"/>
    </w:lvl>
    <w:lvl w:ilvl="1">
      <w:lvlJc w:val="left"/>
      <w:lvlText w:val="•"/>
      <w:numFmt w:val="bullet"/>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2019-12-07T10:01:17Z</dcterms:created>
  <dcterms:modified xsi:type="dcterms:W3CDTF">2019-12-07T10:01:17Z</dcterms:modified>
</cp:coreProperties>
</file>