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3" w:lineRule="exact"/>
        <w:rPr>
          <w:rFonts w:ascii="MS PGothic" w:cs="MS PGothic" w:eastAsia="MS PGothic" w:hAnsi="MS PGothic"/>
          <w:sz w:val="20"/>
          <w:szCs w:val="20"/>
          <w:color w:val="auto"/>
          <w:highlight w:val="black"/>
        </w:rPr>
      </w:pPr>
    </w:p>
    <w:p>
      <w:pPr>
        <w:ind w:left="374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For the quarterly period ended September 30, 2019</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13"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920" w:type="dxa"/>
            <w:vAlign w:val="bottom"/>
            <w:gridSpan w:val="4"/>
          </w:tcPr>
          <w:p>
            <w:pPr>
              <w:spacing w:after="0"/>
              <w:rPr>
                <w:sz w:val="20"/>
                <w:szCs w:val="20"/>
                <w:color w:val="auto"/>
              </w:rPr>
            </w:pPr>
            <w:r>
              <w:rPr>
                <w:rFonts w:ascii="Arial" w:cs="Arial" w:eastAsia="Arial" w:hAnsi="Arial"/>
                <w:sz w:val="18"/>
                <w:szCs w:val="18"/>
                <w:b w:val="1"/>
                <w:bCs w:val="1"/>
                <w:color w:val="auto"/>
              </w:rPr>
              <w:t>For the transition period from</w:t>
            </w:r>
          </w:p>
        </w:tc>
        <w:tc>
          <w:tcPr>
            <w:tcW w:w="2960" w:type="dxa"/>
            <w:vAlign w:val="bottom"/>
            <w:gridSpan w:val="5"/>
          </w:tcPr>
          <w:p>
            <w:pPr>
              <w:jc w:val="right"/>
              <w:ind w:right="2688"/>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322"/>
        </w:trPr>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80" w:type="dxa"/>
            <w:vAlign w:val="bottom"/>
            <w:gridSpan w:val="3"/>
          </w:tcPr>
          <w:p>
            <w:pPr>
              <w:jc w:val="center"/>
              <w:ind w:left="1234"/>
              <w:spacing w:after="0"/>
              <w:rPr>
                <w:sz w:val="20"/>
                <w:szCs w:val="20"/>
                <w:color w:val="auto"/>
              </w:rPr>
            </w:pPr>
            <w:r>
              <w:rPr>
                <w:rFonts w:ascii="Arial" w:cs="Arial" w:eastAsia="Arial" w:hAnsi="Arial"/>
                <w:sz w:val="18"/>
                <w:szCs w:val="18"/>
                <w:b w:val="1"/>
                <w:bCs w:val="1"/>
                <w:color w:val="auto"/>
                <w:w w:val="89"/>
              </w:rPr>
              <w:t>333-126751</w:t>
            </w: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200" w:type="dxa"/>
            <w:vAlign w:val="bottom"/>
          </w:tcPr>
          <w:p>
            <w:pPr>
              <w:spacing w:after="0"/>
              <w:rPr>
                <w:sz w:val="11"/>
                <w:szCs w:val="11"/>
                <w:color w:val="auto"/>
              </w:rPr>
            </w:pPr>
          </w:p>
        </w:tc>
        <w:tc>
          <w:tcPr>
            <w:tcW w:w="27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9"/>
        </w:trPr>
        <w:tc>
          <w:tcPr>
            <w:tcW w:w="1200" w:type="dxa"/>
            <w:vAlign w:val="bottom"/>
          </w:tcPr>
          <w:p>
            <w:pPr>
              <w:spacing w:after="0"/>
              <w:rPr>
                <w:sz w:val="24"/>
                <w:szCs w:val="24"/>
                <w:color w:val="auto"/>
              </w:rPr>
            </w:pPr>
          </w:p>
        </w:tc>
        <w:tc>
          <w:tcPr>
            <w:tcW w:w="8020" w:type="dxa"/>
            <w:vAlign w:val="bottom"/>
            <w:gridSpan w:val="10"/>
          </w:tcPr>
          <w:p>
            <w:pPr>
              <w:jc w:val="center"/>
              <w:spacing w:after="0"/>
              <w:rPr>
                <w:sz w:val="20"/>
                <w:szCs w:val="20"/>
                <w:color w:val="auto"/>
              </w:rPr>
            </w:pPr>
            <w:r>
              <w:rPr>
                <w:rFonts w:ascii="Arial" w:cs="Arial" w:eastAsia="Arial" w:hAnsi="Arial"/>
                <w:sz w:val="43"/>
                <w:szCs w:val="43"/>
                <w:b w:val="1"/>
                <w:bCs w:val="1"/>
                <w:color w:val="auto"/>
              </w:rPr>
              <w:t>LAZARD GROUP LLC</w:t>
            </w: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880" w:type="dxa"/>
            <w:vAlign w:val="bottom"/>
            <w:gridSpan w:val="9"/>
          </w:tcPr>
          <w:p>
            <w:pPr>
              <w:jc w:val="center"/>
              <w:ind w:right="210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120"/>
        </w:trPr>
        <w:tc>
          <w:tcPr>
            <w:tcW w:w="1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1200" w:type="dxa"/>
            <w:vAlign w:val="bottom"/>
          </w:tcPr>
          <w:p>
            <w:pPr>
              <w:spacing w:after="0"/>
              <w:rPr>
                <w:sz w:val="24"/>
                <w:szCs w:val="24"/>
                <w:color w:val="auto"/>
              </w:rPr>
            </w:pPr>
          </w:p>
        </w:tc>
        <w:tc>
          <w:tcPr>
            <w:tcW w:w="2140" w:type="dxa"/>
            <w:vAlign w:val="bottom"/>
          </w:tcPr>
          <w:p>
            <w:pPr>
              <w:jc w:val="center"/>
              <w:ind w:left="36"/>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60" w:type="dxa"/>
            <w:vAlign w:val="bottom"/>
            <w:gridSpan w:val="5"/>
          </w:tcPr>
          <w:p>
            <w:pPr>
              <w:jc w:val="right"/>
              <w:ind w:right="588"/>
              <w:spacing w:after="0"/>
              <w:rPr>
                <w:sz w:val="20"/>
                <w:szCs w:val="20"/>
                <w:color w:val="auto"/>
              </w:rPr>
            </w:pPr>
            <w:r>
              <w:rPr>
                <w:rFonts w:ascii="Arial" w:cs="Arial" w:eastAsia="Arial" w:hAnsi="Arial"/>
                <w:sz w:val="18"/>
                <w:szCs w:val="18"/>
                <w:b w:val="1"/>
                <w:bCs w:val="1"/>
                <w:color w:val="auto"/>
              </w:rPr>
              <w:t>51-0278097</w:t>
            </w:r>
          </w:p>
        </w:tc>
        <w:tc>
          <w:tcPr>
            <w:tcW w:w="0" w:type="dxa"/>
            <w:vAlign w:val="bottom"/>
          </w:tcPr>
          <w:p>
            <w:pPr>
              <w:spacing w:after="0"/>
              <w:rPr>
                <w:sz w:val="1"/>
                <w:szCs w:val="1"/>
                <w:color w:val="auto"/>
              </w:rPr>
            </w:pPr>
          </w:p>
        </w:tc>
      </w:tr>
      <w:tr>
        <w:trPr>
          <w:trHeight w:val="149"/>
        </w:trPr>
        <w:tc>
          <w:tcPr>
            <w:tcW w:w="6260" w:type="dxa"/>
            <w:vAlign w:val="bottom"/>
            <w:gridSpan w:val="6"/>
          </w:tcPr>
          <w:p>
            <w:pPr>
              <w:jc w:val="center"/>
              <w:ind w:right="158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2140" w:type="dxa"/>
            <w:vAlign w:val="bottom"/>
          </w:tcPr>
          <w:p>
            <w:pPr>
              <w:jc w:val="center"/>
              <w:ind w:left="56"/>
              <w:spacing w:after="0"/>
              <w:rPr>
                <w:sz w:val="20"/>
                <w:szCs w:val="20"/>
                <w:color w:val="auto"/>
              </w:rPr>
            </w:pPr>
            <w:r>
              <w:rPr>
                <w:rFonts w:ascii="Arial" w:cs="Arial" w:eastAsia="Arial" w:hAnsi="Arial"/>
                <w:sz w:val="14"/>
                <w:szCs w:val="14"/>
                <w:b w:val="1"/>
                <w:bCs w:val="1"/>
                <w:color w:val="auto"/>
                <w:w w:val="90"/>
              </w:rPr>
              <w:t>or Organization)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30 Rockefeller Plaza</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left="1"/>
              <w:spacing w:after="0"/>
              <w:rPr>
                <w:sz w:val="20"/>
                <w:szCs w:val="20"/>
                <w:color w:val="auto"/>
              </w:rPr>
            </w:pPr>
            <w:r>
              <w:rPr>
                <w:rFonts w:ascii="Arial" w:cs="Arial" w:eastAsia="Arial" w:hAnsi="Arial"/>
                <w:sz w:val="18"/>
                <w:szCs w:val="18"/>
                <w:b w:val="1"/>
                <w:bCs w:val="1"/>
                <w:color w:val="auto"/>
                <w:w w:val="92"/>
              </w:rPr>
              <w:t>New York, NY 10112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80" w:type="dxa"/>
            <w:vAlign w:val="bottom"/>
            <w:gridSpan w:val="8"/>
          </w:tcPr>
          <w:p>
            <w:pPr>
              <w:jc w:val="center"/>
              <w:ind w:right="27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0" w:type="dxa"/>
            <w:vAlign w:val="bottom"/>
          </w:tcPr>
          <w:p>
            <w:pPr>
              <w:spacing w:after="0"/>
              <w:rPr>
                <w:sz w:val="1"/>
                <w:szCs w:val="1"/>
                <w:color w:val="auto"/>
              </w:rPr>
            </w:pPr>
          </w:p>
        </w:tc>
      </w:tr>
      <w:tr>
        <w:trPr>
          <w:trHeight w:val="309"/>
        </w:trPr>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880" w:type="dxa"/>
            <w:vAlign w:val="bottom"/>
            <w:gridSpan w:val="9"/>
          </w:tcPr>
          <w:p>
            <w:pPr>
              <w:jc w:val="center"/>
              <w:ind w:right="2088"/>
              <w:spacing w:after="0"/>
              <w:rPr>
                <w:sz w:val="20"/>
                <w:szCs w:val="20"/>
                <w:color w:val="auto"/>
              </w:rPr>
            </w:pPr>
            <w:r>
              <w:rPr>
                <w:rFonts w:ascii="Arial" w:cs="Arial" w:eastAsia="Arial" w:hAnsi="Arial"/>
                <w:sz w:val="18"/>
                <w:szCs w:val="18"/>
                <w:b w:val="1"/>
                <w:bCs w:val="1"/>
                <w:color w:val="auto"/>
                <w:w w:val="90"/>
              </w:rPr>
              <w:t>Registrant’s telephone number: (212) 632-6000</w:t>
            </w: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3340" w:type="dxa"/>
            <w:vAlign w:val="bottom"/>
            <w:gridSpan w:val="2"/>
            <w:vMerge w:val="continue"/>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140" w:type="dxa"/>
            <w:vAlign w:val="bottom"/>
            <w:tcBorders>
              <w:bottom w:val="single" w:sz="8" w:color="auto"/>
            </w:tcBorders>
          </w:tcPr>
          <w:p>
            <w:pPr>
              <w:jc w:val="center"/>
              <w:ind w:left="476"/>
              <w:spacing w:after="0"/>
              <w:rPr>
                <w:sz w:val="20"/>
                <w:szCs w:val="20"/>
                <w:color w:val="auto"/>
              </w:rPr>
            </w:pPr>
            <w:r>
              <w:rPr>
                <w:rFonts w:ascii="Arial" w:cs="Arial" w:eastAsia="Arial" w:hAnsi="Arial"/>
                <w:sz w:val="14"/>
                <w:szCs w:val="14"/>
                <w:color w:val="auto"/>
                <w:w w:val="92"/>
              </w:rPr>
              <w:t>Title of each class</w:t>
            </w:r>
          </w:p>
        </w:tc>
        <w:tc>
          <w:tcPr>
            <w:tcW w:w="6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14"/>
                <w:szCs w:val="14"/>
                <w:color w:val="auto"/>
                <w:w w:val="94"/>
              </w:rPr>
              <w:t>Trading Symbol(s)</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25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140" w:type="dxa"/>
            <w:vAlign w:val="bottom"/>
            <w:tcBorders>
              <w:bottom w:val="single" w:sz="8" w:color="auto"/>
            </w:tcBorders>
          </w:tcPr>
          <w:p>
            <w:pPr>
              <w:jc w:val="center"/>
              <w:ind w:left="476"/>
              <w:spacing w:after="0"/>
              <w:rPr>
                <w:sz w:val="20"/>
                <w:szCs w:val="20"/>
                <w:color w:val="auto"/>
              </w:rPr>
            </w:pPr>
            <w:r>
              <w:rPr>
                <w:rFonts w:ascii="Arial" w:cs="Arial" w:eastAsia="Arial" w:hAnsi="Arial"/>
                <w:sz w:val="14"/>
                <w:szCs w:val="14"/>
                <w:color w:val="auto"/>
                <w:w w:val="95"/>
              </w:rPr>
              <w:t>None</w:t>
            </w:r>
          </w:p>
        </w:tc>
        <w:tc>
          <w:tcPr>
            <w:tcW w:w="6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14"/>
                <w:szCs w:val="14"/>
                <w:color w:val="auto"/>
                <w:w w:val="95"/>
              </w:rPr>
              <w:t>None</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jc w:val="center"/>
              <w:ind w:right="348"/>
              <w:spacing w:after="0"/>
              <w:rPr>
                <w:sz w:val="20"/>
                <w:szCs w:val="20"/>
                <w:color w:val="auto"/>
              </w:rPr>
            </w:pPr>
            <w:r>
              <w:rPr>
                <w:rFonts w:ascii="Arial" w:cs="Arial" w:eastAsia="Arial" w:hAnsi="Arial"/>
                <w:sz w:val="14"/>
                <w:szCs w:val="14"/>
                <w:color w:val="auto"/>
                <w:w w:val="95"/>
              </w:rPr>
              <w:t>None</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18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51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60" w:type="dxa"/>
            <w:vAlign w:val="bottom"/>
          </w:tcPr>
          <w:p>
            <w:pPr>
              <w:ind w:left="11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000"/>
              <w:spacing w:after="0"/>
              <w:rPr>
                <w:sz w:val="20"/>
                <w:szCs w:val="20"/>
                <w:color w:val="auto"/>
              </w:rPr>
            </w:pPr>
            <w:r>
              <w:rPr>
                <w:rFonts w:ascii="Arial" w:cs="Arial" w:eastAsia="Arial" w:hAnsi="Arial"/>
                <w:sz w:val="14"/>
                <w:szCs w:val="14"/>
                <w:color w:val="auto"/>
              </w:rPr>
              <w:t>Accelerated filer</w:t>
            </w:r>
          </w:p>
        </w:tc>
        <w:tc>
          <w:tcPr>
            <w:tcW w:w="10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2400" w:type="dxa"/>
            <w:vAlign w:val="bottom"/>
          </w:tcPr>
          <w:p>
            <w:pPr>
              <w:spacing w:after="0"/>
              <w:rPr>
                <w:sz w:val="20"/>
                <w:szCs w:val="20"/>
                <w:color w:val="auto"/>
              </w:rPr>
            </w:pPr>
            <w:r>
              <w:rPr>
                <w:rFonts w:ascii="Arial" w:cs="Arial" w:eastAsia="Arial" w:hAnsi="Arial"/>
                <w:sz w:val="14"/>
                <w:szCs w:val="14"/>
                <w:color w:val="auto"/>
              </w:rPr>
              <w:t>Non-accelerated filer</w:t>
            </w:r>
          </w:p>
        </w:tc>
        <w:tc>
          <w:tcPr>
            <w:tcW w:w="3260" w:type="dxa"/>
            <w:vAlign w:val="bottom"/>
          </w:tcPr>
          <w:p>
            <w:pPr>
              <w:ind w:left="11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000"/>
              <w:spacing w:after="0"/>
              <w:rPr>
                <w:sz w:val="20"/>
                <w:szCs w:val="20"/>
                <w:color w:val="auto"/>
              </w:rPr>
            </w:pPr>
            <w:r>
              <w:rPr>
                <w:rFonts w:ascii="Arial" w:cs="Arial" w:eastAsia="Arial" w:hAnsi="Arial"/>
                <w:sz w:val="14"/>
                <w:szCs w:val="14"/>
                <w:color w:val="auto"/>
              </w:rPr>
              <w:t>Smaller reporting company</w:t>
            </w:r>
          </w:p>
        </w:tc>
        <w:tc>
          <w:tcPr>
            <w:tcW w:w="10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520" w:type="dxa"/>
            <w:vAlign w:val="bottom"/>
          </w:tcPr>
          <w:p>
            <w:pPr>
              <w:ind w:left="2000"/>
              <w:spacing w:after="0"/>
              <w:rPr>
                <w:sz w:val="20"/>
                <w:szCs w:val="20"/>
                <w:color w:val="auto"/>
              </w:rPr>
            </w:pPr>
            <w:r>
              <w:rPr>
                <w:rFonts w:ascii="Arial" w:cs="Arial" w:eastAsia="Arial" w:hAnsi="Arial"/>
                <w:sz w:val="14"/>
                <w:szCs w:val="14"/>
                <w:color w:val="auto"/>
              </w:rPr>
              <w:t>Emerging growth company</w:t>
            </w:r>
          </w:p>
        </w:tc>
        <w:tc>
          <w:tcPr>
            <w:tcW w:w="10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9" w:lineRule="exact"/>
        <w:rPr>
          <w:sz w:val="24"/>
          <w:szCs w:val="24"/>
          <w:color w:val="auto"/>
        </w:rPr>
      </w:pPr>
    </w:p>
    <w:p>
      <w:pPr>
        <w:ind w:right="200" w:firstLine="518"/>
        <w:spacing w:after="0" w:line="180" w:lineRule="exact"/>
        <w:rPr>
          <w:sz w:val="20"/>
          <w:szCs w:val="20"/>
          <w:color w:val="auto"/>
        </w:rPr>
      </w:pPr>
      <w:r>
        <w:rPr>
          <w:rFonts w:ascii="Arial" w:cs="Arial" w:eastAsia="Arial" w:hAnsi="Arial"/>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520" w:right="342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October 25, 2019,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483870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When we use the terms “Lazard Group”,”Lazard”,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September 30, 2019 of all of the common membership interests in Lazard Group. Lazard Ltd controls Lazard Group through two of its indirect wholly-owned subsidiaries that are co-managing members of Lazard Group.</w:t>
      </w:r>
    </w:p>
    <w:p>
      <w:pPr>
        <w:spacing w:after="0" w:line="193"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 Lazard Group has also granted profits interest participation rights to certain of its managing directors. See Note 14 of Notes to Condensed Consolidated Financial Statements.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280" w:type="dxa"/>
            <w:vAlign w:val="bottom"/>
            <w:gridSpan w:val="9"/>
            <w:vMerge w:val="restart"/>
          </w:tcPr>
          <w:p>
            <w:pPr>
              <w:spacing w:after="0"/>
              <w:rPr>
                <w:sz w:val="14"/>
                <w:szCs w:val="14"/>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280" w:type="dxa"/>
            <w:vAlign w:val="bottom"/>
            <w:gridSpan w:val="9"/>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29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7120" w:type="dxa"/>
            <w:vAlign w:val="bottom"/>
            <w:gridSpan w:val="4"/>
          </w:tcPr>
          <w:p>
            <w:pPr>
              <w:spacing w:after="0"/>
              <w:rPr>
                <w:sz w:val="24"/>
                <w:szCs w:val="24"/>
                <w:color w:val="auto"/>
              </w:rPr>
            </w:pPr>
          </w:p>
        </w:tc>
        <w:tc>
          <w:tcPr>
            <w:tcW w:w="660" w:type="dxa"/>
            <w:vAlign w:val="bottom"/>
          </w:tcPr>
          <w:p>
            <w:pPr>
              <w:jc w:val="center"/>
              <w:ind w:left="11"/>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70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Item 2. Management’s Discussion and Analysis of Financial Condition and Results of Operations</w:t>
              </w:r>
            </w:hyperlink>
          </w:p>
        </w:tc>
        <w:tc>
          <w:tcPr>
            <w:tcW w:w="30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Item 3. Quantitative and Qualitative Disclosures About Market Risk</w:t>
              </w:r>
            </w:hyperlink>
          </w:p>
        </w:tc>
        <w:tc>
          <w:tcPr>
            <w:tcW w:w="51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4. Controls and Procedures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40" w:type="dxa"/>
            <w:vAlign w:val="bottom"/>
            <w:gridSpan w:val="1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1. Legal Proceedings</w:t>
              </w:r>
            </w:hyperlink>
          </w:p>
        </w:tc>
        <w:tc>
          <w:tcPr>
            <w:tcW w:w="820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Item 1A. Risk Factors</w:t>
              </w:r>
            </w:hyperlink>
          </w:p>
        </w:tc>
        <w:tc>
          <w:tcPr>
            <w:tcW w:w="848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2. Unregistered Sales of Equity Securities and Use of Proceeds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00" w:type="dxa"/>
            <w:vAlign w:val="bottom"/>
            <w:tcBorders>
              <w:top w:val="single" w:sz="8" w:color="0000EE"/>
            </w:tcBorders>
            <w:gridSpan w:val="1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3. Defaults Upon Senior Securities</w:t>
              </w:r>
            </w:hyperlink>
          </w:p>
        </w:tc>
        <w:tc>
          <w:tcPr>
            <w:tcW w:w="520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880" w:type="dxa"/>
            <w:vAlign w:val="bottom"/>
            <w:tcBorders>
              <w:top w:val="single" w:sz="8" w:color="0000EE"/>
            </w:tcBorders>
            <w:gridSpan w:val="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4. Mine Safety Disclosures</w:t>
              </w:r>
            </w:hyperlink>
          </w:p>
        </w:tc>
        <w:tc>
          <w:tcPr>
            <w:tcW w:w="7220" w:type="dxa"/>
            <w:vAlign w:val="bottom"/>
            <w:gridSpan w:val="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24"/>
                <w:szCs w:val="24"/>
                <w:color w:val="auto"/>
              </w:rPr>
            </w:pPr>
          </w:p>
        </w:tc>
        <w:tc>
          <w:tcPr>
            <w:tcW w:w="778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Item 6. Exhibits</w:t>
              </w:r>
            </w:hyperlink>
          </w:p>
        </w:tc>
        <w:tc>
          <w:tcPr>
            <w:tcW w:w="8940" w:type="dxa"/>
            <w:vAlign w:val="bottom"/>
            <w:gridSpan w:val="11"/>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318"/>
        </w:trPr>
        <w:tc>
          <w:tcPr>
            <w:tcW w:w="820" w:type="dxa"/>
            <w:vAlign w:val="bottom"/>
            <w:tcBorders>
              <w:bottom w:val="single" w:sz="8" w:color="0000EE"/>
            </w:tcBorders>
            <w:gridSpan w:val="2"/>
          </w:tcPr>
          <w:p>
            <w:pPr>
              <w:spacing w:after="0"/>
              <w:rPr>
                <w:rFonts w:ascii="Arial" w:cs="Arial" w:eastAsia="Arial" w:hAnsi="Arial"/>
                <w:sz w:val="18"/>
                <w:szCs w:val="18"/>
                <w:b w:val="1"/>
                <w:bCs w:val="1"/>
                <w:color w:val="0000EE"/>
                <w:w w:val="85"/>
              </w:rPr>
            </w:pPr>
            <w:hyperlink w:anchor="page75">
              <w:r>
                <w:rPr>
                  <w:rFonts w:ascii="Arial" w:cs="Arial" w:eastAsia="Arial" w:hAnsi="Arial"/>
                  <w:sz w:val="18"/>
                  <w:szCs w:val="18"/>
                  <w:b w:val="1"/>
                  <w:bCs w:val="1"/>
                  <w:color w:val="0000EE"/>
                  <w:w w:val="85"/>
                </w:rPr>
                <w:t>Signatures</w:t>
              </w:r>
            </w:hyperlink>
          </w:p>
        </w:tc>
        <w:tc>
          <w:tcPr>
            <w:tcW w:w="9720" w:type="dxa"/>
            <w:vAlign w:val="bottom"/>
            <w:gridSpan w:val="1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740" w:type="dxa"/>
            <w:vAlign w:val="bottom"/>
            <w:gridSpan w:val="5"/>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6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1"/>
              </w:rPr>
              <w:t>Item 1.</w:t>
            </w:r>
          </w:p>
        </w:tc>
        <w:tc>
          <w:tcPr>
            <w:tcW w:w="10160" w:type="dxa"/>
            <w:vAlign w:val="bottom"/>
            <w:gridSpan w:val="6"/>
          </w:tcPr>
          <w:p>
            <w:pPr>
              <w:ind w:left="52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291"/>
        </w:trPr>
        <w:tc>
          <w:tcPr>
            <w:tcW w:w="80" w:type="dxa"/>
            <w:vAlign w:val="bottom"/>
          </w:tcPr>
          <w:p>
            <w:pPr>
              <w:spacing w:after="0"/>
              <w:rPr>
                <w:sz w:val="24"/>
                <w:szCs w:val="24"/>
                <w:color w:val="auto"/>
              </w:rPr>
            </w:pPr>
          </w:p>
        </w:tc>
        <w:tc>
          <w:tcPr>
            <w:tcW w:w="79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September 30, 2019 and December 31, 2018</w:t>
              </w:r>
            </w:hyperlink>
          </w:p>
        </w:tc>
        <w:tc>
          <w:tcPr>
            <w:tcW w:w="2780" w:type="dxa"/>
            <w:vAlign w:val="bottom"/>
            <w:gridSpan w:val="4"/>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2</w:t>
            </w:r>
          </w:p>
        </w:tc>
      </w:tr>
      <w:tr>
        <w:trPr>
          <w:trHeight w:val="318"/>
        </w:trPr>
        <w:tc>
          <w:tcPr>
            <w:tcW w:w="80" w:type="dxa"/>
            <w:vAlign w:val="bottom"/>
          </w:tcPr>
          <w:p>
            <w:pPr>
              <w:spacing w:after="0"/>
              <w:rPr>
                <w:sz w:val="24"/>
                <w:szCs w:val="24"/>
                <w:color w:val="auto"/>
              </w:rPr>
            </w:pPr>
          </w:p>
        </w:tc>
        <w:tc>
          <w:tcPr>
            <w:tcW w:w="95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nine month periods ended September 30, 2019 and 2018</w:t>
              </w:r>
            </w:hyperlink>
          </w:p>
        </w:tc>
        <w:tc>
          <w:tcPr>
            <w:tcW w:w="1220" w:type="dxa"/>
            <w:vAlign w:val="bottom"/>
            <w:gridSpan w:val="2"/>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4</w:t>
            </w:r>
          </w:p>
        </w:tc>
      </w:tr>
      <w:tr>
        <w:trPr>
          <w:trHeight w:val="318"/>
        </w:trPr>
        <w:tc>
          <w:tcPr>
            <w:tcW w:w="80" w:type="dxa"/>
            <w:vAlign w:val="bottom"/>
          </w:tcPr>
          <w:p>
            <w:pPr>
              <w:spacing w:after="0"/>
              <w:rPr>
                <w:sz w:val="24"/>
                <w:szCs w:val="24"/>
                <w:color w:val="auto"/>
              </w:rPr>
            </w:pPr>
          </w:p>
        </w:tc>
        <w:tc>
          <w:tcPr>
            <w:tcW w:w="10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nine month periods ended September 30, 2019 and 2018</w:t>
              </w:r>
            </w:hyperlink>
          </w:p>
        </w:tc>
        <w:tc>
          <w:tcPr>
            <w:tcW w:w="300" w:type="dxa"/>
            <w:vAlign w:val="bottom"/>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5</w:t>
            </w:r>
          </w:p>
        </w:tc>
      </w:tr>
      <w:tr>
        <w:trPr>
          <w:trHeight w:val="318"/>
        </w:trPr>
        <w:tc>
          <w:tcPr>
            <w:tcW w:w="80" w:type="dxa"/>
            <w:vAlign w:val="bottom"/>
          </w:tcPr>
          <w:p>
            <w:pPr>
              <w:spacing w:after="0"/>
              <w:rPr>
                <w:sz w:val="24"/>
                <w:szCs w:val="24"/>
                <w:color w:val="auto"/>
              </w:rPr>
            </w:pPr>
          </w:p>
        </w:tc>
        <w:tc>
          <w:tcPr>
            <w:tcW w:w="83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 periods ended September 30, 2019 and 2018</w:t>
              </w:r>
            </w:hyperlink>
          </w:p>
        </w:tc>
        <w:tc>
          <w:tcPr>
            <w:tcW w:w="2380" w:type="dxa"/>
            <w:vAlign w:val="bottom"/>
            <w:gridSpan w:val="3"/>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6</w:t>
            </w:r>
          </w:p>
        </w:tc>
      </w:tr>
      <w:tr>
        <w:trPr>
          <w:trHeight w:val="318"/>
        </w:trPr>
        <w:tc>
          <w:tcPr>
            <w:tcW w:w="80" w:type="dxa"/>
            <w:vAlign w:val="bottom"/>
          </w:tcPr>
          <w:p>
            <w:pPr>
              <w:spacing w:after="0"/>
              <w:rPr>
                <w:sz w:val="24"/>
                <w:szCs w:val="24"/>
                <w:color w:val="auto"/>
              </w:rPr>
            </w:pPr>
          </w:p>
        </w:tc>
        <w:tc>
          <w:tcPr>
            <w:tcW w:w="10720" w:type="dxa"/>
            <w:vAlign w:val="bottom"/>
            <w:gridSpan w:val="8"/>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Condensed Consolidated Statements of Changes in Members’ Equity for the three month and nine month periods ended September 30, 2019 and</w:t>
              </w:r>
            </w:hyperlink>
          </w:p>
        </w:tc>
        <w:tc>
          <w:tcPr>
            <w:tcW w:w="56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9">
              <w:r>
                <w:rPr>
                  <w:rFonts w:ascii="Arial" w:cs="Arial" w:eastAsia="Arial" w:hAnsi="Arial"/>
                  <w:sz w:val="18"/>
                  <w:szCs w:val="18"/>
                  <w:color w:val="0000EE"/>
                  <w:w w:val="84"/>
                </w:rPr>
                <w:t>2018</w:t>
              </w:r>
            </w:hyperlink>
          </w:p>
        </w:tc>
        <w:tc>
          <w:tcPr>
            <w:tcW w:w="342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center"/>
              <w:ind w:left="33"/>
              <w:spacing w:after="0" w:line="196" w:lineRule="exact"/>
              <w:rPr>
                <w:sz w:val="20"/>
                <w:szCs w:val="20"/>
                <w:color w:val="auto"/>
              </w:rPr>
            </w:pPr>
            <w:r>
              <w:rPr>
                <w:rFonts w:ascii="Arial" w:cs="Arial" w:eastAsia="Arial" w:hAnsi="Arial"/>
                <w:sz w:val="18"/>
                <w:szCs w:val="18"/>
                <w:color w:val="auto"/>
                <w:w w:val="79"/>
              </w:rPr>
              <w:t>7</w:t>
            </w:r>
          </w:p>
        </w:tc>
      </w:tr>
      <w:tr>
        <w:trPr>
          <w:trHeight w:val="318"/>
        </w:trPr>
        <w:tc>
          <w:tcPr>
            <w:tcW w:w="80" w:type="dxa"/>
            <w:vAlign w:val="bottom"/>
          </w:tcPr>
          <w:p>
            <w:pPr>
              <w:spacing w:after="0"/>
              <w:rPr>
                <w:sz w:val="24"/>
                <w:szCs w:val="24"/>
                <w:color w:val="auto"/>
              </w:rPr>
            </w:pPr>
          </w:p>
        </w:tc>
        <w:tc>
          <w:tcPr>
            <w:tcW w:w="1072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Notes to Condensed Consolidated Financial Statements</w:t>
              </w:r>
            </w:hyperlink>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11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928,439</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1,185,040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1,289,288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38,379</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$31,238 and $40,115</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September 30, 2019 and December 31, 2018,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468,393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499,068</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184,137</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21,103</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700,614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704,308</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535,848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$351,532 and $339,448</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 September 30, 2019 and December 31, 2018,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215,935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211,713</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558,241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 of $65,493 and</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$63,591 at September 30, 2019 and December 31, 2018,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347,597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354,463</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65,205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55,042</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258,413</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4,994,628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4,389,475</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0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Liabilities: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1,405,836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1,154,208</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416,969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583,730</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652,113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Senior debt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1,678,921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1,434,260</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Payable to Lazard Ltd subsidiaries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63,185</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5,539</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565,801</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4,679,287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3,806,723</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Members' equity (net of 23,112,777 and 16,737,000 shares of Lazard Ltd Class A</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at a cost of $922,283 and $729,910 at September 30, 2019 and</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2018, respectively)</w:t>
            </w: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491,696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758,705</w:t>
            </w:r>
          </w:p>
        </w:tc>
        <w:tc>
          <w:tcPr>
            <w:tcW w:w="120" w:type="dxa"/>
            <w:vAlign w:val="bottom"/>
            <w:shd w:val="clear" w:color="auto" w:fill="CFF0FC"/>
          </w:tcPr>
          <w:p>
            <w:pPr>
              <w:spacing w:after="0"/>
              <w:rPr>
                <w:sz w:val="20"/>
                <w:szCs w:val="20"/>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(241,790)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(228,660)</w:t>
            </w:r>
          </w:p>
        </w:tc>
      </w:tr>
      <w:tr>
        <w:trPr>
          <w:trHeight w:val="223"/>
        </w:trPr>
        <w:tc>
          <w:tcPr>
            <w:tcW w:w="70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Lazard Group LLC Members' Equity</w:t>
            </w:r>
          </w:p>
        </w:tc>
        <w:tc>
          <w:tcPr>
            <w:tcW w:w="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249,906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530,045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52,707</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Members’ Equity</w:t>
            </w:r>
          </w:p>
        </w:tc>
        <w:tc>
          <w:tcPr>
            <w:tcW w:w="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315,341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582,752</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Pr>
          <w:p>
            <w:pPr>
              <w:ind w:left="500"/>
              <w:spacing w:after="0"/>
              <w:rPr>
                <w:sz w:val="20"/>
                <w:szCs w:val="20"/>
                <w:color w:val="auto"/>
              </w:rPr>
            </w:pPr>
            <w:r>
              <w:rPr>
                <w:rFonts w:ascii="Arial" w:cs="Arial" w:eastAsia="Arial" w:hAnsi="Arial"/>
                <w:sz w:val="18"/>
                <w:szCs w:val="18"/>
                <w:color w:val="auto"/>
              </w:rPr>
              <w:t>Total Liabilities and Members’ Equity</w:t>
            </w:r>
          </w:p>
        </w:tc>
        <w:tc>
          <w:tcPr>
            <w:tcW w:w="8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4,994,628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4,389,475</w:t>
            </w:r>
          </w:p>
        </w:tc>
        <w:tc>
          <w:tcPr>
            <w:tcW w:w="12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8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303,495</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309,118</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949,977</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1,136,013</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287,140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876,159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986,777</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11,262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8,018</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65,577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46,315</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608,894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640,233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1,902,975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2,177,123</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20,876</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44,211</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588,018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625,012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1,842,170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2,132,912</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388,616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342,294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1,129,316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1,160,216</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88,598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87,786</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27,264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83,908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75,575</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34,039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104,852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102,098</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14,592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13,067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46,107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40,745</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85,847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103,159</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(1,109)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(1,025)</w:t>
            </w: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33,449</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50,860</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535,200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490,280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1,572,876</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1,619,414</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134,732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269,294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513,498</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75,453</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226,597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438,045</w:t>
            </w:r>
          </w:p>
        </w:tc>
        <w:tc>
          <w:tcPr>
            <w:tcW w:w="120" w:type="dxa"/>
            <w:vAlign w:val="bottom"/>
            <w:shd w:val="clear" w:color="auto" w:fill="CFF0FC"/>
          </w:tcPr>
          <w:p>
            <w:pPr>
              <w:spacing w:after="0"/>
              <w:rPr>
                <w:sz w:val="19"/>
                <w:szCs w:val="19"/>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b w:val="1"/>
                <w:bCs w:val="1"/>
                <w:color w:val="auto"/>
              </w:rPr>
              <w:t>LESS - NET INCOME ATTRIBUTABLE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TO NONCONTROLLING INTERESTS</w:t>
            </w:r>
          </w:p>
        </w:tc>
        <w:tc>
          <w:tcPr>
            <w:tcW w:w="5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w:t>
            </w:r>
          </w:p>
        </w:tc>
        <w:tc>
          <w:tcPr>
            <w:tcW w:w="2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120" w:type="dxa"/>
            <w:vAlign w:val="bottom"/>
            <w:tcBorders>
              <w:bottom w:val="single" w:sz="8" w:color="CFF0FC"/>
            </w:tcBorders>
          </w:tcPr>
          <w:p>
            <w:pPr>
              <w:spacing w:after="0"/>
              <w:rPr>
                <w:sz w:val="20"/>
                <w:szCs w:val="20"/>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5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41,893</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107,687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217,935</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433,008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43,385</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109,339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226,597</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438,045</w:t>
            </w:r>
          </w:p>
        </w:tc>
        <w:tc>
          <w:tcPr>
            <w:tcW w:w="120" w:type="dxa"/>
            <w:vAlign w:val="bottom"/>
            <w:shd w:val="clear" w:color="auto" w:fill="CFF0FC"/>
          </w:tcPr>
          <w:p>
            <w:pPr>
              <w:spacing w:after="0"/>
              <w:rPr>
                <w:sz w:val="19"/>
                <w:szCs w:val="19"/>
                <w:color w:val="auto"/>
              </w:rPr>
            </w:pPr>
          </w:p>
        </w:tc>
      </w:tr>
      <w:tr>
        <w:trPr>
          <w:trHeight w:val="205"/>
        </w:trPr>
        <w:tc>
          <w:tcPr>
            <w:tcW w:w="664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64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(24,321)</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(7,631)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(28,361)</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(29,258)</w:t>
            </w: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(net of tax expense (benefit) of $(1,607)</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$214 for the three months ended September 30, 2019</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2018, respectively, and $1,113 and $618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nine months ended September 30, 2019 and 2018,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11,911</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120" w:type="dxa"/>
            <w:vAlign w:val="bottom"/>
            <w:shd w:val="clear" w:color="auto" w:fill="CFF0FC"/>
          </w:tcPr>
          <w:p>
            <w:pPr>
              <w:spacing w:after="0"/>
              <w:rPr>
                <w:sz w:val="20"/>
                <w:szCs w:val="20"/>
                <w:color w:val="auto"/>
              </w:rPr>
            </w:pPr>
          </w:p>
        </w:tc>
      </w:tr>
      <w:tr>
        <w:trPr>
          <w:trHeight w:val="215"/>
        </w:trPr>
        <w:tc>
          <w:tcPr>
            <w:tcW w:w="664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tax expense of $172 and $264 for the three months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ended September 30, 2019 and 2018, respectively,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and $524 and $948 for the nine months ended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4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September 30, 2019 and 2018, respectively)</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20" w:type="dxa"/>
            <w:vAlign w:val="bottom"/>
            <w:tcBorders>
              <w:bottom w:val="single" w:sz="8" w:color="CFF0FC"/>
            </w:tcBorders>
          </w:tcPr>
          <w:p>
            <w:pPr>
              <w:spacing w:after="0"/>
              <w:rPr>
                <w:sz w:val="20"/>
                <w:szCs w:val="20"/>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(14,197)</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(13,131)</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(22,321)</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29,188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103,520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213,466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415,724</w:t>
            </w:r>
          </w:p>
        </w:tc>
        <w:tc>
          <w:tcPr>
            <w:tcW w:w="120" w:type="dxa"/>
            <w:vAlign w:val="bottom"/>
          </w:tcPr>
          <w:p>
            <w:pPr>
              <w:spacing w:after="0"/>
              <w:rPr>
                <w:sz w:val="19"/>
                <w:szCs w:val="19"/>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w:t>
            </w:r>
          </w:p>
        </w:tc>
        <w:tc>
          <w:tcPr>
            <w:tcW w:w="2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8,661</w:t>
            </w:r>
          </w:p>
        </w:tc>
        <w:tc>
          <w:tcPr>
            <w:tcW w:w="2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120" w:type="dxa"/>
            <w:vAlign w:val="bottom"/>
            <w:shd w:val="clear" w:color="auto" w:fill="CFF0FC"/>
          </w:tcPr>
          <w:p>
            <w:pPr>
              <w:spacing w:after="0"/>
              <w:rPr>
                <w:sz w:val="20"/>
                <w:szCs w:val="20"/>
                <w:color w:val="auto"/>
              </w:rPr>
            </w:pPr>
          </w:p>
        </w:tc>
      </w:tr>
      <w:tr>
        <w:trPr>
          <w:trHeight w:val="205"/>
        </w:trPr>
        <w:tc>
          <w:tcPr>
            <w:tcW w:w="664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640" w:type="dxa"/>
            <w:vAlign w:val="bottom"/>
          </w:tcPr>
          <w:p>
            <w:pPr>
              <w:ind w:left="140"/>
              <w:spacing w:after="0"/>
              <w:rPr>
                <w:sz w:val="20"/>
                <w:szCs w:val="20"/>
                <w:color w:val="auto"/>
              </w:rPr>
            </w:pPr>
            <w:r>
              <w:rPr>
                <w:rFonts w:ascii="Arial" w:cs="Arial" w:eastAsia="Arial" w:hAnsi="Arial"/>
                <w:sz w:val="18"/>
                <w:szCs w:val="18"/>
                <w:b w:val="1"/>
                <w:bCs w:val="1"/>
                <w:color w:val="auto"/>
              </w:rPr>
              <w:t>LAZARD GROUP LLC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27,697</w:t>
            </w:r>
          </w:p>
        </w:tc>
        <w:tc>
          <w:tcPr>
            <w:tcW w:w="220" w:type="dxa"/>
            <w:vAlign w:val="bottom"/>
          </w:tcPr>
          <w:p>
            <w:pPr>
              <w:spacing w:after="0"/>
              <w:rPr>
                <w:sz w:val="20"/>
                <w:szCs w:val="20"/>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101,867</w:t>
            </w:r>
          </w:p>
        </w:tc>
        <w:tc>
          <w:tcPr>
            <w:tcW w:w="140" w:type="dxa"/>
            <w:vAlign w:val="bottom"/>
          </w:tcPr>
          <w:p>
            <w:pPr>
              <w:spacing w:after="0"/>
              <w:rPr>
                <w:sz w:val="20"/>
                <w:szCs w:val="20"/>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204,805</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410,687</w:t>
            </w:r>
          </w:p>
        </w:tc>
        <w:tc>
          <w:tcPr>
            <w:tcW w:w="12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0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1"/>
        </w:trPr>
        <w:tc>
          <w:tcPr>
            <w:tcW w:w="7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226,597</w:t>
            </w:r>
          </w:p>
        </w:tc>
        <w:tc>
          <w:tcPr>
            <w:tcW w:w="28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438,045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24,622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lease expense</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40,181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315,726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293,027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and other acquisition-related (benefits) costs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(1,025)</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Deferred tax benefit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(17,488)</w:t>
            </w:r>
          </w:p>
        </w:tc>
        <w:tc>
          <w:tcPr>
            <w:tcW w:w="3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extinguishment of debt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assets and increase (decrease) in</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380"/>
              <w:spacing w:after="0"/>
              <w:rPr>
                <w:sz w:val="20"/>
                <w:szCs w:val="20"/>
                <w:color w:val="auto"/>
              </w:rPr>
            </w:pPr>
            <w:r>
              <w:rPr>
                <w:rFonts w:ascii="Arial" w:cs="Arial" w:eastAsia="Arial" w:hAnsi="Arial"/>
                <w:sz w:val="16"/>
                <w:szCs w:val="16"/>
                <w:color w:val="auto"/>
              </w:rPr>
              <w:t>operating liabilities: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(6,848)</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(87,885)</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43,559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(184,542)</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(126,207)</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(144,895)</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(208,236)</w:t>
            </w:r>
          </w:p>
        </w:tc>
        <w:tc>
          <w:tcPr>
            <w:tcW w:w="3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(42,867)</w:t>
            </w:r>
          </w:p>
        </w:tc>
        <w:tc>
          <w:tcPr>
            <w:tcW w:w="0" w:type="dxa"/>
            <w:vAlign w:val="bottom"/>
          </w:tcPr>
          <w:p>
            <w:pPr>
              <w:spacing w:after="0"/>
              <w:rPr>
                <w:sz w:val="1"/>
                <w:szCs w:val="1"/>
                <w:color w:val="auto"/>
              </w:rPr>
            </w:pPr>
          </w:p>
        </w:tc>
      </w:tr>
      <w:tr>
        <w:trPr>
          <w:trHeight w:val="213"/>
        </w:trPr>
        <w:tc>
          <w:tcPr>
            <w:tcW w:w="71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299,210</w:t>
            </w: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299,997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property</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(40,665)</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(39,141)</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Disposals of property</w:t>
            </w:r>
          </w:p>
        </w:tc>
        <w:tc>
          <w:tcPr>
            <w:tcW w:w="7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(40,567)</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(37,776)</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Issuance of senior debt, net of expenses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492,032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490,970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Customer deposits, net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345,394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Payments for:</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Senior debt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(255,746)</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(255,543)</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(8,888)</w:t>
            </w:r>
          </w:p>
        </w:tc>
        <w:tc>
          <w:tcPr>
            <w:tcW w:w="3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(10,232)</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Class A common stock</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(430,281)</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(306,591)</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Distributions to members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(178,935)</w:t>
            </w:r>
          </w:p>
        </w:tc>
        <w:tc>
          <w:tcPr>
            <w:tcW w:w="3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(364,751)</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share-based incentive compensation</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(96,955)</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(109,485)</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(6,170)</w:t>
            </w:r>
          </w:p>
        </w:tc>
        <w:tc>
          <w:tcPr>
            <w:tcW w:w="3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(5,541)</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7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60" w:type="dxa"/>
            <w:vAlign w:val="bottom"/>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(138,356)</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(480,685)</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AND CASH EQUIVALENTS AND</w:t>
            </w:r>
          </w:p>
        </w:tc>
        <w:tc>
          <w:tcPr>
            <w:tcW w:w="7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(92,668)</w:t>
            </w:r>
          </w:p>
        </w:tc>
        <w:tc>
          <w:tcPr>
            <w:tcW w:w="3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(66,339)</w:t>
            </w:r>
          </w:p>
        </w:tc>
        <w:tc>
          <w:tcPr>
            <w:tcW w:w="0" w:type="dxa"/>
            <w:vAlign w:val="bottom"/>
          </w:tcPr>
          <w:p>
            <w:pPr>
              <w:spacing w:after="0"/>
              <w:rPr>
                <w:sz w:val="1"/>
                <w:szCs w:val="1"/>
                <w:color w:val="auto"/>
              </w:rPr>
            </w:pPr>
          </w:p>
        </w:tc>
      </w:tr>
      <w:tr>
        <w:trPr>
          <w:trHeight w:val="199"/>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INCREASE (DECREASE) IN CASH AND CASH EQUIVALENTS AND</w:t>
            </w:r>
          </w:p>
        </w:tc>
        <w:tc>
          <w:tcPr>
            <w:tcW w:w="7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27,619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(284,803)</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AND RESTRICTED CASH—January 1</w:t>
            </w:r>
          </w:p>
        </w:tc>
        <w:tc>
          <w:tcPr>
            <w:tcW w:w="7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2,230,388</w:t>
            </w:r>
          </w:p>
        </w:tc>
        <w:tc>
          <w:tcPr>
            <w:tcW w:w="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2,441,266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CASH—September 30</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2,258,007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2,156,463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7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WITHIN THE CONDENSED CONSOLIDATED STATEMENTS OF FINANCIAL</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CONDITION: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01"/>
        </w:trPr>
        <w:tc>
          <w:tcPr>
            <w:tcW w:w="716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928,439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1,185,040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Deposits with banks and short-term investments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1,289,288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1,006,969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7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40,280</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TOTAL CASH AND CASH EQUIVALENTS AND RESTRICTED CASH</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2,258,007</w:t>
            </w:r>
          </w:p>
        </w:tc>
        <w:tc>
          <w:tcPr>
            <w:tcW w:w="28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2,230,388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Lazard Group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2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Noncontrolling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2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July 1, 2018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935,787</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(211,757)</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724,030</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57,397</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781,427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6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109,339</w:t>
            </w:r>
          </w:p>
        </w:tc>
        <w:tc>
          <w:tcPr>
            <w:tcW w:w="100" w:type="dxa"/>
            <w:vAlign w:val="bottom"/>
            <w:shd w:val="clear" w:color="auto" w:fill="CFF0FC"/>
          </w:tcPr>
          <w:p>
            <w:pPr>
              <w:spacing w:after="0"/>
              <w:rPr>
                <w:sz w:val="19"/>
                <w:szCs w:val="19"/>
                <w:color w:val="auto"/>
              </w:rPr>
            </w:pPr>
          </w:p>
        </w:tc>
      </w:tr>
      <w:tr>
        <w:trPr>
          <w:trHeight w:val="213"/>
        </w:trPr>
        <w:tc>
          <w:tcPr>
            <w:tcW w:w="4660" w:type="dxa"/>
            <w:vAlign w:val="bottom"/>
            <w:gridSpan w:val="2"/>
          </w:tcPr>
          <w:p>
            <w:pPr>
              <w:ind w:left="140"/>
              <w:spacing w:after="0"/>
              <w:rPr>
                <w:sz w:val="20"/>
                <w:szCs w:val="20"/>
                <w:color w:val="auto"/>
              </w:rPr>
            </w:pPr>
            <w:r>
              <w:rPr>
                <w:rFonts w:ascii="Arial" w:cs="Arial" w:eastAsia="Arial" w:hAnsi="Arial"/>
                <w:sz w:val="16"/>
                <w:szCs w:val="16"/>
                <w:color w:val="auto"/>
              </w:rPr>
              <w:t>Other comprehensive income (loss) -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(5,820)</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(5,820)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(5,819)</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48,356</w:t>
            </w:r>
          </w:p>
        </w:tc>
        <w:tc>
          <w:tcPr>
            <w:tcW w:w="100" w:type="dxa"/>
            <w:vAlign w:val="bottom"/>
            <w:shd w:val="clear" w:color="auto" w:fill="CFF0FC"/>
          </w:tcPr>
          <w:p>
            <w:pPr>
              <w:spacing w:after="0"/>
              <w:rPr>
                <w:sz w:val="18"/>
                <w:szCs w:val="18"/>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(99,159)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(99,159)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(5,135)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(104,294)</w:t>
            </w: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(82,796)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(82,796)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(82,796)</w:t>
            </w:r>
          </w:p>
        </w:tc>
      </w:tr>
      <w:tr>
        <w:trPr>
          <w:trHeight w:val="206"/>
        </w:trPr>
        <w:tc>
          <w:tcPr>
            <w:tcW w:w="4660" w:type="dxa"/>
            <w:vAlign w:val="bottom"/>
            <w:gridSpan w:val="2"/>
          </w:tcPr>
          <w:p>
            <w:pPr>
              <w:spacing w:after="0"/>
              <w:rPr>
                <w:sz w:val="20"/>
                <w:szCs w:val="20"/>
                <w:color w:val="auto"/>
              </w:rPr>
            </w:pPr>
            <w:r>
              <w:rPr>
                <w:rFonts w:ascii="Arial" w:cs="Arial" w:eastAsia="Arial" w:hAnsi="Arial"/>
                <w:sz w:val="16"/>
                <w:szCs w:val="16"/>
                <w:color w:val="auto"/>
              </w:rPr>
              <w:t>Delivery of Class A common stock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compensation and related tax expense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of $173</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(439)</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6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transactions: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4660" w:type="dxa"/>
            <w:vAlign w:val="bottom"/>
            <w:gridSpan w:val="2"/>
          </w:tcPr>
          <w:p>
            <w:pPr>
              <w:ind w:left="260"/>
              <w:spacing w:after="0"/>
              <w:rPr>
                <w:sz w:val="20"/>
                <w:szCs w:val="20"/>
                <w:color w:val="auto"/>
              </w:rPr>
            </w:pPr>
            <w:r>
              <w:rPr>
                <w:rFonts w:ascii="Arial" w:cs="Arial" w:eastAsia="Arial" w:hAnsi="Arial"/>
                <w:sz w:val="16"/>
                <w:szCs w:val="16"/>
                <w:color w:val="auto"/>
              </w:rPr>
              <w:t>Class A common stock issuable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(827)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(827)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(827)</w:t>
            </w:r>
          </w:p>
        </w:tc>
      </w:tr>
      <w:tr>
        <w:trPr>
          <w:trHeight w:val="207"/>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Balance - September 30, 2018 (*)</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908,702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(217,577)</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691,125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53,915</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745,040</w:t>
            </w:r>
          </w:p>
        </w:tc>
        <w:tc>
          <w:tcPr>
            <w:tcW w:w="100" w:type="dxa"/>
            <w:vAlign w:val="bottom"/>
          </w:tcPr>
          <w:p>
            <w:pPr>
              <w:spacing w:after="0"/>
              <w:rPr>
                <w:sz w:val="17"/>
                <w:szCs w:val="17"/>
                <w:color w:val="auto"/>
              </w:rPr>
            </w:pPr>
          </w:p>
        </w:tc>
      </w:tr>
      <w:tr>
        <w:trPr>
          <w:trHeight w:val="20"/>
        </w:trPr>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
        </w:trPr>
        <w:tc>
          <w:tcPr>
            <w:tcW w:w="2000" w:type="dxa"/>
            <w:vAlign w:val="bottom"/>
            <w:tcBorders>
              <w:bottom w:val="single" w:sz="8" w:color="auto"/>
            </w:tcBorders>
          </w:tcPr>
          <w:p>
            <w:pPr>
              <w:spacing w:after="0"/>
              <w:rPr>
                <w:sz w:val="3"/>
                <w:szCs w:val="3"/>
                <w:color w:val="auto"/>
              </w:rPr>
            </w:pPr>
          </w:p>
        </w:tc>
        <w:tc>
          <w:tcPr>
            <w:tcW w:w="2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rPr>
          <w:sz w:val="20"/>
          <w:szCs w:val="20"/>
          <w:color w:val="auto"/>
        </w:rPr>
      </w:pPr>
      <w:r>
        <w:rPr>
          <w:rFonts w:ascii="Arial" w:cs="Arial" w:eastAsia="Arial" w:hAnsi="Arial"/>
          <w:sz w:val="16"/>
          <w:szCs w:val="16"/>
          <w:color w:val="auto"/>
        </w:rPr>
        <w:t>(*) At both July 1, 2018 and September 30, 2018, in addition to profit participation interests, there were two managing member interests.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Lazard Group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2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Noncontrolling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2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2018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1,043,574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(195,256)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848,318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58,582</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906,900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6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433,008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433,008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438,045</w:t>
            </w:r>
          </w:p>
        </w:tc>
        <w:tc>
          <w:tcPr>
            <w:tcW w:w="100" w:type="dxa"/>
            <w:vAlign w:val="bottom"/>
            <w:shd w:val="clear" w:color="auto" w:fill="CFF0FC"/>
          </w:tcPr>
          <w:p>
            <w:pPr>
              <w:spacing w:after="0"/>
              <w:rPr>
                <w:sz w:val="19"/>
                <w:szCs w:val="19"/>
                <w:color w:val="auto"/>
              </w:rPr>
            </w:pPr>
          </w:p>
        </w:tc>
      </w:tr>
      <w:tr>
        <w:trPr>
          <w:trHeight w:val="213"/>
        </w:trPr>
        <w:tc>
          <w:tcPr>
            <w:tcW w:w="4660" w:type="dxa"/>
            <w:vAlign w:val="bottom"/>
            <w:gridSpan w:val="2"/>
          </w:tcPr>
          <w:p>
            <w:pPr>
              <w:ind w:left="140"/>
              <w:spacing w:after="0"/>
              <w:rPr>
                <w:sz w:val="20"/>
                <w:szCs w:val="20"/>
                <w:color w:val="auto"/>
              </w:rPr>
            </w:pPr>
            <w:r>
              <w:rPr>
                <w:rFonts w:ascii="Arial" w:cs="Arial" w:eastAsia="Arial" w:hAnsi="Arial"/>
                <w:sz w:val="16"/>
                <w:szCs w:val="16"/>
                <w:color w:val="auto"/>
              </w:rPr>
              <w:t>Other comprehensive loss -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(22,321)</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(22,321)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(22,321)</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100" w:type="dxa"/>
            <w:vAlign w:val="bottom"/>
            <w:shd w:val="clear" w:color="auto" w:fill="CFF0FC"/>
          </w:tcPr>
          <w:p>
            <w:pPr>
              <w:spacing w:after="0"/>
              <w:rPr>
                <w:sz w:val="18"/>
                <w:szCs w:val="18"/>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(364,751)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(364,751)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(9,704)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(374,455)</w:t>
            </w: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(306,591)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(306,591)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(306,591)</w:t>
            </w:r>
          </w:p>
        </w:tc>
      </w:tr>
      <w:tr>
        <w:trPr>
          <w:trHeight w:val="206"/>
        </w:trPr>
        <w:tc>
          <w:tcPr>
            <w:tcW w:w="4660" w:type="dxa"/>
            <w:vAlign w:val="bottom"/>
            <w:gridSpan w:val="2"/>
          </w:tcPr>
          <w:p>
            <w:pPr>
              <w:spacing w:after="0"/>
              <w:rPr>
                <w:sz w:val="20"/>
                <w:szCs w:val="20"/>
                <w:color w:val="auto"/>
              </w:rPr>
            </w:pPr>
            <w:r>
              <w:rPr>
                <w:rFonts w:ascii="Arial" w:cs="Arial" w:eastAsia="Arial" w:hAnsi="Arial"/>
                <w:sz w:val="16"/>
                <w:szCs w:val="16"/>
                <w:color w:val="auto"/>
              </w:rPr>
              <w:t>Delivery of Class A common stock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compensation and related tax expense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of $173</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(109,657)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(109,657)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(109,657)</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4660" w:type="dxa"/>
            <w:vAlign w:val="bottom"/>
            <w:gridSpan w:val="2"/>
          </w:tcPr>
          <w:p>
            <w:pPr>
              <w:ind w:left="260"/>
              <w:spacing w:after="0"/>
              <w:rPr>
                <w:sz w:val="20"/>
                <w:szCs w:val="20"/>
                <w:color w:val="auto"/>
              </w:rPr>
            </w:pPr>
            <w:r>
              <w:rPr>
                <w:rFonts w:ascii="Arial" w:cs="Arial" w:eastAsia="Arial" w:hAnsi="Arial"/>
                <w:sz w:val="16"/>
                <w:szCs w:val="16"/>
                <w:color w:val="auto"/>
              </w:rPr>
              <w:t>Class A common stock issuable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(5,345)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(5,345)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(5,345)</w:t>
            </w:r>
          </w:p>
        </w:tc>
      </w:tr>
      <w:tr>
        <w:trPr>
          <w:trHeight w:val="207"/>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Balance - September 30, 2018 (*)</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908,702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(217,577)</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691,125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53,915</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745,040</w:t>
            </w:r>
          </w:p>
        </w:tc>
        <w:tc>
          <w:tcPr>
            <w:tcW w:w="100" w:type="dxa"/>
            <w:vAlign w:val="bottom"/>
          </w:tcPr>
          <w:p>
            <w:pPr>
              <w:spacing w:after="0"/>
              <w:rPr>
                <w:sz w:val="17"/>
                <w:szCs w:val="17"/>
                <w:color w:val="auto"/>
              </w:rPr>
            </w:pPr>
          </w:p>
        </w:tc>
      </w:tr>
      <w:tr>
        <w:trPr>
          <w:trHeight w:val="20"/>
        </w:trPr>
        <w:tc>
          <w:tcPr>
            <w:tcW w:w="2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
        </w:trPr>
        <w:tc>
          <w:tcPr>
            <w:tcW w:w="2300" w:type="dxa"/>
            <w:vAlign w:val="bottom"/>
            <w:tcBorders>
              <w:bottom w:val="single" w:sz="8" w:color="auto"/>
            </w:tcBorders>
          </w:tcPr>
          <w:p>
            <w:pPr>
              <w:spacing w:after="0"/>
              <w:rPr>
                <w:sz w:val="3"/>
                <w:szCs w:val="3"/>
                <w:color w:val="auto"/>
              </w:rPr>
            </w:pPr>
          </w:p>
        </w:tc>
        <w:tc>
          <w:tcPr>
            <w:tcW w:w="2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rPr>
          <w:sz w:val="20"/>
          <w:szCs w:val="20"/>
          <w:color w:val="auto"/>
        </w:rPr>
      </w:pPr>
      <w:r>
        <w:rPr>
          <w:rFonts w:ascii="Arial" w:cs="Arial" w:eastAsia="Arial" w:hAnsi="Arial"/>
          <w:sz w:val="16"/>
          <w:szCs w:val="16"/>
          <w:color w:val="auto"/>
        </w:rPr>
        <w:t>(*) At both January 1, 2018 and September 30, 2018</w:t>
      </w:r>
      <w:r>
        <w:rPr>
          <w:rFonts w:ascii="Arial" w:cs="Arial" w:eastAsia="Arial" w:hAnsi="Arial"/>
          <w:sz w:val="16"/>
          <w:szCs w:val="16"/>
          <w:color w:val="212529"/>
        </w:rPr>
        <w:t>,</w:t>
      </w:r>
      <w:r>
        <w:rPr>
          <w:rFonts w:ascii="Arial" w:cs="Arial" w:eastAsia="Arial" w:hAnsi="Arial"/>
          <w:sz w:val="16"/>
          <w:szCs w:val="16"/>
          <w:color w:val="auto"/>
        </w:rPr>
        <w:t xml:space="preserve"> in addition to profit participation interests, there were two managing member interests.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58"/>
        </w:trPr>
        <w:tc>
          <w:tcPr>
            <w:tcW w:w="20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Lazard Group</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2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Members'</w:t>
            </w:r>
          </w:p>
        </w:tc>
        <w:tc>
          <w:tcPr>
            <w:tcW w:w="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Members'</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Noncontrolling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2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of Tax</w:t>
            </w:r>
          </w:p>
        </w:tc>
        <w:tc>
          <w:tcPr>
            <w:tcW w:w="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4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July 1, 2019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465,436</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(227,594)</w:t>
            </w: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237,842</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63,823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301,665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9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43,385</w:t>
            </w:r>
          </w:p>
        </w:tc>
        <w:tc>
          <w:tcPr>
            <w:tcW w:w="100" w:type="dxa"/>
            <w:vAlign w:val="bottom"/>
            <w:shd w:val="clear" w:color="auto" w:fill="CFF0FC"/>
          </w:tcPr>
          <w:p>
            <w:pPr>
              <w:spacing w:after="0"/>
              <w:rPr>
                <w:sz w:val="19"/>
                <w:szCs w:val="19"/>
                <w:color w:val="auto"/>
              </w:rPr>
            </w:pPr>
          </w:p>
        </w:tc>
      </w:tr>
      <w:tr>
        <w:trPr>
          <w:trHeight w:val="213"/>
        </w:trPr>
        <w:tc>
          <w:tcPr>
            <w:tcW w:w="4960" w:type="dxa"/>
            <w:vAlign w:val="bottom"/>
            <w:gridSpan w:val="2"/>
          </w:tcPr>
          <w:p>
            <w:pPr>
              <w:ind w:left="260"/>
              <w:spacing w:after="0"/>
              <w:rPr>
                <w:sz w:val="20"/>
                <w:szCs w:val="20"/>
                <w:color w:val="auto"/>
              </w:rPr>
            </w:pPr>
            <w:r>
              <w:rPr>
                <w:rFonts w:ascii="Arial" w:cs="Arial" w:eastAsia="Arial" w:hAnsi="Arial"/>
                <w:sz w:val="16"/>
                <w:szCs w:val="16"/>
                <w:color w:val="auto"/>
              </w:rPr>
              <w:t>Other comprehensive loss - net of tax</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(14,196)</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(14,196)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(14,197)</w:t>
            </w:r>
          </w:p>
        </w:tc>
      </w:tr>
      <w:tr>
        <w:trPr>
          <w:trHeight w:val="21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65,189</w:t>
            </w:r>
          </w:p>
        </w:tc>
        <w:tc>
          <w:tcPr>
            <w:tcW w:w="100" w:type="dxa"/>
            <w:vAlign w:val="bottom"/>
            <w:shd w:val="clear" w:color="auto" w:fill="CFF0FC"/>
          </w:tcPr>
          <w:p>
            <w:pPr>
              <w:spacing w:after="0"/>
              <w:rPr>
                <w:sz w:val="19"/>
                <w:szCs w:val="19"/>
                <w:color w:val="auto"/>
              </w:rPr>
            </w:pPr>
          </w:p>
        </w:tc>
      </w:tr>
      <w:tr>
        <w:trPr>
          <w:trHeight w:val="206"/>
        </w:trPr>
        <w:tc>
          <w:tcPr>
            <w:tcW w:w="496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960" w:type="dxa"/>
            <w:vAlign w:val="bottom"/>
            <w:gridSpan w:val="2"/>
          </w:tcPr>
          <w:p>
            <w:pPr>
              <w:ind w:left="12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(1,102)</w:t>
            </w:r>
          </w:p>
        </w:tc>
      </w:tr>
      <w:tr>
        <w:trPr>
          <w:trHeight w:val="21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(78,569)</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(78,569)</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(78,569)</w:t>
            </w:r>
          </w:p>
        </w:tc>
      </w:tr>
      <w:tr>
        <w:trPr>
          <w:trHeight w:val="206"/>
        </w:trPr>
        <w:tc>
          <w:tcPr>
            <w:tcW w:w="4960" w:type="dxa"/>
            <w:vAlign w:val="bottom"/>
            <w:gridSpan w:val="2"/>
          </w:tcPr>
          <w:p>
            <w:pPr>
              <w:spacing w:after="0"/>
              <w:rPr>
                <w:sz w:val="20"/>
                <w:szCs w:val="20"/>
                <w:color w:val="auto"/>
              </w:rPr>
            </w:pPr>
            <w:r>
              <w:rPr>
                <w:rFonts w:ascii="Arial" w:cs="Arial" w:eastAsia="Arial" w:hAnsi="Arial"/>
                <w:sz w:val="16"/>
                <w:szCs w:val="16"/>
                <w:color w:val="auto"/>
              </w:rPr>
              <w:t>Delivery of Class A common stock in</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Arial" w:cs="Arial" w:eastAsia="Arial" w:hAnsi="Arial"/>
                <w:sz w:val="16"/>
                <w:szCs w:val="16"/>
                <w:color w:val="auto"/>
              </w:rPr>
              <w:t>compensation and related tax benefit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960" w:type="dxa"/>
            <w:vAlign w:val="bottom"/>
            <w:gridSpan w:val="2"/>
          </w:tcPr>
          <w:p>
            <w:pPr>
              <w:ind w:left="120"/>
              <w:spacing w:after="0"/>
              <w:rPr>
                <w:sz w:val="20"/>
                <w:szCs w:val="20"/>
                <w:color w:val="auto"/>
              </w:rPr>
            </w:pPr>
            <w:r>
              <w:rPr>
                <w:rFonts w:ascii="Arial" w:cs="Arial" w:eastAsia="Arial" w:hAnsi="Arial"/>
                <w:sz w:val="16"/>
                <w:szCs w:val="16"/>
                <w:color w:val="auto"/>
              </w:rPr>
              <w:t>of $1</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(865)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(865)</w:t>
            </w:r>
          </w:p>
        </w:tc>
      </w:tr>
      <w:tr>
        <w:trPr>
          <w:trHeight w:val="20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9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4960" w:type="dxa"/>
            <w:vAlign w:val="bottom"/>
            <w:gridSpan w:val="2"/>
          </w:tcPr>
          <w:p>
            <w:pPr>
              <w:ind w:left="260"/>
              <w:spacing w:after="0"/>
              <w:rPr>
                <w:sz w:val="20"/>
                <w:szCs w:val="20"/>
                <w:color w:val="auto"/>
              </w:rPr>
            </w:pPr>
            <w:r>
              <w:rPr>
                <w:rFonts w:ascii="Arial" w:cs="Arial" w:eastAsia="Arial" w:hAnsi="Arial"/>
                <w:sz w:val="16"/>
                <w:szCs w:val="16"/>
                <w:color w:val="auto"/>
              </w:rPr>
              <w:t>Class A common stock issuable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96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r>
      <w:tr>
        <w:trPr>
          <w:trHeight w:val="21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Consolidation of VIEs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FF0FC"/>
          </w:tcPr>
          <w:p>
            <w:pPr>
              <w:spacing w:after="0"/>
              <w:rPr>
                <w:sz w:val="19"/>
                <w:szCs w:val="19"/>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(1,441)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(1,441)</w:t>
            </w:r>
          </w:p>
        </w:tc>
      </w:tr>
      <w:tr>
        <w:trPr>
          <w:trHeight w:val="210"/>
        </w:trPr>
        <w:tc>
          <w:tcPr>
            <w:tcW w:w="4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September 30, 2019 (*)</w:t>
            </w: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491,696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(241,790)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249,906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65,435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315,341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
        </w:trPr>
        <w:tc>
          <w:tcPr>
            <w:tcW w:w="2000" w:type="dxa"/>
            <w:vAlign w:val="bottom"/>
            <w:tcBorders>
              <w:bottom w:val="single" w:sz="8" w:color="auto"/>
            </w:tcBorders>
          </w:tcPr>
          <w:p>
            <w:pPr>
              <w:spacing w:after="0"/>
              <w:rPr>
                <w:sz w:val="3"/>
                <w:szCs w:val="3"/>
                <w:color w:val="auto"/>
              </w:rPr>
            </w:pPr>
          </w:p>
        </w:tc>
        <w:tc>
          <w:tcPr>
            <w:tcW w:w="2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rPr>
          <w:sz w:val="20"/>
          <w:szCs w:val="20"/>
          <w:color w:val="auto"/>
        </w:rPr>
      </w:pPr>
      <w:r>
        <w:rPr>
          <w:rFonts w:ascii="Arial" w:cs="Arial" w:eastAsia="Arial" w:hAnsi="Arial"/>
          <w:sz w:val="16"/>
          <w:szCs w:val="16"/>
          <w:color w:val="auto"/>
        </w:rPr>
        <w:t>(*) At both July 1, 2019 and September 30, 2019, in addition to profit participation interests, there were two managing member interests.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Lazard Group</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Members'</w:t>
            </w:r>
          </w:p>
        </w:tc>
        <w:tc>
          <w:tcPr>
            <w:tcW w:w="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Members'</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Noncontrolling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of Tax</w:t>
            </w:r>
          </w:p>
        </w:tc>
        <w:tc>
          <w:tcPr>
            <w:tcW w:w="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4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2019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758,705</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(228,660)</w:t>
            </w: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530,045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52,707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582,752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9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226,597</w:t>
            </w:r>
          </w:p>
        </w:tc>
        <w:tc>
          <w:tcPr>
            <w:tcW w:w="100" w:type="dxa"/>
            <w:vAlign w:val="bottom"/>
            <w:shd w:val="clear" w:color="auto" w:fill="CFF0FC"/>
          </w:tcPr>
          <w:p>
            <w:pPr>
              <w:spacing w:after="0"/>
              <w:rPr>
                <w:sz w:val="19"/>
                <w:szCs w:val="19"/>
                <w:color w:val="auto"/>
              </w:rPr>
            </w:pPr>
          </w:p>
        </w:tc>
      </w:tr>
      <w:tr>
        <w:trPr>
          <w:trHeight w:val="213"/>
        </w:trPr>
        <w:tc>
          <w:tcPr>
            <w:tcW w:w="4960" w:type="dxa"/>
            <w:vAlign w:val="bottom"/>
            <w:gridSpan w:val="2"/>
          </w:tcPr>
          <w:p>
            <w:pPr>
              <w:ind w:left="260"/>
              <w:spacing w:after="0"/>
              <w:rPr>
                <w:sz w:val="20"/>
                <w:szCs w:val="20"/>
                <w:color w:val="auto"/>
              </w:rPr>
            </w:pPr>
            <w:r>
              <w:rPr>
                <w:rFonts w:ascii="Arial" w:cs="Arial" w:eastAsia="Arial" w:hAnsi="Arial"/>
                <w:sz w:val="16"/>
                <w:szCs w:val="16"/>
                <w:color w:val="auto"/>
              </w:rPr>
              <w:t>Other comprehensive loss - net of tax</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(13,130)</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(13,130)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(13,131)</w:t>
            </w:r>
          </w:p>
        </w:tc>
      </w:tr>
      <w:tr>
        <w:trPr>
          <w:trHeight w:val="20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9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226,272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226,272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226,272</w:t>
            </w:r>
          </w:p>
        </w:tc>
        <w:tc>
          <w:tcPr>
            <w:tcW w:w="100" w:type="dxa"/>
            <w:vAlign w:val="bottom"/>
            <w:shd w:val="clear" w:color="auto" w:fill="CFF0FC"/>
          </w:tcPr>
          <w:p>
            <w:pPr>
              <w:spacing w:after="0"/>
              <w:rPr>
                <w:sz w:val="18"/>
                <w:szCs w:val="18"/>
                <w:color w:val="auto"/>
              </w:rPr>
            </w:pPr>
          </w:p>
        </w:tc>
      </w:tr>
      <w:tr>
        <w:trPr>
          <w:trHeight w:val="206"/>
        </w:trPr>
        <w:tc>
          <w:tcPr>
            <w:tcW w:w="496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960" w:type="dxa"/>
            <w:vAlign w:val="bottom"/>
            <w:gridSpan w:val="2"/>
          </w:tcPr>
          <w:p>
            <w:pPr>
              <w:ind w:left="12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(178,935)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(178,935)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(8,620)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(187,555)</w:t>
            </w:r>
          </w:p>
        </w:tc>
      </w:tr>
      <w:tr>
        <w:trPr>
          <w:trHeight w:val="21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(430,281)</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(430,281)</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(430,281)</w:t>
            </w:r>
          </w:p>
        </w:tc>
      </w:tr>
      <w:tr>
        <w:trPr>
          <w:trHeight w:val="206"/>
        </w:trPr>
        <w:tc>
          <w:tcPr>
            <w:tcW w:w="4960" w:type="dxa"/>
            <w:vAlign w:val="bottom"/>
            <w:gridSpan w:val="2"/>
          </w:tcPr>
          <w:p>
            <w:pPr>
              <w:spacing w:after="0"/>
              <w:rPr>
                <w:sz w:val="20"/>
                <w:szCs w:val="20"/>
                <w:color w:val="auto"/>
              </w:rPr>
            </w:pPr>
            <w:r>
              <w:rPr>
                <w:rFonts w:ascii="Arial" w:cs="Arial" w:eastAsia="Arial" w:hAnsi="Arial"/>
                <w:sz w:val="16"/>
                <w:szCs w:val="16"/>
                <w:color w:val="auto"/>
              </w:rPr>
              <w:t>Delivery of Class A common stock in</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Arial" w:cs="Arial" w:eastAsia="Arial" w:hAnsi="Arial"/>
                <w:sz w:val="16"/>
                <w:szCs w:val="16"/>
                <w:color w:val="auto"/>
              </w:rPr>
              <w:t>compensation and related tax benefit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960" w:type="dxa"/>
            <w:vAlign w:val="bottom"/>
            <w:gridSpan w:val="2"/>
          </w:tcPr>
          <w:p>
            <w:pPr>
              <w:ind w:left="120"/>
              <w:spacing w:after="0"/>
              <w:rPr>
                <w:sz w:val="20"/>
                <w:szCs w:val="20"/>
                <w:color w:val="auto"/>
              </w:rPr>
            </w:pPr>
            <w:r>
              <w:rPr>
                <w:rFonts w:ascii="Arial" w:cs="Arial" w:eastAsia="Arial" w:hAnsi="Arial"/>
                <w:sz w:val="16"/>
                <w:szCs w:val="16"/>
                <w:color w:val="auto"/>
              </w:rPr>
              <w:t>of $100</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(96,855)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(96,855)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(96,855)</w:t>
            </w:r>
          </w:p>
        </w:tc>
      </w:tr>
      <w:tr>
        <w:trPr>
          <w:trHeight w:val="20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9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4960" w:type="dxa"/>
            <w:vAlign w:val="bottom"/>
            <w:gridSpan w:val="2"/>
          </w:tcPr>
          <w:p>
            <w:pPr>
              <w:ind w:left="260"/>
              <w:spacing w:after="0"/>
              <w:rPr>
                <w:sz w:val="20"/>
                <w:szCs w:val="20"/>
                <w:color w:val="auto"/>
              </w:rPr>
            </w:pPr>
            <w:r>
              <w:rPr>
                <w:rFonts w:ascii="Arial" w:cs="Arial" w:eastAsia="Arial" w:hAnsi="Arial"/>
                <w:sz w:val="16"/>
                <w:szCs w:val="16"/>
                <w:color w:val="auto"/>
              </w:rPr>
              <w:t>Class A common stock issuable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96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r>
      <w:tr>
        <w:trPr>
          <w:trHeight w:val="21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Consolidation of VIEs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12,687</w:t>
            </w:r>
          </w:p>
        </w:tc>
        <w:tc>
          <w:tcPr>
            <w:tcW w:w="100" w:type="dxa"/>
            <w:vAlign w:val="bottom"/>
            <w:shd w:val="clear" w:color="auto" w:fill="CFF0FC"/>
          </w:tcPr>
          <w:p>
            <w:pPr>
              <w:spacing w:after="0"/>
              <w:rPr>
                <w:sz w:val="19"/>
                <w:szCs w:val="19"/>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(5,303)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(5,303)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(5,303)</w:t>
            </w:r>
          </w:p>
        </w:tc>
      </w:tr>
      <w:tr>
        <w:trPr>
          <w:trHeight w:val="210"/>
        </w:trPr>
        <w:tc>
          <w:tcPr>
            <w:tcW w:w="4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September 30, 2019 (*)</w:t>
            </w: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491,696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(241,790)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249,906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65,435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315,341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
        </w:trPr>
        <w:tc>
          <w:tcPr>
            <w:tcW w:w="2300" w:type="dxa"/>
            <w:vAlign w:val="bottom"/>
            <w:tcBorders>
              <w:bottom w:val="single" w:sz="8" w:color="auto"/>
            </w:tcBorders>
          </w:tcPr>
          <w:p>
            <w:pPr>
              <w:spacing w:after="0"/>
              <w:rPr>
                <w:sz w:val="3"/>
                <w:szCs w:val="3"/>
                <w:color w:val="auto"/>
              </w:rPr>
            </w:pPr>
          </w:p>
        </w:tc>
        <w:tc>
          <w:tcPr>
            <w:tcW w:w="2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rPr>
          <w:sz w:val="20"/>
          <w:szCs w:val="20"/>
          <w:color w:val="auto"/>
        </w:rPr>
      </w:pPr>
      <w:r>
        <w:rPr>
          <w:rFonts w:ascii="Arial" w:cs="Arial" w:eastAsia="Arial" w:hAnsi="Arial"/>
          <w:sz w:val="16"/>
          <w:szCs w:val="16"/>
          <w:color w:val="auto"/>
        </w:rPr>
        <w:t>(*) At both January 1, 2019 and September 30, 2019,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3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as “Lazard Group”, “we” or the “Company”). Lazard Group is a Delaware limited liability company, which is governed by an Amended and Restated Operating Agreement dated as of February 4, 2019 (the “Operating Agreement”).</w:t>
      </w:r>
    </w:p>
    <w:p>
      <w:pPr>
        <w:spacing w:after="0" w:line="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Lazard Ltd indirectly held 100% of all outstanding Lazard Group common membership interests as of September 30, 2019 and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Lazard Ltd, through its control of the managing members of Lazard Group, controls Lazard Group.</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ind w:left="900" w:right="1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2018. The accompanying December 31, 2018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nine month periods ended September 30, 2019 are not indicative of the results to be expected for any future interim or annual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6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 (see Note 21).</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3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—In February 2016, the Financial Accounting Standards Board (the “FASB”) issued updated guidance for leases.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lessee to (i) recognize a right-of-use asset and a lease liability that is initially measured at the present value of the lease payments, in the condensed consolidated statement of financial condition, (ii) recognize a single lease cost, calculated so that the cost of the lease is allocated over the lease term on a straight-line basis and (iii) classify operating lease related cash payments within operating activities and finance lease related principal cash payments within financing activities (with interest included in interest paid) in the condensed consolidated statement of cash flows.</w:t>
      </w:r>
    </w:p>
    <w:p>
      <w:pPr>
        <w:spacing w:after="0" w:line="173"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 Company adopted the new guidance on January 1, 2019 using the optional transition method, which allows such guidance to be applied initially at the adoption date with a cumulative-effect adjustment and without restating comparative periods. Lazard elected the package of practical expedients, which allows the carry-forward of the prior conclusions on lease definition, classification and initial direct costs related to the existing leases as of the adoption date.</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Substantially all of the Company’s existing lease arrangements are operating leases. The adoption of the new guidance on January 1, 2019 resulted in a recognition of $501,000 of operating lease right-of-use assets (“ROU assets”) and $581,000 of operating lease liabilities in the Company’s condensed consolidated statements of financial condition. The operating lease liabilities at January 1, 2019 reflect any remaining lease payments discounted using an incremental borrowing rate (on a collateralized basis) based on the remaining lease term (the “Discount”), as an implicit rate was not readily determinable for any of the Company’s existing operating leases. The operating lease ROU assets are lower than the operating lease liabilities primarily because lease incentives reduce the ROU assets (see Note 9).</w:t>
      </w:r>
    </w:p>
    <w:p>
      <w:pPr>
        <w:spacing w:after="0" w:line="193"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In June 2018, the FASB issued updated guidance to simplify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Company adopted the new guidance on January 1, 2019 and its application did not have a material impact on the Company’s financial statements.</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In February 2018, the FASB issued updated guidance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The amount of the reclassification would be the difference between the historical corporate income tax rate and the newly enacted 21% corporate income tax rate.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 adopted the new guidance on January 1, 2019 without reclassifying any amounts from AOCI to retained earnings. The application of the guidance did not have a material impact on the Company’s financial statements.</w:t>
      </w:r>
    </w:p>
    <w:p>
      <w:pPr>
        <w:spacing w:after="0" w:line="170"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—In June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new guidance is required to be applied using a modified retrospective approach. The Company is currently evaluating the new guidance.</w:t>
      </w:r>
    </w:p>
    <w:p>
      <w:pPr>
        <w:spacing w:after="0" w:line="19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Intangibles—Internal-Use Software: Customer’s Accounting for Implementation Costs Incurred in a Cloud Computing Arrangement that is a Service Contract</w:t>
      </w:r>
      <w:r>
        <w:rPr>
          <w:rFonts w:ascii="Arial" w:cs="Arial" w:eastAsia="Arial" w:hAnsi="Arial"/>
          <w:sz w:val="18"/>
          <w:szCs w:val="18"/>
          <w:color w:val="auto"/>
        </w:rPr>
        <w:t>—In August 2018, the FASB issued updated guidance on the accounting for implementation costs incurred in a cloud computing arrangement.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with early adoption permitted. Upon adoption, the Company may elect to apply the new guidance on either a prospective or retrospective basis. The Company is currently evaluating the new guidance.</w:t>
      </w:r>
    </w:p>
    <w:p>
      <w:pPr>
        <w:spacing w:after="0" w:line="193"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—In October 2018, the FASB issued updated guidance that requires consideration of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held through related parties under common control for determining whether fees paid to decision makers and service providers are variable interests. The new guidance is effective for fiscal years and interim periods beginning after December 15, 2019, with early adoption permitted. The amendments are required to be applied retrospectively with a cumulative-effect adjustment. The Company is currently evaluating the new guidance.</w:t>
      </w:r>
    </w:p>
    <w:p>
      <w:pPr>
        <w:spacing w:after="0" w:line="15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Fair Value Measurement: Changes to the Disclosure Requirements for Fair Value Measurement</w:t>
      </w:r>
      <w:r>
        <w:rPr>
          <w:rFonts w:ascii="Arial" w:cs="Arial" w:eastAsia="Arial" w:hAnsi="Arial"/>
          <w:sz w:val="18"/>
          <w:szCs w:val="18"/>
          <w:color w:val="auto"/>
        </w:rPr>
        <w:t>—In August 2018, the FASB issued updated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with early adoption permitted. With certain exceptions, the guidance is required to be applied retrospectively. The Company is currently evaluating the new guidance.</w:t>
      </w:r>
    </w:p>
    <w:p>
      <w:pPr>
        <w:spacing w:after="0" w:line="188"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i w:val="1"/>
          <w:iCs w:val="1"/>
          <w:color w:val="auto"/>
        </w:rPr>
        <w:t>Compensation–Retirement Benefits: Changes to the Disclosure Requirements for Defined Benefit Plans</w:t>
      </w:r>
      <w:r>
        <w:rPr>
          <w:rFonts w:ascii="Arial" w:cs="Arial" w:eastAsia="Arial" w:hAnsi="Arial"/>
          <w:sz w:val="18"/>
          <w:szCs w:val="18"/>
          <w:color w:val="auto"/>
        </w:rPr>
        <w:t>—In August 2018, the FASB issued updated</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annual and interim reporting periods beginning after December 15, 2020, with early adoption permitted. A retrospective application is required. The Company is currently evaluating the new guidance.</w:t>
      </w:r>
    </w:p>
    <w:p>
      <w:pPr>
        <w:spacing w:after="0" w:line="37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Financial Advisory services are recorded when: (i) a contract with a client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arrangement. Revenues associated with the reimbursement of such expenses are recorded when the Company is contractually entitled to reimbursement and presented within investment banking and other advisory fees.</w:t>
      </w:r>
    </w:p>
    <w:p>
      <w:pPr>
        <w:spacing w:after="0" w:line="19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760" w:firstLine="51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3"/>
              </w:rPr>
              <w:t>2018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Financial Advisory (a)</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304,174</w:t>
            </w:r>
          </w:p>
        </w:tc>
        <w:tc>
          <w:tcPr>
            <w:tcW w:w="7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309,846</w:t>
            </w:r>
          </w:p>
        </w:tc>
        <w:tc>
          <w:tcPr>
            <w:tcW w:w="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953,863</w:t>
            </w: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1,137,781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4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Asset Management:</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Management Fees and Other (b)</w:t>
            </w:r>
          </w:p>
        </w:tc>
        <w:tc>
          <w:tcPr>
            <w:tcW w:w="1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298,752</w:t>
            </w:r>
          </w:p>
        </w:tc>
        <w:tc>
          <w:tcPr>
            <w:tcW w:w="78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323,283</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910,321</w:t>
            </w:r>
          </w:p>
        </w:tc>
        <w:tc>
          <w:tcPr>
            <w:tcW w:w="7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1,012,127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FF0FC"/>
            </w:tcBorders>
            <w:gridSpan w:val="3"/>
          </w:tcPr>
          <w:p>
            <w:pPr>
              <w:ind w:left="120"/>
              <w:spacing w:after="0"/>
              <w:rPr>
                <w:sz w:val="20"/>
                <w:szCs w:val="20"/>
                <w:color w:val="auto"/>
              </w:rPr>
            </w:pPr>
            <w:r>
              <w:rPr>
                <w:rFonts w:ascii="Arial" w:cs="Arial" w:eastAsia="Arial" w:hAnsi="Arial"/>
                <w:sz w:val="18"/>
                <w:szCs w:val="18"/>
                <w:color w:val="auto"/>
              </w:rPr>
              <w:t>Incentive Fees (c)</w:t>
            </w:r>
          </w:p>
        </w:tc>
        <w:tc>
          <w:tcPr>
            <w:tcW w:w="1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1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300,015</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325,240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917,439</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1,032,111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200" w:hanging="372"/>
        <w:spacing w:after="0" w:line="259"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left="380" w:right="160"/>
        <w:spacing w:after="0" w:line="276" w:lineRule="auto"/>
        <w:rPr>
          <w:sz w:val="20"/>
          <w:szCs w:val="20"/>
          <w:color w:val="auto"/>
        </w:rPr>
      </w:pPr>
      <w:r>
        <w:rPr>
          <w:rFonts w:ascii="Arial" w:cs="Arial" w:eastAsia="Arial" w:hAnsi="Arial"/>
          <w:sz w:val="17"/>
          <w:szCs w:val="17"/>
          <w:color w:val="auto"/>
        </w:rPr>
        <w:t>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24" w:lineRule="exact"/>
        <w:rPr>
          <w:sz w:val="20"/>
          <w:szCs w:val="20"/>
          <w:color w:val="auto"/>
        </w:rPr>
      </w:pPr>
    </w:p>
    <w:p>
      <w:pPr>
        <w:ind w:left="380" w:right="80" w:hanging="372"/>
        <w:spacing w:after="0" w:line="25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9" w:lineRule="exact"/>
        <w:rPr>
          <w:rFonts w:ascii="Arial" w:cs="Arial" w:eastAsia="Arial" w:hAnsi="Arial"/>
          <w:sz w:val="18"/>
          <w:szCs w:val="18"/>
          <w:color w:val="auto"/>
        </w:rPr>
      </w:pPr>
    </w:p>
    <w:p>
      <w:pPr>
        <w:ind w:left="380" w:right="100" w:hanging="372"/>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254"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81"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Activity in the allowance for doubtful accounts for the three month and nine month periods ended September 30, 2019 and 2018 was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33,484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34,906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23,692</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8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(546)</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(6,097)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18,106</w:t>
            </w:r>
          </w:p>
        </w:tc>
        <w:tc>
          <w:tcPr>
            <w:tcW w:w="120" w:type="dxa"/>
            <w:vAlign w:val="bottom"/>
          </w:tcPr>
          <w:p>
            <w:pPr>
              <w:spacing w:after="0"/>
              <w:rPr>
                <w:sz w:val="19"/>
                <w:szCs w:val="19"/>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(1,700)</w:t>
            </w:r>
          </w:p>
        </w:tc>
        <w:tc>
          <w:tcPr>
            <w:tcW w:w="8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(1,922)</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(7,326)</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31,238</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34,472</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31,238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34,472</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Bad debt expense, net of recoveries is included in “operating expenses</w:t>
      </w:r>
      <w:r>
        <w:rPr>
          <w:rFonts w:ascii="Arial" w:cs="Arial" w:eastAsia="Arial" w:hAnsi="Arial"/>
          <w:sz w:val="17"/>
          <w:szCs w:val="17"/>
          <w:i w:val="1"/>
          <w:iCs w:val="1"/>
          <w:color w:val="auto"/>
        </w:rPr>
        <w:t>—</w:t>
      </w:r>
      <w:r>
        <w:rPr>
          <w:rFonts w:ascii="Arial" w:cs="Arial" w:eastAsia="Arial" w:hAnsi="Arial"/>
          <w:sz w:val="17"/>
          <w:szCs w:val="17"/>
          <w:color w:val="auto"/>
        </w:rPr>
        <w:t>other” on the condensed consolidated statements of operations.</w:t>
      </w:r>
    </w:p>
    <w:p>
      <w:pPr>
        <w:spacing w:after="0" w:line="237"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At September 30, 2019 and December 31, 2018, the Company had receivables past due or deemed uncollectible of $37,682 and $42,260,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Of the Company’s fee receivables at September 30, 2019 and December 31, 2018, $77,304 and $90,966,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$623,310 and $613,342 at September 30, 2019 and December 31, 2018, respectively, approximates fair value.</w:t>
      </w:r>
    </w:p>
    <w:p>
      <w:pPr>
        <w:spacing w:after="0" w:line="360"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Company’s investments and securities sold, not yet purchased, consist of the following at September 30, 2019 and December 31, 2018:</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2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99,535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2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Funds:</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112,258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2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535,848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535,353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w:t>
            </w: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(included in “other liabilities”)</w:t>
            </w:r>
          </w:p>
        </w:tc>
        <w:tc>
          <w:tcPr>
            <w:tcW w:w="2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1,555</w:t>
            </w:r>
          </w:p>
        </w:tc>
        <w:tc>
          <w:tcPr>
            <w:tcW w:w="280" w:type="dxa"/>
            <w:vAlign w:val="bottom"/>
          </w:tcPr>
          <w:p>
            <w:pPr>
              <w:spacing w:after="0"/>
              <w:rPr>
                <w:sz w:val="20"/>
                <w:szCs w:val="20"/>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140" w:hanging="372"/>
        <w:spacing w:after="0" w:line="25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$9,330, $72,790 and $168,553, respectively, at September 30, 2019 and $9,741, $60,081 and $132,038, respectively, at December 31, 2018,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14).</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three month and nine month periods ended September 30, 2019 and 2018, the Company reported in “revenue-other” on its condensed consolidated statements of operations net unrealized investment gains and losses pertaining to “equity securities and trading debt securities” still held as of the reporting date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center"/>
              <w:ind w:left="327"/>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6"/>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(590)</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1,972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87"/>
              </w:rPr>
              <w:t>26,562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420" w:hanging="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right="200" w:hanging="5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580" w:hanging="580"/>
        <w:spacing w:after="0" w:line="30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fair value of investments in private equity funds is classified as Level 3 for certain investments that are valued based on the potential transaction value as of September 30, 2019.</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12.</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following tables present, as of September 30, 2019 and December 31, 2018, the classification of (i) investments and certain other assets and liabilities measured at fair value on a recurring basis within the fair value hierarchy and (ii) investments measured at NAV or its equivalent as a practical expedient: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99,535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215,782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480,888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50,595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538,631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228,116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228,116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515,743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nine month periods ended September 30,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 2019</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88"/>
              </w:rPr>
              <w:t>Sales/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Transfers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Settlements</w:t>
            </w:r>
          </w:p>
        </w:tc>
        <w:tc>
          <w:tcPr>
            <w:tcW w:w="2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Private equity funds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9"/>
          </w:tcPr>
          <w:p>
            <w:pPr>
              <w:jc w:val="center"/>
              <w:ind w:left="759"/>
              <w:spacing w:after="0"/>
              <w:rPr>
                <w:sz w:val="20"/>
                <w:szCs w:val="20"/>
                <w:color w:val="auto"/>
              </w:rPr>
            </w:pPr>
            <w:r>
              <w:rPr>
                <w:rFonts w:ascii="Arial" w:cs="Arial" w:eastAsia="Arial" w:hAnsi="Arial"/>
                <w:sz w:val="14"/>
                <w:szCs w:val="14"/>
                <w:b w:val="1"/>
                <w:bCs w:val="1"/>
                <w:color w:val="auto"/>
                <w:w w:val="93"/>
              </w:rPr>
              <w:t>Nine Months Ended September 30, 2019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Transfers (b)</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Private equity funds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1,309</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1"/>
          </w:tcPr>
          <w:p>
            <w:pPr>
              <w:jc w:val="center"/>
              <w:ind w:left="659"/>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1,629</w:t>
            </w:r>
          </w:p>
        </w:tc>
        <w:tc>
          <w:tcPr>
            <w:tcW w:w="220" w:type="dxa"/>
            <w:vAlign w:val="bottom"/>
            <w:vMerge w:val="continue"/>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22"/>
                <w:szCs w:val="22"/>
                <w:color w:val="auto"/>
              </w:rPr>
            </w:pP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2"/>
                <w:szCs w:val="22"/>
                <w:color w:val="auto"/>
              </w:rPr>
            </w:pPr>
          </w:p>
        </w:tc>
        <w:tc>
          <w:tcPr>
            <w:tcW w:w="2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(1,763)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center"/>
              <w:ind w:left="759"/>
              <w:spacing w:after="0"/>
              <w:rPr>
                <w:sz w:val="20"/>
                <w:szCs w:val="20"/>
                <w:color w:val="auto"/>
              </w:rPr>
            </w:pPr>
            <w:r>
              <w:rPr>
                <w:rFonts w:ascii="Arial" w:cs="Arial" w:eastAsia="Arial" w:hAnsi="Arial"/>
                <w:sz w:val="14"/>
                <w:szCs w:val="14"/>
                <w:b w:val="1"/>
                <w:bCs w:val="1"/>
                <w:color w:val="auto"/>
                <w:w w:val="93"/>
              </w:rPr>
              <w:t>Nine Months Ended September 30, 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(2,949)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209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84" w:lineRule="exact"/>
        <w:rPr>
          <w:sz w:val="20"/>
          <w:szCs w:val="20"/>
          <w:color w:val="auto"/>
        </w:rPr>
      </w:pPr>
    </w:p>
    <w:p>
      <w:pPr>
        <w:ind w:left="380" w:right="280" w:hanging="372"/>
        <w:spacing w:after="0" w:line="25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and nine month periods ended September 30, 2019 and the three month and nine month periods ended September 30, 2018 include net unrealized gains (losses) of $163, $149, $0 and $61, respectively. Earnings recorded in “amortization and other acquisition-related (benefits) costs” for the contingent consideration liability for the three month and nine month periods ended September 30, 2019 and the three month and nine month periods ended September 30, 2018 include unrealized (gains) losses of $4, $(1,102), $(1,763) and $(2,949), respectively.</w:t>
      </w:r>
    </w:p>
    <w:p>
      <w:pPr>
        <w:spacing w:after="0" w:line="3" w:lineRule="exact"/>
        <w:rPr>
          <w:rFonts w:ascii="Arial" w:cs="Arial" w:eastAsia="Arial" w:hAnsi="Arial"/>
          <w:sz w:val="18"/>
          <w:szCs w:val="18"/>
          <w:color w:val="auto"/>
        </w:rPr>
      </w:pPr>
    </w:p>
    <w:p>
      <w:pPr>
        <w:ind w:left="380" w:right="240" w:hanging="372"/>
        <w:spacing w:after="0" w:line="276"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investments that were valued at NAV as of December 31, 2018 were transferred to Level 3 during the nine month period ended September 30, 2019 as these investments are valued based on a potential transaction value that differs from NAV.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2019 and 2018.</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tables present, at September 30, 2019 and December 31, 2018,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September 30, 2019</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9,578</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&gt;90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40,355</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8,264</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20%</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14%</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66%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50,595</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8,264</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(99%) and quarterly (1%)</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22"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(24%), monthly (71%) and annually (5%)</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$13,400 are excluded. Such commitments are required to be funded by capital contributions from noncontrolling interest holders.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December 31, 2018</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&gt;90 days</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56,343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8,338</w:t>
            </w:r>
          </w:p>
        </w:tc>
        <w:tc>
          <w:tcPr>
            <w:tcW w:w="40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20"/>
              <w:spacing w:after="0"/>
              <w:rPr>
                <w:sz w:val="20"/>
                <w:szCs w:val="20"/>
                <w:color w:val="auto"/>
              </w:rPr>
            </w:pPr>
            <w:r>
              <w:rPr>
                <w:rFonts w:ascii="Arial" w:cs="Arial" w:eastAsia="Arial" w:hAnsi="Arial"/>
                <w:sz w:val="16"/>
                <w:szCs w:val="16"/>
                <w:color w:val="auto"/>
              </w:rPr>
              <w:t>14%</w:t>
            </w:r>
          </w:p>
        </w:tc>
        <w:tc>
          <w:tcPr>
            <w:tcW w:w="1160" w:type="dxa"/>
            <w:vAlign w:val="bottom"/>
            <w:tcBorders>
              <w:bottom w:val="single" w:sz="8" w:color="CFF0FC"/>
            </w:tcBorders>
            <w:gridSpan w:val="2"/>
          </w:tcPr>
          <w:p>
            <w:pPr>
              <w:ind w:left="720"/>
              <w:spacing w:after="0"/>
              <w:rPr>
                <w:sz w:val="20"/>
                <w:szCs w:val="20"/>
                <w:color w:val="auto"/>
              </w:rPr>
            </w:pPr>
            <w:r>
              <w:rPr>
                <w:rFonts w:ascii="Arial" w:cs="Arial" w:eastAsia="Arial" w:hAnsi="Arial"/>
                <w:sz w:val="16"/>
                <w:szCs w:val="16"/>
                <w:color w:val="auto"/>
              </w:rPr>
              <w:t>34%</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57,273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8,338</w:t>
            </w:r>
          </w:p>
        </w:tc>
        <w:tc>
          <w:tcPr>
            <w:tcW w:w="4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(25%), monthly (70%) and annually (5%)</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September 30, 2019,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$7,602.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14) on the accompanying condensed consolidated statements of financial condition as of September 30, 2019 and December 31,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3,278</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10,424</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2,371</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222,026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228,116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60" w:hanging="372"/>
        <w:spacing w:after="0" w:line="259"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$518 and $4,237 as of September 30, 2019, respectively, and $10,792 and $369 as of December 31, 2018, respectively, for contracts with the same counterparty under legally enforceable master netting agreements. Such amounts are recorded “net” in “other assets”, with receivables for net cash collateral under such contracts of $5,580 as of September 30, 2019.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2019 and 2018,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(1,764)</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(3,647)</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(22,118)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(1,847)</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(8,309)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2019 and December 31, 2018,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192,320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205,291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567,467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351,532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339,448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215,935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adopted the new lease accounting guidance as of January 1, 2019, which resulted in recognition of ROU assets and lease liabilities related to operating leases on the condensed consolidated statements of financial condition. The Company determines if an arrangement is, or contains, a lease at its inception and reevaluates the arrangement if the terms are modified. Operating lease ROU assets represent the right to use an underlying asset for the lease term and operating lease liabilities reflect the obligation to make lease payments arising from the lease. At any given time during the lease term, the operating lease liability represents the present value of the remaining lease payments and the operating lease ROU asset is measured at the amount of the lease liability, adjusted for rent prepayments, unamortized initial direct costs and the remaining balance of lease incentives received. Both the operating lease ROU asset and the operating lease liability are reduced to zero at the end of the lease.</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leases office space and equipment under non-cancelable lease agreements, which expire on various dates through 2033. Substantially all of these arrangements are operating leases relating to office space. Certain leases have renewal options that can be exercised at the discretion of the Company. The Company only includes renewal options in the lease term when it is reasonably certain to exercise the option. The Company does not record leases with a lease term of 12 months or less on the condensed consolidated statements of financial condition; lease expense for these leases is recognized over the lease term on a straight-line basis.</w:t>
      </w:r>
    </w:p>
    <w:p>
      <w:pPr>
        <w:spacing w:after="0" w:line="188" w:lineRule="exact"/>
        <w:rPr>
          <w:sz w:val="20"/>
          <w:szCs w:val="20"/>
          <w:color w:val="auto"/>
        </w:rPr>
      </w:pPr>
    </w:p>
    <w:p>
      <w:pPr>
        <w:ind w:right="400" w:firstLine="518"/>
        <w:spacing w:after="0" w:line="259" w:lineRule="auto"/>
        <w:rPr>
          <w:sz w:val="20"/>
          <w:szCs w:val="20"/>
          <w:color w:val="auto"/>
        </w:rPr>
      </w:pPr>
      <w:r>
        <w:rPr>
          <w:rFonts w:ascii="Arial" w:cs="Arial" w:eastAsia="Arial" w:hAnsi="Arial"/>
          <w:sz w:val="18"/>
          <w:szCs w:val="18"/>
          <w:color w:val="auto"/>
        </w:rPr>
        <w:t>For leases commencing on January 1, 2019 or thereafter that are recognized on the condensed consolidated statements of financial condition, the Company applies its estimated Discount. The Company bases this Discount on the information available at the lease commencement date. The Company determines its Discount with consideration of the Company’s public debt issuances as well as publicly available data for instruments with similar characteristics.</w:t>
      </w:r>
    </w:p>
    <w:p>
      <w:pPr>
        <w:spacing w:after="0" w:line="214"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For leases commencing on January 1, 2019 or thereafter that relate to office space and equipment, the Company accounts for the lease and non-lease components as a single lease component.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addition to rent payments, operating leases for office space generally contain payments for real estate taxes, insurance costs, common area maintenance, and utilities that are not fixed. The Company accounts for these costs as variable payments and does not include them in the lease component. There are certain office leases outside of the U.S. that have annual rent increases that are also accounted for as variable payments and are excluded from the lease component.</w:t>
      </w:r>
    </w:p>
    <w:p>
      <w:pPr>
        <w:spacing w:after="0" w:line="18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summarizes the components of operating lease expense reflected on the accompanying condensed consolidated statements of operations for the three month and nine month periods ended September 30,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1760" w:type="dxa"/>
            <w:vAlign w:val="bottom"/>
            <w:gridSpan w:val="2"/>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7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 2019</w:t>
            </w:r>
          </w:p>
        </w:tc>
        <w:tc>
          <w:tcPr>
            <w:tcW w:w="200" w:type="dxa"/>
            <w:vAlign w:val="bottom"/>
          </w:tcPr>
          <w:p>
            <w:pPr>
              <w:spacing w:after="0"/>
              <w:rPr>
                <w:sz w:val="19"/>
                <w:szCs w:val="19"/>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2019</w:t>
            </w:r>
          </w:p>
        </w:tc>
      </w:tr>
      <w:tr>
        <w:trPr>
          <w:trHeight w:val="237"/>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19,904</w:t>
            </w:r>
          </w:p>
        </w:tc>
        <w:tc>
          <w:tcPr>
            <w:tcW w:w="2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58,697</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4,610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13,581</w:t>
            </w:r>
          </w:p>
        </w:tc>
        <w:tc>
          <w:tcPr>
            <w:tcW w:w="100" w:type="dxa"/>
            <w:vAlign w:val="bottom"/>
          </w:tcPr>
          <w:p>
            <w:pPr>
              <w:spacing w:after="0"/>
              <w:rPr>
                <w:sz w:val="21"/>
                <w:szCs w:val="21"/>
                <w:color w:val="auto"/>
              </w:rPr>
            </w:pPr>
          </w:p>
        </w:tc>
      </w:tr>
      <w:tr>
        <w:trPr>
          <w:trHeight w:val="24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Less - sublease income</w:t>
            </w:r>
          </w:p>
        </w:tc>
        <w:tc>
          <w:tcPr>
            <w:tcW w:w="18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2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5,083</w:t>
            </w:r>
          </w:p>
        </w:tc>
        <w:tc>
          <w:tcPr>
            <w:tcW w:w="100" w:type="dxa"/>
            <w:vAlign w:val="bottom"/>
            <w:shd w:val="clear" w:color="auto" w:fill="CFF0FC"/>
          </w:tcPr>
          <w:p>
            <w:pPr>
              <w:spacing w:after="0"/>
              <w:rPr>
                <w:sz w:val="21"/>
                <w:szCs w:val="21"/>
                <w:color w:val="auto"/>
              </w:rPr>
            </w:pP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22,893</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67,195</w:t>
            </w:r>
          </w:p>
        </w:tc>
        <w:tc>
          <w:tcPr>
            <w:tcW w:w="100" w:type="dxa"/>
            <w:vAlign w:val="bottom"/>
          </w:tcPr>
          <w:p>
            <w:pPr>
              <w:spacing w:after="0"/>
              <w:rPr>
                <w:sz w:val="20"/>
                <w:szCs w:val="20"/>
                <w:color w:val="auto"/>
              </w:rPr>
            </w:pPr>
          </w:p>
        </w:tc>
      </w:tr>
      <w:tr>
        <w:trPr>
          <w:trHeight w:val="20"/>
        </w:trPr>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summarizes the supplemental cash flow information and certain other information related to operating leases for the nine month period ended September 30,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8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September 30, 2019</w:t>
            </w:r>
          </w:p>
        </w:tc>
      </w:tr>
      <w:tr>
        <w:trPr>
          <w:trHeight w:val="237"/>
        </w:trPr>
        <w:tc>
          <w:tcPr>
            <w:tcW w:w="8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tcBorders>
              <w:top w:val="single" w:sz="8" w:color="auto"/>
            </w:tcBorders>
            <w:shd w:val="clear" w:color="auto" w:fill="CFF0FC"/>
          </w:tcPr>
          <w:p>
            <w:pPr>
              <w:spacing w:after="0"/>
              <w:rPr>
                <w:sz w:val="20"/>
                <w:szCs w:val="20"/>
                <w:color w:val="auto"/>
              </w:rPr>
            </w:pPr>
          </w:p>
        </w:tc>
        <w:tc>
          <w:tcPr>
            <w:tcW w:w="198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61,935</w:t>
            </w:r>
          </w:p>
        </w:tc>
        <w:tc>
          <w:tcPr>
            <w:tcW w:w="180" w:type="dxa"/>
            <w:vAlign w:val="bottom"/>
          </w:tcPr>
          <w:p>
            <w:pPr>
              <w:spacing w:after="0"/>
              <w:rPr>
                <w:sz w:val="21"/>
                <w:szCs w:val="21"/>
                <w:color w:val="auto"/>
              </w:rPr>
            </w:pPr>
          </w:p>
        </w:tc>
      </w:tr>
      <w:tr>
        <w:trPr>
          <w:trHeight w:val="243"/>
        </w:trPr>
        <w:tc>
          <w:tcPr>
            <w:tcW w:w="89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602,715</w:t>
            </w:r>
          </w:p>
        </w:tc>
        <w:tc>
          <w:tcPr>
            <w:tcW w:w="180" w:type="dxa"/>
            <w:vAlign w:val="bottom"/>
          </w:tcPr>
          <w:p>
            <w:pPr>
              <w:spacing w:after="0"/>
              <w:rPr>
                <w:sz w:val="21"/>
                <w:szCs w:val="21"/>
                <w:color w:val="auto"/>
              </w:rPr>
            </w:pPr>
          </w:p>
        </w:tc>
      </w:tr>
      <w:tr>
        <w:trPr>
          <w:trHeight w:val="243"/>
        </w:trPr>
        <w:tc>
          <w:tcPr>
            <w:tcW w:w="89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21"/>
                <w:szCs w:val="21"/>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12 years</w:t>
            </w:r>
          </w:p>
        </w:tc>
      </w:tr>
      <w:tr>
        <w:trPr>
          <w:trHeight w:val="243"/>
        </w:trPr>
        <w:tc>
          <w:tcPr>
            <w:tcW w:w="89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21"/>
                <w:szCs w:val="21"/>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bl>
    <w:p>
      <w:pPr>
        <w:spacing w:after="0" w:line="22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Maturities of the operating lease liabilities outstanding at September 30, 2019 for each of the years in the period ending December 31, 2024 and thereafter are set forth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9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2019 (October 1 through December 31)</w:t>
            </w:r>
          </w:p>
        </w:tc>
        <w:tc>
          <w:tcPr>
            <w:tcW w:w="820" w:type="dxa"/>
            <w:vAlign w:val="bottom"/>
            <w:shd w:val="clear" w:color="auto" w:fill="CFF0FC"/>
          </w:tcPr>
          <w:p>
            <w:pPr>
              <w:jc w:val="right"/>
              <w:ind w:right="66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22,394</w:t>
            </w:r>
          </w:p>
        </w:tc>
        <w:tc>
          <w:tcPr>
            <w:tcW w:w="100" w:type="dxa"/>
            <w:vAlign w:val="bottom"/>
            <w:shd w:val="clear" w:color="auto" w:fill="CFF0FC"/>
          </w:tcPr>
          <w:p>
            <w:pPr>
              <w:spacing w:after="0"/>
              <w:rPr>
                <w:sz w:val="20"/>
                <w:szCs w:val="20"/>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7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86,668</w:t>
            </w:r>
          </w:p>
        </w:tc>
        <w:tc>
          <w:tcPr>
            <w:tcW w:w="100" w:type="dxa"/>
            <w:vAlign w:val="bottom"/>
          </w:tcPr>
          <w:p>
            <w:pPr>
              <w:spacing w:after="0"/>
              <w:rPr>
                <w:sz w:val="21"/>
                <w:szCs w:val="2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5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82,461</w:t>
            </w:r>
          </w:p>
        </w:tc>
        <w:tc>
          <w:tcPr>
            <w:tcW w:w="100" w:type="dxa"/>
            <w:vAlign w:val="bottom"/>
            <w:shd w:val="clear" w:color="auto" w:fill="CFF0FC"/>
          </w:tcPr>
          <w:p>
            <w:pPr>
              <w:spacing w:after="0"/>
              <w:rPr>
                <w:sz w:val="21"/>
                <w:szCs w:val="2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2022</w:t>
            </w:r>
          </w:p>
        </w:tc>
        <w:tc>
          <w:tcPr>
            <w:tcW w:w="7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66,435</w:t>
            </w:r>
          </w:p>
        </w:tc>
        <w:tc>
          <w:tcPr>
            <w:tcW w:w="100" w:type="dxa"/>
            <w:vAlign w:val="bottom"/>
          </w:tcPr>
          <w:p>
            <w:pPr>
              <w:spacing w:after="0"/>
              <w:rPr>
                <w:sz w:val="21"/>
                <w:szCs w:val="2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5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62,065</w:t>
            </w:r>
          </w:p>
        </w:tc>
        <w:tc>
          <w:tcPr>
            <w:tcW w:w="100" w:type="dxa"/>
            <w:vAlign w:val="bottom"/>
            <w:shd w:val="clear" w:color="auto" w:fill="CFF0FC"/>
          </w:tcPr>
          <w:p>
            <w:pPr>
              <w:spacing w:after="0"/>
              <w:rPr>
                <w:sz w:val="21"/>
                <w:szCs w:val="2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2024</w:t>
            </w:r>
          </w:p>
        </w:tc>
        <w:tc>
          <w:tcPr>
            <w:tcW w:w="7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60,898</w:t>
            </w:r>
          </w:p>
        </w:tc>
        <w:tc>
          <w:tcPr>
            <w:tcW w:w="100" w:type="dxa"/>
            <w:vAlign w:val="bottom"/>
          </w:tcPr>
          <w:p>
            <w:pPr>
              <w:spacing w:after="0"/>
              <w:rPr>
                <w:sz w:val="21"/>
                <w:szCs w:val="21"/>
                <w:color w:val="auto"/>
              </w:rPr>
            </w:pPr>
          </w:p>
        </w:tc>
      </w:tr>
      <w:tr>
        <w:trPr>
          <w:trHeight w:val="243"/>
        </w:trPr>
        <w:tc>
          <w:tcPr>
            <w:tcW w:w="9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426,209</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8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807,130</w:t>
            </w:r>
          </w:p>
        </w:tc>
        <w:tc>
          <w:tcPr>
            <w:tcW w:w="100" w:type="dxa"/>
            <w:vAlign w:val="bottom"/>
          </w:tcPr>
          <w:p>
            <w:pPr>
              <w:spacing w:after="0"/>
              <w:rPr>
                <w:sz w:val="20"/>
                <w:szCs w:val="20"/>
                <w:color w:val="auto"/>
              </w:rPr>
            </w:pPr>
          </w:p>
        </w:tc>
      </w:tr>
      <w:tr>
        <w:trPr>
          <w:trHeight w:val="243"/>
        </w:trPr>
        <w:tc>
          <w:tcPr>
            <w:tcW w:w="9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 Discount</w:t>
            </w:r>
          </w:p>
        </w:tc>
        <w:tc>
          <w:tcPr>
            <w:tcW w:w="8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155,017</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82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652,113</w:t>
            </w:r>
          </w:p>
        </w:tc>
        <w:tc>
          <w:tcPr>
            <w:tcW w:w="100" w:type="dxa"/>
            <w:vAlign w:val="bottom"/>
          </w:tcPr>
          <w:p>
            <w:pPr>
              <w:spacing w:after="0"/>
              <w:rPr>
                <w:sz w:val="20"/>
                <w:szCs w:val="20"/>
                <w:color w:val="auto"/>
              </w:rPr>
            </w:pPr>
          </w:p>
        </w:tc>
      </w:tr>
      <w:tr>
        <w:trPr>
          <w:trHeight w:val="20"/>
        </w:trPr>
        <w:tc>
          <w:tcPr>
            <w:tcW w:w="16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August 2018, the Company entered into a lease agreement for additional office facilities, which are currently under construction. The lease commenced in the third quarter of 2019 when the facilities were delivered to the Company. The Company recognized the related operating lease right-of-use assets and the operating lease liability on the lease commencement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Prior to the adoption of the new lease accounting guidance, the minimum rental commitments under non-cancelable operating leases at December 31, 2018, net of sublease income, were approximately as follows: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79"/>
              </w:rPr>
              <w:t>2019</w:t>
            </w:r>
          </w:p>
        </w:tc>
        <w:tc>
          <w:tcPr>
            <w:tcW w:w="3320" w:type="dxa"/>
            <w:vAlign w:val="bottom"/>
            <w:shd w:val="clear" w:color="auto" w:fill="CFF0FC"/>
          </w:tcPr>
          <w:p>
            <w:pPr>
              <w:spacing w:after="0"/>
              <w:rPr>
                <w:sz w:val="20"/>
                <w:szCs w:val="20"/>
                <w:color w:val="auto"/>
              </w:rPr>
            </w:pPr>
          </w:p>
        </w:tc>
        <w:tc>
          <w:tcPr>
            <w:tcW w:w="300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86,664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gridSpan w:val="2"/>
          </w:tcPr>
          <w:p>
            <w:pPr>
              <w:jc w:val="right"/>
              <w:ind w:right="1210"/>
              <w:spacing w:after="0"/>
              <w:rPr>
                <w:sz w:val="20"/>
                <w:szCs w:val="20"/>
                <w:color w:val="auto"/>
              </w:rPr>
            </w:pPr>
            <w:r>
              <w:rPr>
                <w:rFonts w:ascii="Arial" w:cs="Arial" w:eastAsia="Arial" w:hAnsi="Arial"/>
                <w:sz w:val="18"/>
                <w:szCs w:val="18"/>
                <w:color w:val="auto"/>
                <w:w w:val="84"/>
              </w:rPr>
              <w:t>2020</w:t>
            </w:r>
          </w:p>
        </w:tc>
        <w:tc>
          <w:tcPr>
            <w:tcW w:w="3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89,260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4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79"/>
              </w:rPr>
              <w:t>2021</w:t>
            </w:r>
          </w:p>
        </w:tc>
        <w:tc>
          <w:tcPr>
            <w:tcW w:w="3320" w:type="dxa"/>
            <w:vAlign w:val="bottom"/>
            <w:shd w:val="clear" w:color="auto" w:fill="CFF0FC"/>
          </w:tcPr>
          <w:p>
            <w:pPr>
              <w:spacing w:after="0"/>
              <w:rPr>
                <w:sz w:val="21"/>
                <w:szCs w:val="21"/>
                <w:color w:val="auto"/>
              </w:rPr>
            </w:pPr>
          </w:p>
        </w:tc>
        <w:tc>
          <w:tcPr>
            <w:tcW w:w="24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83,517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gridSpan w:val="2"/>
          </w:tcPr>
          <w:p>
            <w:pPr>
              <w:jc w:val="right"/>
              <w:ind w:right="1210"/>
              <w:spacing w:after="0"/>
              <w:rPr>
                <w:sz w:val="20"/>
                <w:szCs w:val="20"/>
                <w:color w:val="auto"/>
              </w:rPr>
            </w:pPr>
            <w:r>
              <w:rPr>
                <w:rFonts w:ascii="Arial" w:cs="Arial" w:eastAsia="Arial" w:hAnsi="Arial"/>
                <w:sz w:val="18"/>
                <w:szCs w:val="18"/>
                <w:color w:val="auto"/>
                <w:w w:val="84"/>
              </w:rPr>
              <w:t>2022</w:t>
            </w:r>
          </w:p>
        </w:tc>
        <w:tc>
          <w:tcPr>
            <w:tcW w:w="3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70,611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4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79"/>
              </w:rPr>
              <w:t>2023</w:t>
            </w:r>
          </w:p>
        </w:tc>
        <w:tc>
          <w:tcPr>
            <w:tcW w:w="3320" w:type="dxa"/>
            <w:vAlign w:val="bottom"/>
            <w:shd w:val="clear" w:color="auto" w:fill="CFF0FC"/>
          </w:tcPr>
          <w:p>
            <w:pPr>
              <w:spacing w:after="0"/>
              <w:rPr>
                <w:sz w:val="21"/>
                <w:szCs w:val="21"/>
                <w:color w:val="auto"/>
              </w:rPr>
            </w:pPr>
          </w:p>
        </w:tc>
        <w:tc>
          <w:tcPr>
            <w:tcW w:w="24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59,973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488,612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minimum rental commitments</w:t>
            </w:r>
          </w:p>
        </w:tc>
        <w:tc>
          <w:tcPr>
            <w:tcW w:w="240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878,637</w:t>
            </w: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spacing w:after="0"/>
              <w:rPr>
                <w:sz w:val="20"/>
                <w:szCs w:val="20"/>
                <w:color w:val="auto"/>
              </w:rPr>
            </w:pPr>
            <w:r>
              <w:rPr>
                <w:rFonts w:ascii="Arial" w:cs="Arial" w:eastAsia="Arial" w:hAnsi="Arial"/>
                <w:sz w:val="18"/>
                <w:szCs w:val="18"/>
                <w:color w:val="auto"/>
              </w:rPr>
              <w:t>Less - sublease proceeds</w:t>
            </w:r>
          </w:p>
        </w:tc>
        <w:tc>
          <w:tcPr>
            <w:tcW w:w="2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26,941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Net rental commitments</w:t>
            </w:r>
          </w:p>
        </w:tc>
        <w:tc>
          <w:tcPr>
            <w:tcW w:w="24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gridSpan w:val="2"/>
            <w:vMerge w:val="continue"/>
            <w:shd w:val="clear" w:color="auto" w:fill="CFF0FC"/>
          </w:tcPr>
          <w:p>
            <w:pPr>
              <w:spacing w:after="0"/>
              <w:rPr>
                <w:sz w:val="20"/>
                <w:szCs w:val="20"/>
                <w:color w:val="auto"/>
              </w:rPr>
            </w:pPr>
          </w:p>
        </w:tc>
        <w:tc>
          <w:tcPr>
            <w:tcW w:w="300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851,696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2019 and December 31, 2018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680" w:type="dxa"/>
            <w:vAlign w:val="bottom"/>
            <w:tcBorders>
              <w:bottom w:val="single" w:sz="8" w:color="CFF0FC"/>
            </w:tcBorders>
          </w:tcPr>
          <w:p>
            <w:pPr>
              <w:spacing w:after="0"/>
              <w:rPr>
                <w:sz w:val="14"/>
                <w:szCs w:val="14"/>
                <w:color w:val="auto"/>
              </w:rPr>
            </w:pPr>
          </w:p>
        </w:tc>
        <w:tc>
          <w:tcPr>
            <w:tcW w:w="15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345,564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350,829</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intangible assets (net of accumulated</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amortization)</w:t>
            </w:r>
          </w:p>
        </w:tc>
        <w:tc>
          <w:tcPr>
            <w:tcW w:w="15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347,597</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354,463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At September 30, 2019 and December 31, 2018, goodwill of $281,023 and $286,288, respectively, was attributable to the Company’s Financial Advisory segment and, at each such respective date, $64,541 of goodwill was attributable to the Company’s Asset Management segment.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nine month periods ended September 30, 2019 and 2018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(5,265)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(9,479)</w:t>
            </w: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All changes in the carrying amount of goodwill for the nine month periods ended September 30, 2019 and 2018 are attributable to the Company’s Financial Advisory segment.</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September 30, 2019 and December 31, 2018,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31,292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30,043</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34,201</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34,185</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33,548</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65,493</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67,225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63,591</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Amortization expense of intangible assets, included in “amortization and other acquisition-related (benefits) costs” in the condensed consolidated statements of operations, for the three month and nine month periods ended September 30, 2019 was $1,077 and $1,901, respectively, and for the three month and nine month periods ended September 30, 2018 was $654 and $1,924, respectively. Estimated future amortization expense is as follows: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54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2"/>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2019 (October 1 through December 31)</w:t>
            </w:r>
          </w:p>
        </w:tc>
        <w:tc>
          <w:tcPr>
            <w:tcW w:w="2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September 30,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2019</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1100" w:type="dxa"/>
            <w:vAlign w:val="bottom"/>
            <w:gridSpan w:val="5"/>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920" w:type="dxa"/>
            <w:vAlign w:val="bottom"/>
            <w:tcBorders>
              <w:top w:val="single" w:sz="8" w:color="CFF0FC"/>
            </w:tcBorders>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2020</w:t>
            </w:r>
          </w:p>
        </w:tc>
        <w:tc>
          <w:tcPr>
            <w:tcW w:w="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center"/>
              <w:ind w:right="370"/>
              <w:spacing w:after="0"/>
              <w:rPr>
                <w:sz w:val="20"/>
                <w:szCs w:val="20"/>
                <w:color w:val="auto"/>
              </w:rPr>
            </w:pPr>
            <w:r>
              <w:rPr>
                <w:rFonts w:ascii="Arial" w:cs="Arial" w:eastAsia="Arial" w:hAnsi="Arial"/>
                <w:sz w:val="18"/>
                <w:szCs w:val="18"/>
                <w:color w:val="auto"/>
                <w:w w:val="90"/>
              </w:rPr>
              <w:t>Senior Notes (a)</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jc w:val="center"/>
              <w:ind w:right="410"/>
              <w:spacing w:after="0"/>
              <w:rPr>
                <w:sz w:val="20"/>
                <w:szCs w:val="20"/>
                <w:color w:val="auto"/>
              </w:rPr>
            </w:pPr>
            <w:r>
              <w:rPr>
                <w:rFonts w:ascii="Arial" w:cs="Arial" w:eastAsia="Arial" w:hAnsi="Arial"/>
                <w:sz w:val="18"/>
                <w:szCs w:val="18"/>
                <w:color w:val="auto"/>
                <w:w w:val="91"/>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397,466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297,080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jc w:val="center"/>
              <w:ind w:right="410"/>
              <w:spacing w:after="0"/>
              <w:rPr>
                <w:sz w:val="20"/>
                <w:szCs w:val="20"/>
                <w:color w:val="auto"/>
              </w:rPr>
            </w:pPr>
            <w:r>
              <w:rPr>
                <w:rFonts w:ascii="Arial" w:cs="Arial" w:eastAsia="Arial" w:hAnsi="Arial"/>
                <w:sz w:val="18"/>
                <w:szCs w:val="18"/>
                <w:color w:val="auto"/>
                <w:w w:val="91"/>
              </w:rPr>
              <w:t>Lazard Group 2028</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jc w:val="center"/>
              <w:ind w:right="370"/>
              <w:spacing w:after="0"/>
              <w:rPr>
                <w:sz w:val="20"/>
                <w:szCs w:val="20"/>
                <w:color w:val="auto"/>
              </w:rPr>
            </w:pPr>
            <w:r>
              <w:rPr>
                <w:rFonts w:ascii="Arial" w:cs="Arial" w:eastAsia="Arial" w:hAnsi="Arial"/>
                <w:sz w:val="18"/>
                <w:szCs w:val="18"/>
                <w:color w:val="auto"/>
                <w:w w:val="90"/>
              </w:rPr>
              <w:t>Senior Notes (a)</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9/19/28</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491,962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2029</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center"/>
              <w:ind w:right="370"/>
              <w:spacing w:after="0"/>
              <w:rPr>
                <w:sz w:val="20"/>
                <w:szCs w:val="20"/>
                <w:color w:val="auto"/>
              </w:rPr>
            </w:pPr>
            <w:r>
              <w:rPr>
                <w:rFonts w:ascii="Arial" w:cs="Arial" w:eastAsia="Arial" w:hAnsi="Arial"/>
                <w:sz w:val="18"/>
                <w:szCs w:val="18"/>
                <w:color w:val="auto"/>
                <w:w w:val="90"/>
              </w:rPr>
              <w:t>Senior Notes (a)</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7,587</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492,413</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1,678,921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1,434,260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80" w:right="40" w:hanging="372"/>
        <w:spacing w:after="0" w:line="253"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4.375% senior notes due 2029 (the “2029 Notes”). Interest on the 2029 Notes is payable semi-annually on March 11 and September 11 of each year, beginning September 11, 2019. Lazard Group used a portion of the net proceeds of the 2029 Notes to redeem or otherwise retire $250,000 aggregate principal amount of the 4.25% senior notes due 2020 (the “2020 Notes”). In March 2019, $167,943 aggregate principal amount was redeemed or otherwise retired, and the remaining $82,057 was redeemed or otherwise retired in April 2019.</w:t>
      </w:r>
    </w:p>
    <w:p>
      <w:pPr>
        <w:spacing w:after="0" w:line="231" w:lineRule="exact"/>
        <w:rPr>
          <w:rFonts w:ascii="Arial" w:cs="Arial" w:eastAsia="Arial" w:hAnsi="Arial"/>
          <w:sz w:val="18"/>
          <w:szCs w:val="18"/>
          <w:color w:val="auto"/>
        </w:rPr>
      </w:pPr>
    </w:p>
    <w:p>
      <w:pPr>
        <w:jc w:val="both"/>
        <w:ind w:left="380" w:right="160"/>
        <w:spacing w:after="0" w:line="264" w:lineRule="auto"/>
        <w:rPr>
          <w:rFonts w:ascii="Arial" w:cs="Arial" w:eastAsia="Arial" w:hAnsi="Arial"/>
          <w:sz w:val="18"/>
          <w:szCs w:val="18"/>
          <w:color w:val="auto"/>
        </w:rPr>
      </w:pPr>
      <w:r>
        <w:rPr>
          <w:rFonts w:ascii="Arial" w:cs="Arial" w:eastAsia="Arial" w:hAnsi="Arial"/>
          <w:sz w:val="18"/>
          <w:szCs w:val="18"/>
          <w:color w:val="auto"/>
        </w:rPr>
        <w:t>During September 2018, Lazard Group completed an offering of $500,000 aggregate principal amount of the 2028 Notes. Interest on the 2028 Notes is payable semi-annually on March 19 and September 19 of each year, beginning March 19, 2019. Lazard Group used a portion of the net proceeds of the 2028 Notes to redeem or otherwise retire $250,000 aggregate principal amount of the 2020 Notes.</w:t>
      </w:r>
    </w:p>
    <w:p>
      <w:pPr>
        <w:spacing w:after="0" w:line="5" w:lineRule="exact"/>
        <w:rPr>
          <w:rFonts w:ascii="Arial" w:cs="Arial" w:eastAsia="Arial" w:hAnsi="Arial"/>
          <w:sz w:val="18"/>
          <w:szCs w:val="18"/>
          <w:color w:val="auto"/>
        </w:rPr>
      </w:pPr>
    </w:p>
    <w:p>
      <w:pPr>
        <w:ind w:left="380" w:right="220" w:hanging="372"/>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 interest rates of Lazard Group’s 3.75% senior notes due February 13, 2025 (the “2025 Notes”), Lazard Group’s 3.625% senior notes due March 1, 2027 (the “2027 Notes”), Lazard Group’s 4.50% senior notes due September 19, 2028 (the “2028 Notes”) and the 2029 Notes are 3.87%, 3.76%, 4.68% and 4.54%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September 30, 2019 and December 31, 2018, no amounts were outstanding under the Amended and Restated Credit Agreement.</w:t>
      </w:r>
    </w:p>
    <w:p>
      <w:pPr>
        <w:spacing w:after="0" w:line="19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September 30, 2019, the Company was in compliance with such provisions. All of the Company’s senior debt obligations are unsecured.</w:t>
      </w:r>
    </w:p>
    <w:p>
      <w:pPr>
        <w:spacing w:after="0" w:line="14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As of September 30, 2019, the Company had approximately $167,000 in unused lines of credit available to it, including the credit facility provided under the Amended and Restated Credit Agreement and unused lines of credit available to LFB of approximately $16,000.</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Company’s senior debt at September 30, 2019 and December 31, 2018 is carried at historical amounts of $1,678,921 and $1,434,260, respectively. At those dates, the fair value of such senior debt was approximately $1,817,000 and $1,429,000,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2019, LFB had $2,422 of such indemnifications and held $2,422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b w:val="1"/>
          <w:bCs w:val="1"/>
          <w:i w:val="1"/>
          <w:iCs w:val="1"/>
          <w:color w:val="auto"/>
        </w:rPr>
        <w:t>Business Acquisitions</w:t>
      </w:r>
      <w:r>
        <w:rPr>
          <w:rFonts w:ascii="Arial" w:cs="Arial" w:eastAsia="Arial" w:hAnsi="Arial"/>
          <w:sz w:val="17"/>
          <w:szCs w:val="17"/>
          <w:color w:val="auto"/>
        </w:rPr>
        <w:t>—For a business acquired in 2016, the remaining consideration consists of (i) 40,585 shares of Class A common stock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non-compete provisions and employment conditions, and (ii) up to 210,431 additional shares of Class A common stock that are subject to certain performance thresholds. During the nine month period ended September 30, 2019, none of the contingent shares were earned.</w:t>
      </w:r>
    </w:p>
    <w:p>
      <w:pPr>
        <w:spacing w:after="0" w:line="166"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September 30, 2019, LFB and LFNY had no such underwriting commitments.</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See Notes 6 and 15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b w:val="1"/>
          <w:bCs w:val="1"/>
          <w:i w:val="1"/>
          <w:iCs w:val="1"/>
          <w:color w:val="auto"/>
        </w:rPr>
        <w:t>Lazard Group Distributions</w:t>
      </w:r>
      <w:r>
        <w:rPr>
          <w:rFonts w:ascii="Arial" w:cs="Arial" w:eastAsia="Arial" w:hAnsi="Arial"/>
          <w:sz w:val="17"/>
          <w:szCs w:val="17"/>
          <w:color w:val="auto"/>
        </w:rPr>
        <w:t>—Distributions in respect of Lazard Group’s common membership interests are allocated to the holders of such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166"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During the nine month periods ended September 30, 2019 and 2018, Lazard Group distributed $178,935 and $364,751, respectively, to the subsidiaries of Lazard Ltd.</w:t>
      </w:r>
    </w:p>
    <w:p>
      <w:pPr>
        <w:spacing w:after="0" w:line="170"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2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October 31, 2019, Lazard Group distributed to its managing members, which are subsidiaries of Lazard Ltd, 17,000,000 shares of Class A common stock that were held by Lazard Group. These shares were ultimately received by Lazard Ltd and cancelled. There was no impact on total members' equity as a result of this distribution.</w:t>
      </w:r>
    </w:p>
    <w:p>
      <w:pPr>
        <w:spacing w:after="0" w:line="18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nine month period ended September 30, 2019 and since 2017, the Board of Directors of Lazard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340" w:type="dxa"/>
            <w:vAlign w:val="bottom"/>
            <w:vMerge w:val="restart"/>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6"/>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5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2018</w:t>
            </w:r>
          </w:p>
        </w:tc>
        <w:tc>
          <w:tcPr>
            <w:tcW w:w="2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continue to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8"/>
        </w:trPr>
        <w:tc>
          <w:tcPr>
            <w:tcW w:w="6280" w:type="dxa"/>
            <w:vAlign w:val="bottom"/>
            <w:gridSpan w:val="3"/>
            <w:vMerge w:val="continue"/>
          </w:tcPr>
          <w:p>
            <w:pPr>
              <w:spacing w:after="0"/>
              <w:rPr>
                <w:sz w:val="15"/>
                <w:szCs w:val="15"/>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41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5,797,789</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52.88</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2019</w:t>
            </w:r>
          </w:p>
        </w:tc>
        <w:tc>
          <w:tcPr>
            <w:tcW w:w="4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11,946,943</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During the nine month periods ended September 30, 2019 and 2018,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certain of our executive officers equal in value to all or a portion of the estimated amount of such tax. In addition, during the nine month period ended September 30, 2018, the Company purchased shares of Class A common stock from certain of our executive officers. The aggregate value of all such purchases during the nine month periods ended September 30, 2019 and 2018 was approximately $14,600 and $16,400, respectively. Such shares of Class A common stock are reported at cost.</w:t>
      </w:r>
    </w:p>
    <w:p>
      <w:pPr>
        <w:spacing w:after="0" w:line="189"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September 30, 2019, a total of $165,231 of share repurchase authorization remained available under Lazard Ltd’s share repurchase program, all of which will expire on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addition, on October 30, 2019, the Board of Directors of Lazard authorized the repurchase of up to $300,000 of additional shares of Class A common stock, which authorization will expire on December 31, 2021, bringing the total available share repurchase authorization as of October 30, 2019 to approximately $437,000.</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During the nine month period ended September 30, 2019,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2018 and activity during the three month and nine month periods then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820" w:type="dxa"/>
            <w:vAlign w:val="bottom"/>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July 1, 2019</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(86,869)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(140,725</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(227,594</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(227,594</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(24,321)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(15,271)</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(15,270)</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September 30, 2019</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(111,190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(130,601</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(241,791</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(241,790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Nine Months Ended September 30, 2019</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820" w:type="dxa"/>
            <w:vAlign w:val="bottom"/>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(82,829)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(145,831</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(228,660</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(228,660</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(28,361)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(16,450)</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(16,449)</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September 30, 2019</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(111,190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(130,601</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(241,791</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(241,790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July 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(146,341</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(211,758</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(211,757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(7,631)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(6,768)</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(5,819)</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(144,529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Nine Months Ended September 30, 2018</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ind w:left="62"/>
              <w:spacing w:after="0" w:line="133"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880" w:type="dxa"/>
            <w:vAlign w:val="bottom"/>
          </w:tcPr>
          <w:p>
            <w:pPr>
              <w:jc w:val="center"/>
              <w:ind w:left="62"/>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(151,466</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(195,256</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(195,256</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(29,258)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(25,109)</w:t>
            </w: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(25,109)</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22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(22,321)</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(144,529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 below reflects adjustments for items reclassified out of AOCI, by component, for the three month and nine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1,246</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1,074</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3,319</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Such amounts are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 and (ii) consolidated VIE interests held by employees (see Note 21).</w:t>
      </w:r>
    </w:p>
    <w:p>
      <w:pPr>
        <w:spacing w:after="0" w:line="170"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nine month periods ended September 30, 2019 and 2018 and noncontrolling interests as of September 30, 2019 and December 31, 2018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Net Income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20" w:type="dxa"/>
            <w:vAlign w:val="bottom"/>
            <w:gridSpan w:val="5"/>
          </w:tcPr>
          <w:p>
            <w:pPr>
              <w:jc w:val="center"/>
              <w:ind w:left="327"/>
              <w:spacing w:after="0" w:line="147" w:lineRule="exact"/>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7"/>
          </w:tcPr>
          <w:p>
            <w:pPr>
              <w:jc w:val="right"/>
              <w:ind w:right="30"/>
              <w:spacing w:after="0" w:line="147" w:lineRule="exact"/>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center"/>
              <w:ind w:left="339"/>
              <w:spacing w:after="0" w:line="155" w:lineRule="exact"/>
              <w:rPr>
                <w:sz w:val="20"/>
                <w:szCs w:val="20"/>
                <w:color w:val="auto"/>
              </w:rPr>
            </w:pPr>
            <w:r>
              <w:rPr>
                <w:rFonts w:ascii="Arial" w:cs="Arial" w:eastAsia="Arial" w:hAnsi="Arial"/>
                <w:sz w:val="14"/>
                <w:szCs w:val="14"/>
                <w:b w:val="1"/>
                <w:bCs w:val="1"/>
                <w:color w:val="auto"/>
                <w:w w:val="89"/>
              </w:rPr>
              <w:t>2018</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350"/>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Edgewater</w:t>
            </w:r>
          </w:p>
        </w:tc>
        <w:tc>
          <w:tcPr>
            <w:tcW w:w="24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1,302</w:t>
            </w: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1,651</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8,237</w:t>
            </w:r>
          </w:p>
        </w:tc>
        <w:tc>
          <w:tcPr>
            <w:tcW w:w="280" w:type="dxa"/>
            <w:vAlign w:val="bottom"/>
            <w:tcBorders>
              <w:top w:val="single" w:sz="8" w:color="CFF0FC"/>
            </w:tcBorders>
            <w:gridSpan w:val="2"/>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5,034</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Consolidated VIEs</w:t>
            </w:r>
          </w:p>
        </w:tc>
        <w:tc>
          <w:tcPr>
            <w:tcW w:w="2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1,492</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1,652</w:t>
            </w: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8,662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jc w:val="right"/>
              <w:ind w:right="190"/>
              <w:spacing w:after="0"/>
              <w:rPr>
                <w:sz w:val="20"/>
                <w:szCs w:val="20"/>
                <w:color w:val="auto"/>
              </w:rPr>
            </w:pPr>
            <w:r>
              <w:rPr>
                <w:rFonts w:ascii="Arial" w:cs="Arial" w:eastAsia="Arial" w:hAnsi="Arial"/>
                <w:sz w:val="14"/>
                <w:szCs w:val="14"/>
                <w:b w:val="1"/>
                <w:bCs w:val="1"/>
                <w:color w:val="auto"/>
                <w:w w:val="98"/>
              </w:rPr>
              <w:t>Noncontrolling Interests as of</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jc w:val="right"/>
              <w:ind w:right="290"/>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CFF0FC"/>
            </w:tcBorders>
          </w:tcPr>
          <w:p>
            <w:pPr>
              <w:spacing w:after="0"/>
              <w:rPr>
                <w:sz w:val="14"/>
                <w:szCs w:val="14"/>
                <w:color w:val="auto"/>
              </w:rPr>
            </w:pPr>
          </w:p>
        </w:tc>
        <w:tc>
          <w:tcPr>
            <w:tcW w:w="246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579"/>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52,311</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52,695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Consolidated VIEs</w:t>
            </w:r>
          </w:p>
        </w:tc>
        <w:tc>
          <w:tcPr>
            <w:tcW w:w="2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13,110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65,435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52,707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60" w:type="dxa"/>
            <w:vAlign w:val="bottom"/>
            <w:vMerge w:val="restart"/>
          </w:tcPr>
          <w:p>
            <w:pPr>
              <w:jc w:val="right"/>
              <w:ind w:right="70"/>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13"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and nine month periods ended September 30, 2019 and 2018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profits interest participation rights and other share-based awards.</w:t>
      </w:r>
    </w:p>
    <w:p>
      <w:pPr>
        <w:spacing w:after="0" w:line="14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58"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166" w:lineRule="exact"/>
        <w:rPr>
          <w:sz w:val="20"/>
          <w:szCs w:val="20"/>
          <w:color w:val="auto"/>
        </w:rPr>
      </w:pPr>
    </w:p>
    <w:p>
      <w:pPr>
        <w:ind w:right="400" w:firstLine="518"/>
        <w:spacing w:after="0" w:line="312" w:lineRule="auto"/>
        <w:rPr>
          <w:sz w:val="20"/>
          <w:szCs w:val="20"/>
          <w:color w:val="auto"/>
        </w:rPr>
      </w:pPr>
      <w:r>
        <w:rPr>
          <w:rFonts w:ascii="Arial" w:cs="Arial" w:eastAsia="Arial" w:hAnsi="Arial"/>
          <w:sz w:val="16"/>
          <w:szCs w:val="16"/>
          <w:color w:val="auto"/>
        </w:rPr>
        <w:t>The following reflects the amortization expense recorded with respect to share-based incentive plans within “compensation and benefits” expense (with respect to RSUs, PRSUs and other share-based awards) and “professional services” expense (with respect to DSUs) within the Company’s accompanying condensed consolidated statements of operations for the three month and nine month periods ended September 30, 2019 and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37,206</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38,121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140,597</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154,643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6,950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24,871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30,323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Profits interest participation rights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65,092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225,192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217,139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81"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 ended September 30, 2019, dividend participation rights required the issuance of 725,197 RSUs.</w:t>
      </w:r>
    </w:p>
    <w:p>
      <w:pPr>
        <w:spacing w:after="0" w:line="22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51,379 DSUs granted during the nine month period ended September 30, 2019.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93"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Lazard Ltd’s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 ended September 30, 2019, 16,103 DSUs had been granted pursuant to such Plan.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nine month period ended September 30,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RSUs</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DSUs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11,362,306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323,546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Granted (including 725,197 RSUs relating to dividend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40" w:type="dxa"/>
            <w:vAlign w:val="bottom"/>
          </w:tcPr>
          <w:p>
            <w:pPr>
              <w:jc w:val="right"/>
              <w:spacing w:after="0"/>
              <w:rPr>
                <w:sz w:val="20"/>
                <w:szCs w:val="20"/>
                <w:color w:val="auto"/>
              </w:rPr>
            </w:pPr>
            <w:r>
              <w:rPr>
                <w:rFonts w:ascii="Arial" w:cs="Arial" w:eastAsia="Arial" w:hAnsi="Arial"/>
                <w:sz w:val="18"/>
                <w:szCs w:val="18"/>
                <w:color w:val="auto"/>
              </w:rPr>
              <w:t>5,729,741</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38.51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(673,873)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Settled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(5,857,462)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37.09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10,560,712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391,028</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38.01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In connection with RSUs that settled during the nine month period ended September 30, 2019, the Company satisfied its minimum statutory tax withholding requirements in lieu of delivering 2,047,117 shares of Class A common stock during such nine month period. Accordingly, 3,810,345 shares of Class A common stock held by the Company were delivered during the nine month period ended September 30, 2019.</w:t>
      </w:r>
    </w:p>
    <w:p>
      <w:pPr>
        <w:spacing w:after="0" w:line="166"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 of September 30, 2019, estimated unrecognized RSU compensation expense was $147,308, with such expense expected to be recognized over a weighted average period of approximately 0.9 years subsequent to September 30, 2019.</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 ended September 30, 2019:</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1,541,058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1,039,736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(230,787)</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(1,165,568)</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1,184,439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In connection with shares of restricted Class A common stock that settled during the nine month period ended September 30, 2019, the Company satisfied its minimum statutory tax withholding requirements in lieu of delivering 372,792 shares of Class A common stock during such nine month period. Accordingly, 792,776 shares of Class A common stock held by the Company were delivered during the nine month period ended September 30, 2019.</w:t>
      </w:r>
    </w:p>
    <w:p>
      <w:pPr>
        <w:spacing w:after="0" w:line="147"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September 30, 2019, estimated unrecognized restricted stock expense was $20,080, with such expense to be recognized over a weighted average period of approximately 0.9 years subsequent to September 30, 2019.</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225" w:lineRule="exact"/>
        <w:rPr>
          <w:sz w:val="20"/>
          <w:szCs w:val="20"/>
          <w:color w:val="auto"/>
        </w:rPr>
      </w:pPr>
    </w:p>
    <w:p>
      <w:pPr>
        <w:ind w:right="18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nine month period ended September 30,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29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1,771,795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Settled</w:t>
            </w:r>
          </w:p>
        </w:tc>
        <w:tc>
          <w:tcPr>
            <w:tcW w:w="4360" w:type="dxa"/>
            <w:vAlign w:val="bottom"/>
            <w:gridSpan w:val="3"/>
          </w:tcPr>
          <w:p>
            <w:pPr>
              <w:jc w:val="right"/>
              <w:ind w:right="60"/>
              <w:spacing w:after="0"/>
              <w:rPr>
                <w:sz w:val="20"/>
                <w:szCs w:val="20"/>
                <w:color w:val="auto"/>
              </w:rPr>
            </w:pPr>
            <w:r>
              <w:rPr>
                <w:rFonts w:ascii="Arial" w:cs="Arial" w:eastAsia="Arial" w:hAnsi="Arial"/>
                <w:sz w:val="18"/>
                <w:szCs w:val="18"/>
                <w:color w:val="auto"/>
              </w:rPr>
              <w:t>(1,171,081)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2019</w:t>
            </w:r>
          </w:p>
        </w:tc>
        <w:tc>
          <w:tcPr>
            <w:tcW w:w="298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600,714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980" w:type="dxa"/>
            <w:vAlign w:val="bottom"/>
            <w:vMerge w:val="restart"/>
          </w:tcPr>
          <w:p>
            <w:pPr>
              <w:jc w:val="right"/>
              <w:ind w:right="1530"/>
              <w:spacing w:after="0"/>
              <w:rPr>
                <w:sz w:val="20"/>
                <w:szCs w:val="20"/>
                <w:color w:val="auto"/>
              </w:rPr>
            </w:pPr>
            <w:r>
              <w:rPr>
                <w:rFonts w:ascii="Arial" w:cs="Arial" w:eastAsia="Arial" w:hAnsi="Arial"/>
                <w:sz w:val="18"/>
                <w:szCs w:val="18"/>
                <w:color w:val="auto"/>
              </w:rPr>
              <w:t>33</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jc w:val="both"/>
        <w:ind w:right="180" w:firstLine="518"/>
        <w:spacing w:after="0" w:line="286" w:lineRule="auto"/>
        <w:rPr>
          <w:sz w:val="20"/>
          <w:szCs w:val="20"/>
          <w:color w:val="auto"/>
        </w:rPr>
      </w:pPr>
      <w:r>
        <w:rPr>
          <w:rFonts w:ascii="Arial" w:cs="Arial" w:eastAsia="Arial" w:hAnsi="Arial"/>
          <w:sz w:val="17"/>
          <w:szCs w:val="17"/>
          <w:color w:val="auto"/>
        </w:rPr>
        <w:t>In connection with certain PRSUs that settled during the nine month period ended September 30, 2019, the Company satisfied its minimum statutory tax withholding requirements in lieu of delivering 203,036 shares of Class A common stock during such nine month period. Accordingly, 968,045 shares of Class A common stock held by the Company were delivered during the nine month period ended September 30, 2019.</w:t>
      </w:r>
    </w:p>
    <w:p>
      <w:pPr>
        <w:spacing w:after="0" w:line="166"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2019, the total estimated unrecognized compensation expense was $4,465, and the Company expects to amortize such expense over a weighted-average period of approximately 0.7 years subsequent to September 30, 2019.</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Profits Interest Participation Rights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early 2019, the Company established a new long-term incentive compensation program consisting of profits interest participation rights, which are equity incentive awards that, subject to certain conditions, may be exchanged for shares of Class A common stock pursuant to the 2018 Plan. Pursuant to the program, in February 2019, the Company granted profits interest participation rights subject to service-based and performance-based vesting criteria and other conditions, which we refer to as performance-based restricted participation units (“PRPUs”), to each of the Company’s NEOs, and profits interest participation rights subject to service-based vesting criteria and other conditions to a limited number of other senior employees, pursuant to profits interest participation right agreements. Profits interest participation rights generally provide for vesting approximately three years following the grant date, so long as applicable conditions have been satisfied.</w:t>
      </w:r>
    </w:p>
    <w:p>
      <w:pPr>
        <w:spacing w:after="0" w:line="18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Profits interest participation rights are a class of membership interests in the Company that are intended to qualify as “profits interests” for U.S. federal income tax purposes, and are recorded within members’ equity in the Company’s condensed consolidated statements of financial condition. The profits interest participation rights generally allow the recipient to realize value only to the extent that both (i) the service-based vesting conditions and, if applicable, the performance conditions, are satisfied, and (ii) an amount of economic appreciation in the assets of the Company occurs as necessary to satisfy certain partnership tax rules (referred to as the "Minimum Value Condition") before the fifth anniversary of the grant date, otherwise the profits interest participation rights will be forfeited. Upon satisfaction of such conditions, profits interest participation rights that are in parity with the value of Class A common stock will be exchanged on a one-for-one basis for shares of Class A common stock. If forfeited based solely on failing to meet the Minimum Value Condition, the associated compensation expense would not be reversed.</w:t>
      </w:r>
    </w:p>
    <w:p>
      <w:pPr>
        <w:spacing w:after="0" w:line="179"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Like outstanding RSUs and similar awards, profits interest participation rights will be subject to continued employment and other conditions and restrictions and will be forfeited if those conditions and restrictions are not fulfilled. More specifically, vesting of profits interest participation rights will be subject to compliance with restrictive covenants including non-compete, non-solicitation of clients, no hire of employees and confidentiality, which are similar to those applicable to PRSUs and RSUs. In addition, profits interest participation rights must satisfy the Minimum Value Condition. PRPUs, like outstanding PRSUs, will be subject to the achievement of incremental pre-established performance conditions and financial metrics and will only result in value to the recipient to the extent the conditions are satisfied.</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number of shares of Class A common stock that a recipient will receive upon the exchange of a PRPU award will be calculated by reference to applicable financial metrics. The target number of shares of Class A common stock subject to each PRPU is one. Based on the achievement of performance criteria, as determined by the Compensation Committee, the number of shares of Class A common stock that may be received in connection with each PRPU award will range from zero to two times the target number. Unless applicable performance conditions are satisfied during the three year performance period, and the Minimum Value Condition is satisfied within five years following the grant date, all PRPUs will be forfeited, and the recipients will not be entitled to any such awards.</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addition, the performance metrics applicable to each PRPU will be evaluated on an annual basis at the end of each fiscal year during the performance period, and, if Lazard Ltd has achieved a threshold level of performance with respect to the fiscal year, 25% of the target number of PRPUs will no longer be at risk of forfeiture based on the achievement of performance criteria. Profits interest participation rights are allocated income, subject to vesting and settled in cash, in respect of dividends paid on Class A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profits interest participation rights, including PRPUs, during the nine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Profits Interest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Participation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3"/>
          </w:tcPr>
          <w:p>
            <w:pPr>
              <w:ind w:left="1140"/>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1,462,702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September 30,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1,462,702</w:t>
            </w:r>
          </w:p>
        </w:tc>
        <w:tc>
          <w:tcPr>
            <w:tcW w:w="40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5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Table includes the target number of PRPUs assuming the achievement of applicable performance conditions at the target level.</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Compensation expense recognized for profits interest participation rights, including PRPUs, is determined by multiplying the number of shares of Class A common stock underlying such awards that, based on the Company’s estimate, are considered probable of vesting, by the grant date fair value. As of September 30, 2019, the total estimated unrecognized compensation expense was $19,831, and the Company expects to amortize such expense over a weighted-average period of approximately 1.2 years subsequent to September 30, 2019.</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LFI and other similar deferred compensation arrangements during the nine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76,362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101,552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(89,140)</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(83,301)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92,052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September 30, 2019.</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7" w:name="page38"/>
    <w:bookmarkEnd w:id="3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2019 and 2018:</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85,469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71,274</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the fair value of underlying investments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22,118</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25,089</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107,587</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right="140" w:firstLine="51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w:t>
      </w:r>
    </w:p>
    <w:p>
      <w:pPr>
        <w:spacing w:after="0" w:line="154"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w:t>
      </w:r>
    </w:p>
    <w:p>
      <w:pPr>
        <w:spacing w:after="0" w:line="124"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and nine month periods ended September 30,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3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406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9"/>
                <w:szCs w:val="19"/>
                <w:color w:val="auto"/>
              </w:rPr>
            </w:pP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(6,697)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Settlement loss</w:t>
            </w:r>
          </w:p>
        </w:tc>
        <w:tc>
          <w:tcPr>
            <w:tcW w:w="3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3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4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760" w:type="dxa"/>
            <w:vAlign w:val="bottom"/>
          </w:tcPr>
          <w:p>
            <w:pPr>
              <w:spacing w:after="0"/>
              <w:rPr>
                <w:sz w:val="4"/>
                <w:szCs w:val="4"/>
                <w:color w:val="auto"/>
              </w:rPr>
            </w:pPr>
          </w:p>
        </w:tc>
        <w:tc>
          <w:tcPr>
            <w:tcW w:w="406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3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406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9"/>
                <w:szCs w:val="19"/>
                <w:color w:val="auto"/>
              </w:rPr>
            </w:pP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(20,596)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(22,681)</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Settlement loss</w:t>
            </w:r>
          </w:p>
        </w:tc>
        <w:tc>
          <w:tcPr>
            <w:tcW w:w="3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3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100" w:type="dxa"/>
            <w:vAlign w:val="bottom"/>
            <w:vMerge w:val="restart"/>
          </w:tcPr>
          <w:p>
            <w:pPr>
              <w:jc w:val="right"/>
              <w:ind w:right="1970"/>
              <w:spacing w:after="0"/>
              <w:rPr>
                <w:sz w:val="20"/>
                <w:szCs w:val="20"/>
                <w:color w:val="auto"/>
              </w:rPr>
            </w:pPr>
            <w:r>
              <w:rPr>
                <w:rFonts w:ascii="Arial" w:cs="Arial" w:eastAsia="Arial" w:hAnsi="Arial"/>
                <w:sz w:val="18"/>
                <w:szCs w:val="18"/>
                <w:color w:val="auto"/>
              </w:rPr>
              <w:t>36</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13"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REALIGNMENT</w:t>
      </w:r>
    </w:p>
    <w:p>
      <w:pPr>
        <w:spacing w:after="0" w:line="22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 conducted a review of our business, which resulted in a realignment that included employee reductions and the closing of subscale offices and investment strategies, most of which were completed during the third quarter of 2019.</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Expenses associated with business realignment for the three month and nine month periods ended September 30, 2019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Asset</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Advisory</w:t>
            </w:r>
          </w:p>
        </w:tc>
        <w:tc>
          <w:tcPr>
            <w:tcW w:w="140" w:type="dxa"/>
            <w:vAlign w:val="bottom"/>
          </w:tcPr>
          <w:p>
            <w:pPr>
              <w:spacing w:after="0"/>
              <w:rPr>
                <w:sz w:val="18"/>
                <w:szCs w:val="18"/>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Management</w:t>
            </w: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13,144</w:t>
            </w: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14,479</w:t>
            </w:r>
          </w:p>
        </w:tc>
        <w:tc>
          <w:tcPr>
            <w:tcW w:w="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Activity related to the obligations pursuant to business realignment during the three month period ended September 30, 2019 was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6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8"/>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and Benefits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July 1, 2019</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New charges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51,454</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Less: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Non-cash charges</w:t>
            </w: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(1,335)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(16,782)</w:t>
            </w: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(1,193)</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33,479</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93"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The Company recorded income tax provisions of $9,433 and $42,697 for the three month and nine month periods ended September 30, 2019, respectively, and $25,393 and $75,453 for the three month and nine month periods ended September 30, 2018, respectively, representing effective tax rates of 17.9%, 15.9%, 18.8% and 14.7%, respectively. The difference between the U.S. federal statutory rate of 21.0% and the effective tax rates reflected above principally relates to (i) Lazard Group primarily operating as a limited liability company in the U.S., (ii) taxes payable to foreign jurisidictions, (iii) excess net tax benefit for share-based incentive compensation and other discrete items, (iv) change in the valuation allowance affecting the provision for income taxes,</w:t>
      </w:r>
    </w:p>
    <w:p>
      <w:pPr>
        <w:spacing w:after="0" w:line="2" w:lineRule="exact"/>
        <w:rPr>
          <w:sz w:val="20"/>
          <w:szCs w:val="20"/>
          <w:color w:val="auto"/>
        </w:rPr>
      </w:pPr>
    </w:p>
    <w:p>
      <w:pPr>
        <w:ind w:right="100" w:firstLine="8"/>
        <w:spacing w:after="0" w:line="261"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 state and local taxes, which are incremental to the U.S. federal statutory tax rate, and (vi) impact of U.S. tax reform, including base erosion and anti-abuse tax.</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Receivables from and Payables to Lazard Ltd Subsidiaries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Interest income relating to interest-bearing loans with subsidiaries of Lazard Ltd amounted to $89 for the nine month period ended September 30, 2019 and $230 and $451 for the three month and nine month periods ended September 30, 2018, respectively.</w:t>
      </w:r>
    </w:p>
    <w:p>
      <w:pPr>
        <w:spacing w:after="0" w:line="170"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Lazard Group’s payables to subsidiaries of Lazard Ltd at September 30, 2019 and December 31, 2018 included interest-bearing loans, including interest thereon, of $54,955 and $60,875, respectively. Interest expense relating to interest-bearing loans with subsidiaries of Lazard Ltd amounted to $872 and $2,688 for the three month and nine month periods ended September 30, 2019, respectively, and $901 and $2,803 for the three month and nine month periods ended September 30, 2018, respectively.</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$141,365 and $438,733 for the three month and nine month periods ended September 30, 2019, respectively, and $158,425 and $510,414 for the three month and nine month periods ended September 30, 2018, respectively, and are included in “asset management fees” on the condensed consolidated statements of operations. Of such amounts, $55,714 and $59,304 remained as receivables at September 30, 2019 and December 31, 2018, respectively, and are included in “fees receivable” on the condensed consolidated statements of financial condition.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During the nine month period ended September 30, 2019, the Company recognized approximately $9,000 of investment banking and other advisory fees pertaining to financial advisory services provided to clients of which a member of the Company’s Board of Directors also served as a member of the client’s board of directors or in a management capacity. The engagement terms were negotiated in the ordinary course of business on an arms-length basis.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13 for information regarding related party transactions pertaining to shares repurchased from certain of our executive officers.</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September 30, 2019, LFNY’s regulatory net capital was $133,716, which exceeded the minimum requirement by $128,376. LFNY’s aggregate indebtedness to net capital ratio was 0.60:1 as of September 30, 2019.</w:t>
      </w:r>
    </w:p>
    <w:p>
      <w:pPr>
        <w:spacing w:after="0" w:line="193"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September 30, 2019, the aggregate regulatory net capital of the U.K. Subsidiaries was $148,962, which exceeded the minimum requirement by $132,957.</w:t>
      </w:r>
    </w:p>
    <w:p>
      <w:pPr>
        <w:spacing w:after="0" w:line="181"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September 30, 2019, the consolidated regulatory net capital of CFLF was $161,499, which exceeded the minimum requirement set for regulatory capital levels by $106,159.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June 30, 2019, the regulatory net capital of the combined European regulated group was $211,440, which exceeded the minimum requirement set for regulatory capital levels by $107,119.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93"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2019, for those subsidiaries with regulatory capital requirements, their aggregate net capital was $153,873, which exceeded the minimum required capital by $125,826.</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2019, each of these subsidiaries individually was in compliance with its regulatory capital requirements.</w:t>
      </w:r>
    </w:p>
    <w:p>
      <w:pPr>
        <w:spacing w:after="0" w:line="225"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Company’s segment information for the three month and nine month periods ended September 30, 2019 and 2018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9"/>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2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304,174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309,846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953,863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1,137,781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w:t>
            </w: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303,966</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253,602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847,322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900,397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56,244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106,541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8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300,015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325,240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917,439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1,032,111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Operating Expenses (a)</w:t>
            </w: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225,819</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211,564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652,188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26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8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74,196</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113,676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265,251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2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(29,132)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w:t>
            </w: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5,415</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25,114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73,366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(21,586)</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(35,188)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(102,498)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8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588,018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625,012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1,842,170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2,132,912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Operating Expenses (a)</w:t>
            </w: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535,200</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490,280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1,572,876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1,619,414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8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52,818</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134,732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269,294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20" w:type="dxa"/>
            <w:vAlign w:val="bottom"/>
            <w:tcBorders>
              <w:bottom w:val="single" w:sz="8" w:color="auto"/>
            </w:tcBorders>
          </w:tcPr>
          <w:p>
            <w:pPr>
              <w:spacing w:after="0"/>
              <w:rPr>
                <w:sz w:val="11"/>
                <w:szCs w:val="11"/>
                <w:color w:val="auto"/>
              </w:rPr>
            </w:pPr>
          </w:p>
        </w:tc>
        <w:tc>
          <w:tcPr>
            <w:tcW w:w="3220" w:type="dxa"/>
            <w:vAlign w:val="bottom"/>
            <w:gridSpan w:val="3"/>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140" w:type="dxa"/>
            <w:vAlign w:val="bottom"/>
            <w:gridSpan w:val="4"/>
          </w:tcPr>
          <w:p>
            <w:pPr>
              <w:spacing w:after="0"/>
              <w:rPr>
                <w:sz w:val="20"/>
                <w:szCs w:val="20"/>
                <w:color w:val="auto"/>
              </w:rPr>
            </w:pPr>
            <w:r>
              <w:rPr>
                <w:rFonts w:ascii="Arial" w:cs="Arial" w:eastAsia="Arial" w:hAnsi="Arial"/>
                <w:sz w:val="18"/>
                <w:szCs w:val="18"/>
                <w:color w:val="auto"/>
              </w:rPr>
              <w:t>(a) See Note 16 for information regarding business realignment.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jc w:val="right"/>
              <w:ind w:right="280"/>
              <w:spacing w:after="0" w:line="155" w:lineRule="exact"/>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131"/>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FF0FC"/>
            </w:tcBorders>
            <w:shd w:val="clear" w:color="auto" w:fill="CFF0FC"/>
          </w:tcPr>
          <w:p>
            <w:pPr>
              <w:spacing w:after="0"/>
              <w:rPr>
                <w:sz w:val="19"/>
                <w:szCs w:val="19"/>
                <w:color w:val="auto"/>
              </w:rPr>
            </w:pPr>
          </w:p>
        </w:tc>
        <w:tc>
          <w:tcPr>
            <w:tcW w:w="25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140"/>
              <w:spacing w:after="0"/>
              <w:rPr>
                <w:sz w:val="20"/>
                <w:szCs w:val="20"/>
                <w:color w:val="auto"/>
              </w:rPr>
            </w:pPr>
            <w:r>
              <w:rPr>
                <w:rFonts w:ascii="Arial" w:cs="Arial" w:eastAsia="Arial" w:hAnsi="Arial"/>
                <w:sz w:val="18"/>
                <w:szCs w:val="18"/>
                <w:color w:val="auto"/>
              </w:rPr>
              <w:t>Financial Advisory</w:t>
            </w:r>
          </w:p>
        </w:tc>
        <w:tc>
          <w:tcPr>
            <w:tcW w:w="1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4"/>
              </w:rPr>
              <w:t>1,044,961</w:t>
            </w:r>
          </w:p>
        </w:tc>
        <w:tc>
          <w:tcPr>
            <w:tcW w:w="80" w:type="dxa"/>
            <w:vAlign w:val="bottom"/>
          </w:tcPr>
          <w:p>
            <w:pPr>
              <w:spacing w:after="0"/>
              <w:rPr>
                <w:sz w:val="19"/>
                <w:szCs w:val="19"/>
                <w:color w:val="auto"/>
              </w:rPr>
            </w:pP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829,898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703,744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FF0FC"/>
            </w:tcBorders>
          </w:tcPr>
          <w:p>
            <w:pPr>
              <w:spacing w:after="0"/>
              <w:rPr>
                <w:sz w:val="19"/>
                <w:szCs w:val="19"/>
                <w:color w:val="auto"/>
              </w:rPr>
            </w:pPr>
          </w:p>
        </w:tc>
        <w:tc>
          <w:tcPr>
            <w:tcW w:w="25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3,245,923</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2,831,357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2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4,994,628</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4,389,475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60" w:type="dxa"/>
            <w:vAlign w:val="bottom"/>
            <w:vMerge w:val="restart"/>
          </w:tcPr>
          <w:p>
            <w:pPr>
              <w:jc w:val="right"/>
              <w:ind w:right="11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CONSOLIDATED VIEs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Company’s consolidated VIEs as of September 30, 2019 include certain funds that were recently established for the benefit of employees participating in the Company’s existing LFI deferred compensation arrangement. Lazard invests in these funds and is the investment manager and is therefore deemed to have both the power to direct the most significant activities of the funds and the right to receive benefits (or the obligation to absorb losses) that could potentially be significant to these funds. The Company’s consolidated VIE assets and liabilities as reflected in the condensed consolidated statements of financial condition consist of the following at September 30, 2019:</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Customers and other receivables</w:t>
            </w: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Investments (a)</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89,333</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FF0FC"/>
          </w:tcPr>
          <w:p>
            <w:pPr>
              <w:spacing w:after="0"/>
              <w:rPr>
                <w:sz w:val="21"/>
                <w:szCs w:val="21"/>
                <w:color w:val="auto"/>
              </w:rPr>
            </w:pPr>
          </w:p>
        </w:tc>
      </w:tr>
      <w:tr>
        <w:trPr>
          <w:trHeight w:val="237"/>
        </w:trPr>
        <w:tc>
          <w:tcPr>
            <w:tcW w:w="9480" w:type="dxa"/>
            <w:vAlign w:val="bottom"/>
            <w:gridSpan w:val="2"/>
          </w:tcPr>
          <w:p>
            <w:pPr>
              <w:ind w:left="50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93,998</w:t>
            </w:r>
          </w:p>
        </w:tc>
        <w:tc>
          <w:tcPr>
            <w:tcW w:w="120" w:type="dxa"/>
            <w:vAlign w:val="bottom"/>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9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Deposits and other customer payables</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FF0FC"/>
          </w:tcPr>
          <w:p>
            <w:pPr>
              <w:spacing w:after="0"/>
              <w:rPr>
                <w:sz w:val="21"/>
                <w:szCs w:val="21"/>
                <w:color w:val="auto"/>
              </w:rPr>
            </w:pPr>
          </w:p>
        </w:tc>
      </w:tr>
      <w:tr>
        <w:trPr>
          <w:trHeight w:val="237"/>
        </w:trPr>
        <w:tc>
          <w:tcPr>
            <w:tcW w:w="948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7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r>
    </w:tbl>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$79,791 of LFI held by Lazard Group which is eliminated in the condensed consolidated statements of financial condition.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2018 (the “Form 10-K”). All references to “2019,” “2018,” “third quarter,” “first nine months” or “the period” refer to, as the context requires, the three month and nine month periods ended September 30, 2019 and September 30,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or regional financial markets;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ability to deploy surplus cash through distributions to members, purchases of Class A common stock and debt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4" w:name="page45"/>
    <w:bookmarkEnd w:id="44"/>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impact of investments in our technology infrastructure and data science capabilities;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900" w:right="62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14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Our websites and social media sites and the information contained therein or connected thereto shall not be deemed to be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Form 10-Q.</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right="20" w:hanging="379"/>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restructurings, shareholder advisory, sovereign advisory, capital raising and other strategic advisory, and</w:t>
      </w:r>
    </w:p>
    <w:p>
      <w:pPr>
        <w:spacing w:after="0" w:line="73" w:lineRule="exact"/>
        <w:rPr>
          <w:rFonts w:ascii="Arial" w:cs="Arial" w:eastAsia="Arial" w:hAnsi="Arial"/>
          <w:sz w:val="18"/>
          <w:szCs w:val="18"/>
          <w:color w:val="auto"/>
        </w:rPr>
      </w:pPr>
    </w:p>
    <w:p>
      <w:pPr>
        <w:ind w:left="900" w:right="180" w:hanging="379"/>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83"/>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and (ii) a fund targeting significant noncontrolling-stake investments in established private companies. We also make investments to seed our Asset Management strategies.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On an ongoing basis, regional, macroeconomic and geopolitical factors, including trade policy and regional tax and regulatory reform, may impact our business. The U.S. economic expansion continues. The European economy’s growth rate remains low. Emerging markets as a group have experienced growth but also significant volatility. Global borrowing costs remain low.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760" w:right="80" w:hanging="374"/>
        <w:spacing w:after="0" w:line="272" w:lineRule="auto"/>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—The fundamentals for continued M&amp;A activity, including technological disruption and low interest rates, appear to remain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place. We believe our Financial Advisory business is in a strong competitive position as demand continues for expert, independent strategic advice that can be levered across geographies and our range of capabilities. The global scale and breadth of our Financial Advisory business allows us to advise on a wide range of strategic and restructuring transactions across a variety of industries. In addition, we believe our businesses throughout North America, Europe and the emerging markets position us for growth in these markets, while enhancing our relationships with, and the services that we can provide to, clients in other economies. We continue to invest in our Financial Advisory business by selectively hiring talented senior professionals and continuing to focus on our M&amp;A and other advisory services.</w:t>
      </w:r>
    </w:p>
    <w:p>
      <w:pPr>
        <w:spacing w:after="0" w:line="83" w:lineRule="exact"/>
        <w:rPr>
          <w:rFonts w:ascii="Arial" w:cs="Arial" w:eastAsia="Arial" w:hAnsi="Arial"/>
          <w:sz w:val="17"/>
          <w:szCs w:val="17"/>
          <w:color w:val="auto"/>
        </w:rPr>
      </w:pPr>
    </w:p>
    <w:p>
      <w:pPr>
        <w:ind w:left="760" w:right="80" w:hanging="374"/>
        <w:spacing w:after="0" w:line="253"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Asset Management</w:t>
      </w:r>
      <w:r>
        <w:rPr>
          <w:rFonts w:ascii="Arial" w:cs="Arial" w:eastAsia="Arial" w:hAnsi="Arial"/>
          <w:sz w:val="18"/>
          <w:szCs w:val="18"/>
          <w:color w:val="auto"/>
        </w:rPr>
        <w:t>—In the short to intermediate term, we expect most investor demand will come through financial institutions, and from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and defined contribution plans in developed economies because of their sheer scope and size. Over the longer term, and depending upon local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opportunities across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an International Value strategy, a Global Equity Franchise strategy, and a U.S. Systematic Equity strategy.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member returns, the evaluation of potential growth opportunities, the investment in new technology to support the development of existing and new business opportunities, the prudent management of our costs and expenses, the efficient use of our assets and the return of equity to our members.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the subset of completed transactions involving values greater than $500 million, decreased in the first nine months of 2019 as compared to 2018. With respect to announced M&amp;A transactions, the value and number of all transactions, including the subset of announced transactions involving values greater than $500 million, decreased in the first nine months of 2019 as compared to 2018.</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3"/>
              </w:rPr>
              <w:t>Nine Months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1"/>
                <w:szCs w:val="11"/>
                <w:color w:val="auto"/>
              </w:rPr>
            </w:pPr>
          </w:p>
        </w:tc>
        <w:tc>
          <w:tcPr>
            <w:tcW w:w="74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89"/>
              </w:rPr>
              <w:t>2018</w:t>
            </w:r>
          </w:p>
        </w:tc>
        <w:tc>
          <w:tcPr>
            <w:tcW w:w="88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1"/>
                <w:szCs w:val="11"/>
                <w:color w:val="auto"/>
              </w:rPr>
            </w:pPr>
          </w:p>
        </w:tc>
        <w:tc>
          <w:tcPr>
            <w:tcW w:w="820" w:type="dxa"/>
            <w:vAlign w:val="bottom"/>
            <w:vMerge w:val="restart"/>
          </w:tcPr>
          <w:p>
            <w:pPr>
              <w:jc w:val="center"/>
              <w:ind w:right="292"/>
              <w:spacing w:after="0"/>
              <w:rPr>
                <w:sz w:val="20"/>
                <w:szCs w:val="20"/>
                <w:color w:val="auto"/>
              </w:rPr>
            </w:pPr>
            <w:r>
              <w:rPr>
                <w:rFonts w:ascii="Arial" w:cs="Arial" w:eastAsia="Arial" w:hAnsi="Arial"/>
                <w:sz w:val="14"/>
                <w:szCs w:val="14"/>
                <w:b w:val="1"/>
                <w:bCs w:val="1"/>
                <w:color w:val="auto"/>
                <w:w w:val="89"/>
              </w:rPr>
              <w:t>2018</w:t>
            </w:r>
          </w:p>
        </w:tc>
        <w:tc>
          <w:tcPr>
            <w:tcW w:w="8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6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2,910</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7,816</w:t>
            </w:r>
          </w:p>
        </w:tc>
        <w:tc>
          <w:tcPr>
            <w:tcW w:w="30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8,337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24,873</w:t>
            </w:r>
          </w:p>
        </w:tc>
        <w:tc>
          <w:tcPr>
            <w:tcW w:w="3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27,173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638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2,258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311</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953</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876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3,236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8,443</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25,764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27,381</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649</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2,567</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Pr>
          <w:p>
            <w:pPr>
              <w:spacing w:after="0"/>
              <w:rPr>
                <w:sz w:val="20"/>
                <w:szCs w:val="20"/>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1,016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2090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October 1, 2019.</w:t>
      </w:r>
    </w:p>
    <w:p>
      <w:pPr>
        <w:spacing w:after="0" w:line="225"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Global restructuring activity during the first nine months of 2019, as measured by the number of corporate defaults, increased as compared to the first nine months of 2018. The number of defaulting issuers was 64 in the first nine months of 2019 according to Moody’s Investors Service, Inc, as compared to 62 in the first nine months of 2018.</w:t>
      </w:r>
    </w:p>
    <w:p>
      <w:pPr>
        <w:spacing w:after="0" w:line="18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jc w:val="both"/>
        <w:ind w:right="880" w:firstLine="518"/>
        <w:spacing w:after="0" w:line="264" w:lineRule="auto"/>
        <w:rPr>
          <w:sz w:val="20"/>
          <w:szCs w:val="20"/>
          <w:color w:val="auto"/>
        </w:rPr>
      </w:pPr>
      <w:r>
        <w:rPr>
          <w:rFonts w:ascii="Arial" w:cs="Arial" w:eastAsia="Arial" w:hAnsi="Arial"/>
          <w:sz w:val="18"/>
          <w:szCs w:val="18"/>
          <w:color w:val="auto"/>
        </w:rPr>
        <w:t>Equity market indices for major markets at September 30, 2019 generally increased as compared to such indices at December 31, 2018 and September 30, 2018. The percentage change in major equity market indices at September 30, 2019, as compared to such indices at June 30, 2019, December 31, 2018, and at September 30, 2018, is shown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Percentage Changes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September 30, 2019 vs.</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2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1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21%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bl>
    <w:p>
      <w:pPr>
        <w:spacing w:after="0" w:line="24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80" w:firstLine="51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83"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ind w:right="1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equity securities and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Although Corporate segment net revenue during 2019 is not significant compared to Lazard’s net revenue, total assets in the Corporate segment represented 65% of Lazard’s consolidated total assets as of September 30, 2019,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80" w:firstLine="518"/>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14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6" w:lineRule="exact"/>
        <w:rPr>
          <w:sz w:val="20"/>
          <w:szCs w:val="20"/>
          <w:color w:val="auto"/>
        </w:rPr>
      </w:pPr>
    </w:p>
    <w:p>
      <w:pPr>
        <w:ind w:left="900" w:right="120" w:hanging="379"/>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60" w:hanging="386"/>
        <w:spacing w:after="0" w:line="312" w:lineRule="auto"/>
        <w:tabs>
          <w:tab w:leader="none" w:pos="14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deferred incentive compensation awards granted in the year-end compensation process with respect to the fiscal year (</w:t>
      </w:r>
      <w:r>
        <w:rPr>
          <w:rFonts w:ascii="Arial" w:cs="Arial" w:eastAsia="Arial" w:hAnsi="Arial"/>
          <w:sz w:val="16"/>
          <w:szCs w:val="16"/>
          <w:i w:val="1"/>
          <w:iCs w:val="1"/>
          <w:color w:val="auto"/>
        </w:rPr>
        <w:t>e.g</w:t>
      </w:r>
      <w:r>
        <w:rPr>
          <w:rFonts w:ascii="Arial" w:cs="Arial" w:eastAsia="Arial" w:hAnsi="Arial"/>
          <w:sz w:val="16"/>
          <w:szCs w:val="16"/>
          <w:color w:val="auto"/>
        </w:rPr>
        <w:t>., deferred incentive compensation awards granted in 2019 related to the 2018 year-end compensation process), including performance-based restricted stock unit (“PRSU”) and performance-based restricted participation unit (“PRPU”) awards (based on the target payout level);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left="1420" w:right="440" w:hanging="386"/>
        <w:spacing w:after="0" w:line="277"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amounts in excess of the target payout level for PRSU and PRPU awards at the end of their respective performance periods; and</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66"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In 2019 and 2018, non-compensation expense included expenses related to the redemption of the Company’s 4.25% senior notes due 2020 (the “2020 Notes”).</w:t>
      </w:r>
    </w:p>
    <w:p>
      <w:pPr>
        <w:spacing w:after="0" w:line="173"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(benefits)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Realignment</w:t>
      </w:r>
    </w:p>
    <w:p>
      <w:pPr>
        <w:spacing w:after="0" w:line="2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conducted a review of our business, which resulted in a realignment that included employee reductions and the closing of subscale offices and investment strategies, most of which were completed during the third quarter of 2019. We believe these actions better align the business with changes in the marketplace and create greater flexibility to focus on strategic growth opportunities. These actions resulted in expenses of $51.5 million in the third quarter of 2019. See Note 16 of Notes to Condensed Consolidated Financial Statements.</w:t>
      </w: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5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See “Critical Accounting Policies and Estimates—Income Taxes” below and Note 17 of Notes to Condensed Consolidated Financial Statements for additional information regarding income taxes and our deferred tax assets.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and consolidated VIE interests held by employees. See Notes 13 and 21 of Notes to Condensed Consolidated Financial Statements for information regarding the Company’s noncontrolling interests and consolidated VIEs.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400" w:firstLine="518"/>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and nine month periods ended September 30, 2019 was negatively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588,018</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625,012</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1,842,170</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2,132,912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 (a):</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388,616</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342,294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1,129,316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1,160,216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60"/>
              <w:spacing w:after="0"/>
              <w:rPr>
                <w:sz w:val="20"/>
                <w:szCs w:val="20"/>
                <w:color w:val="auto"/>
              </w:rPr>
            </w:pPr>
            <w:r>
              <w:rPr>
                <w:rFonts w:ascii="Arial" w:cs="Arial" w:eastAsia="Arial" w:hAnsi="Arial"/>
                <w:sz w:val="18"/>
                <w:szCs w:val="18"/>
                <w:color w:val="auto"/>
              </w:rPr>
              <w:t>Non-compensation</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145,503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149,095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442,761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460,223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535,200</w:t>
            </w:r>
          </w:p>
        </w:tc>
        <w:tc>
          <w:tcPr>
            <w:tcW w:w="3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490,280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1,572,876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1,619,414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52,818</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134,732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269,294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513,498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Provision for income taxes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43,385</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109,339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226,597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438,045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41,893</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107,687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217,935</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433,008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See Note 16 of Notes to Condensed Consolidated Financial Statements for information regarding business realignment.</w:t>
      </w:r>
    </w:p>
    <w:p>
      <w:pPr>
        <w:spacing w:after="0" w:line="306"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Net revenue</w:t>
            </w:r>
          </w:p>
        </w:tc>
        <w:tc>
          <w:tcPr>
            <w:tcW w:w="1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588,018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625,012</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1,842,170</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2,132,912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Interest expense (a)</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19,407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14,069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bad debt expense (b)</w:t>
            </w: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(15,352)</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(25,880)</w:t>
            </w:r>
          </w:p>
        </w:tc>
        <w:tc>
          <w:tcPr>
            <w:tcW w:w="4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(52,822)</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(90,107)</w:t>
            </w: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(4,164)</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(4,512)</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(1,764)</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(3,647)</w:t>
            </w: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(22,118)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Private equity investment adjustment (e)</w:t>
            </w: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586,145</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605,042</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1,817,656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2,066,842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ind w:left="380" w:right="40" w:hanging="372"/>
        <w:spacing w:after="0" w:line="258"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9040" cy="8890"/>
                    </a:xfrm>
                    <a:prstGeom prst="rect">
                      <a:avLst/>
                    </a:prstGeom>
                    <a:noFill/>
                  </pic:spPr>
                </pic:pic>
              </a:graphicData>
            </a:graphic>
          </wp:anchor>
        </w:drawing>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1" w:lineRule="exact"/>
        <w:rPr>
          <w:rFonts w:ascii="Arial" w:cs="Arial" w:eastAsia="Arial" w:hAnsi="Arial"/>
          <w:sz w:val="18"/>
          <w:szCs w:val="18"/>
          <w:color w:val="auto"/>
        </w:rPr>
      </w:pPr>
    </w:p>
    <w:p>
      <w:pPr>
        <w:ind w:left="380" w:right="160" w:hanging="372"/>
        <w:spacing w:after="0" w:line="250"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excluded for purposes of determining adjusted non-compensation expense.</w:t>
      </w:r>
    </w:p>
    <w:p>
      <w:pPr>
        <w:ind w:left="380" w:right="220" w:hanging="372"/>
        <w:spacing w:after="0" w:line="250"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380" w:right="460" w:hanging="372"/>
        <w:spacing w:after="0" w:line="250"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write-down of a private equity investment to the potential transaction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388,616</w:t>
            </w:r>
          </w:p>
        </w:tc>
        <w:tc>
          <w:tcPr>
            <w:tcW w:w="22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342,294</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1,129,316</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1,160,216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business realignment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(49,119)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(49,119)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interests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(2,230)</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(2,410)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(8,028)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(Charges) credits pertaining to LFI (c)</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(3,647)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(22,118)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1,050,051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1,150,221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 as a % of operating</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expenses associated with business realignment.</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23" w:lineRule="exact"/>
        <w:rPr>
          <w:rFonts w:ascii="Arial" w:cs="Arial" w:eastAsia="Arial" w:hAnsi="Arial"/>
          <w:sz w:val="18"/>
          <w:szCs w:val="18"/>
          <w:color w:val="auto"/>
        </w:rPr>
      </w:pPr>
    </w:p>
    <w:p>
      <w:pPr>
        <w:ind w:left="380" w:hanging="372"/>
        <w:spacing w:after="0" w:line="276"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145,503</w:t>
            </w:r>
          </w:p>
        </w:tc>
        <w:tc>
          <w:tcPr>
            <w:tcW w:w="3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149,095</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442,761</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460,223</w:t>
            </w:r>
          </w:p>
        </w:tc>
        <w:tc>
          <w:tcPr>
            <w:tcW w:w="180" w:type="dxa"/>
            <w:vAlign w:val="bottom"/>
          </w:tcPr>
          <w:p>
            <w:pPr>
              <w:spacing w:after="0"/>
              <w:rPr>
                <w:sz w:val="19"/>
                <w:szCs w:val="19"/>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business realignment (a)</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(1,810)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associated with ERP system implementation (b)</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(2,363)</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(7,659)</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(13,193)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(20,489)</w:t>
            </w: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Expenses related to office space reorganization (c)</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(1,143)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(2,425)</w:t>
            </w:r>
          </w:p>
        </w:tc>
      </w:tr>
      <w:tr>
        <w:trPr>
          <w:trHeight w:val="215"/>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bad debt expense (d)</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(15,352)</w:t>
            </w: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(25,880)</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(52,822)</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(90,107)</w:t>
            </w: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Charges pertaining to senior debt refinancing (e)</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(6,523)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(6,505)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(6,523)</w:t>
            </w:r>
          </w:p>
        </w:tc>
      </w:tr>
      <w:tr>
        <w:trPr>
          <w:trHeight w:val="230"/>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interests (f)</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(397)</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(1,502)</w:t>
            </w:r>
          </w:p>
        </w:tc>
      </w:tr>
      <w:tr>
        <w:trPr>
          <w:trHeight w:val="263"/>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non-compensation expense</w:t>
            </w:r>
          </w:p>
        </w:tc>
        <w:tc>
          <w:tcPr>
            <w:tcW w:w="5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124,438</w:t>
            </w:r>
          </w:p>
        </w:tc>
        <w:tc>
          <w:tcPr>
            <w:tcW w:w="3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108,761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365,887</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339,177</w:t>
            </w:r>
          </w:p>
        </w:tc>
        <w:tc>
          <w:tcPr>
            <w:tcW w:w="180" w:type="dxa"/>
            <w:vAlign w:val="bottom"/>
            <w:tcBorders>
              <w:bottom w:val="single" w:sz="8" w:color="CFF0FC"/>
            </w:tcBorders>
          </w:tcPr>
          <w:p>
            <w:pPr>
              <w:spacing w:after="0"/>
              <w:rPr>
                <w:sz w:val="22"/>
                <w:szCs w:val="22"/>
                <w:color w:val="auto"/>
              </w:rPr>
            </w:pPr>
          </w:p>
        </w:tc>
      </w:tr>
      <w:tr>
        <w:trPr>
          <w:trHeight w:val="21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Adjusted non-compensation expense, as a % of operating revenue</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6"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expenses associated with business realignment.</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9" w:lineRule="exact"/>
        <w:rPr>
          <w:rFonts w:ascii="Arial" w:cs="Arial" w:eastAsia="Arial" w:hAnsi="Arial"/>
          <w:sz w:val="18"/>
          <w:szCs w:val="18"/>
          <w:color w:val="auto"/>
        </w:rPr>
      </w:pPr>
    </w:p>
    <w:p>
      <w:pPr>
        <w:ind w:left="380" w:right="160" w:hanging="372"/>
        <w:spacing w:after="0" w:line="250"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included for purposes of determining operating revenue.</w:t>
      </w:r>
    </w:p>
    <w:p>
      <w:pPr>
        <w:ind w:left="380" w:right="20" w:hanging="372"/>
        <w:spacing w:after="0" w:line="250"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2019 and 2018, represents charges pertaining to the redemption of the Company’s 2020 Notes due to the non-operating nature of such transaction. See “—Liquidity and Capital Resources—Financing Activities” below.</w:t>
      </w:r>
    </w:p>
    <w:p>
      <w:pPr>
        <w:ind w:left="380" w:hanging="372"/>
        <w:spacing w:after="0"/>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60" w:type="dxa"/>
            <w:vAlign w:val="bottom"/>
            <w:gridSpan w:val="9"/>
          </w:tcPr>
          <w:p>
            <w:pPr>
              <w:jc w:val="right"/>
              <w:ind w:right="102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586,145</w:t>
            </w:r>
          </w:p>
        </w:tc>
        <w:tc>
          <w:tcPr>
            <w:tcW w:w="100" w:type="dxa"/>
            <w:vAlign w:val="bottom"/>
          </w:tcPr>
          <w:p>
            <w:pPr>
              <w:spacing w:after="0"/>
              <w:rPr>
                <w:sz w:val="19"/>
                <w:szCs w:val="19"/>
                <w:color w:val="auto"/>
              </w:rPr>
            </w:pPr>
          </w:p>
        </w:tc>
        <w:tc>
          <w:tcPr>
            <w:tcW w:w="5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605,042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1,817,656</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2,066,842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Deduct: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(335,503)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(336,237)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(1,050,051)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(1,150,221)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2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(124,438)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(108,761)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(365,887)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126,204</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160,044</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401,718</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577,444</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6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79"/>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CFF0FC"/>
          </w:tcPr>
          <w:p>
            <w:pPr>
              <w:spacing w:after="0"/>
              <w:rPr>
                <w:sz w:val="18"/>
                <w:szCs w:val="18"/>
                <w:color w:val="auto"/>
              </w:rPr>
            </w:pPr>
          </w:p>
        </w:tc>
        <w:tc>
          <w:tcPr>
            <w:tcW w:w="10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gridSpan w:val="2"/>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9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jc w:val="right"/>
              <w:ind w:right="68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2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95"/>
              </w:rPr>
              <w:t>2019 (a)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Managing Directors: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Total Managing Directors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Business Segment Professionals and Support Staff:</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Financial Advisory</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Asset Management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3,064</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Includes the impact of business realignment as of September 30,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versus September 30, 2018</w:t>
      </w:r>
    </w:p>
    <w:p>
      <w:pPr>
        <w:spacing w:after="0" w:line="117" w:lineRule="exact"/>
        <w:rPr>
          <w:sz w:val="20"/>
          <w:szCs w:val="20"/>
          <w:color w:val="auto"/>
        </w:rPr>
      </w:pPr>
    </w:p>
    <w:p>
      <w:pPr>
        <w:ind w:right="900" w:firstLine="518"/>
        <w:spacing w:after="0" w:line="277" w:lineRule="auto"/>
        <w:rPr>
          <w:sz w:val="20"/>
          <w:szCs w:val="20"/>
          <w:color w:val="auto"/>
        </w:rPr>
      </w:pPr>
      <w:r>
        <w:rPr>
          <w:rFonts w:ascii="Arial" w:cs="Arial" w:eastAsia="Arial" w:hAnsi="Arial"/>
          <w:sz w:val="18"/>
          <w:szCs w:val="18"/>
          <w:color w:val="auto"/>
        </w:rPr>
        <w:t>The Company reported net income attributable to Lazard Group of $42 million, as compared to net income attributable to Lazard Group of $108 million in the 2018 period.</w:t>
      </w:r>
    </w:p>
    <w:p>
      <w:pPr>
        <w:spacing w:after="0" w:line="17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Net revenue decreased $37 million, or 6%, with operating revenue decreasing $19 million, or 3%, as compared to the 2018 period. Fee revenue from investment banking and other advisory activities decreased $6 million, or 2%, as compared to the 2018 period. Asset management fees, including incentive fees, decreased $26 million, or 8%, as compared to the 2018 period. In the aggregate, interest income, other revenue and interest expense decreased $6 million, as compared to the 2018 period.</w:t>
      </w:r>
    </w:p>
    <w:p>
      <w:pPr>
        <w:spacing w:after="0" w:line="18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Compensation and benefits expense (which included $49 million associated with business realignment in the 2019 period) increased $46 million, or 14%, as compared to the 2018 period.</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substantially unchanged as compared to the 2018 period. The ratio of adjusted compensation and benefits expense to operating revenue was 57.2% for the 2019 period, as compared to 55.6% for the 2018 period.</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Non-compensation expense decreased $4 million, or 2%, as compared to the 2018 period. Adjusted non-compensation expense increased $16 million, or 14%, as compared to the 2018 period primarily due to increased business development expenses. The ratio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of adjusted non-compensation expense to operating revenue was 21.2% for the 2019 period, as compared to 18.0% for the 2018 period.</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cost of $1 million in the 2019 period as compared to a benefit of $1 million in the 2018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$82 million, or 61%, as compared to the 2018 period.</w:t>
      </w:r>
    </w:p>
    <w:p>
      <w:pPr>
        <w:spacing w:after="0" w:line="22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Earnings from operations decreased $34 million, or 21%, as compared to the 2018 period, and, as a percentage of operating revenue, was 21.5%, as compared to 26.5% in the 2018 period.</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17.9%, as compared to 18.8% for the 2018 period. The decrease in the effective tax rate reflects the impact of discrete benefits in the 2019 and 2018 periods on relative operating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was substantially unchanged as compared to the 2018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September 30, 2018</w:t>
      </w:r>
    </w:p>
    <w:p>
      <w:pPr>
        <w:spacing w:after="0" w:line="117"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Company reported net income attributable to Lazard Group of $218 million, as compared to net income attributable to Lazard Group of $433 million in the 2018 period.</w:t>
      </w:r>
    </w:p>
    <w:p>
      <w:pPr>
        <w:spacing w:after="0" w:line="170"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Net revenue decreased $291 million, or 14%, with operating revenue decreasing $249 million, or 12%, as compared to the 2018 period. Fee revenue from investment banking and other advisory activities decreased $186 million, or 16%, as compared to the 2018 period. Asset management fees, including incentive fees, decreased $111 million, or 11%, as compared to the 2018 period. In the aggregate, interest income, other revenue and interest expense increased $6 million, as compared to the 2018 period.</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Compensation and benefits expense (which included $49 million associated with business realignment in the 2019 period) decreased $31 million, or 3%, as compared to the 2018 period, primarily associated with decreased operating revenue.</w:t>
      </w:r>
    </w:p>
    <w:p>
      <w:pPr>
        <w:spacing w:after="0" w:line="170"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 periods, as described above) was $1,050 million, a decrease of $100 million, or 9%, as compared to $1,150 million in the 2018 period. The ratio of adjusted compensation and benefits expense to operating revenue was 57.8% for the 2019 period, as compared to 55.7% for the 2018 period.</w:t>
      </w:r>
    </w:p>
    <w:p>
      <w:pPr>
        <w:spacing w:after="0" w:line="16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Non-compensation expense decreased $17 million, or 4%, as compared to the 2018 period, primarily due to higher bad debt expense in the 2018 period and lower fund administration fees in the 2019 period, partially offset by investments in technology infrastructure and increased business development expenses in the 2019 period. Adjusted non-compensation expense increased $27 million, or 8%, as compared to the 2018 period, primarily due to investments in technology infrastructure and increased business development expenses in the 2019 period. The ratio of adjusted non-compensation expense to operating revenue was 20.1% for the 2019 period, as compared to 16.4% in the 2018 period.</w:t>
      </w:r>
    </w:p>
    <w:p>
      <w:pPr>
        <w:spacing w:after="0" w:line="18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cost of $1 million in the 2019 period, as compared to a benefit of $1 million in the 2018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$244 million, or 48%, as compared to the 2018 period.</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Earnings from operations decreased $176 million, or 30%, as compared to the 2018 period, and, as a percentage of operating revenue, was 22.1%, as compared to 27.9% in the 2018 period.</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15.9%, as compared to 14.7% for the 2018 period. The increase in the effective tax rate is primarily due to a reduction in excess net tax benefits related to share-based incentive compensation.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increased $4 million as compared to the 2018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 following is a discussion of net revenue and operating income for the Company’s segments: Financial Advisory, Asset Management and Corporate. Each segment’s operating expenses include (i) compensation and benefits expenses that are incurred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ind w:right="60"/>
        <w:spacing w:after="0" w:line="297" w:lineRule="auto"/>
        <w:rPr>
          <w:sz w:val="20"/>
          <w:szCs w:val="20"/>
          <w:color w:val="auto"/>
        </w:rPr>
      </w:pPr>
      <w:r>
        <w:rPr>
          <w:rFonts w:ascii="Arial" w:cs="Arial" w:eastAsia="Arial" w:hAnsi="Arial"/>
          <w:sz w:val="16"/>
          <w:szCs w:val="16"/>
          <w:color w:val="auto"/>
        </w:rPr>
        <w:t>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19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left="399"/>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304,174</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309,846</w:t>
            </w:r>
          </w:p>
        </w:tc>
        <w:tc>
          <w:tcPr>
            <w:tcW w:w="2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953,863</w:t>
            </w:r>
          </w:p>
        </w:tc>
        <w:tc>
          <w:tcPr>
            <w:tcW w:w="2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1,137,781</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 (a)</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303,966</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253,602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847,322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900,397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56,244</w:t>
            </w:r>
          </w:p>
        </w:tc>
        <w:tc>
          <w:tcPr>
            <w:tcW w:w="2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106,541</w:t>
            </w:r>
          </w:p>
        </w:tc>
        <w:tc>
          <w:tcPr>
            <w:tcW w:w="2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237,384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2440" w:hanging="512"/>
        <w:spacing w:after="0" w:line="600"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See Note 16 of Notes to Condensed Consolidated Financial Statements for information regarding business realignment. Certain Lazard fee and transaction statistics for the Financial Advisory segment are set forth below:</w:t>
      </w: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50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Number of clients with fees greater than $1 million: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79"/>
              </w:rPr>
              <w:t>69</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80</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FF0FC"/>
          </w:tcPr>
          <w:p>
            <w:pPr>
              <w:spacing w:after="0"/>
              <w:rPr>
                <w:sz w:val="19"/>
                <w:szCs w:val="19"/>
                <w:color w:val="auto"/>
              </w:rPr>
            </w:pPr>
          </w:p>
        </w:tc>
      </w:tr>
      <w:tr>
        <w:trPr>
          <w:trHeight w:val="215"/>
        </w:trPr>
        <w:tc>
          <w:tcPr>
            <w:tcW w:w="6540" w:type="dxa"/>
            <w:vAlign w:val="bottom"/>
            <w:gridSpan w:val="3"/>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40" w:type="dxa"/>
            <w:vAlign w:val="bottom"/>
            <w:gridSpan w:val="3"/>
          </w:tcPr>
          <w:p>
            <w:pPr>
              <w:ind w:left="140"/>
              <w:spacing w:after="0"/>
              <w:rPr>
                <w:sz w:val="20"/>
                <w:szCs w:val="20"/>
                <w:color w:val="auto"/>
              </w:rPr>
            </w:pPr>
            <w:r>
              <w:rPr>
                <w:rFonts w:ascii="Arial" w:cs="Arial" w:eastAsia="Arial" w:hAnsi="Arial"/>
                <w:sz w:val="18"/>
                <w:szCs w:val="18"/>
                <w:color w:val="auto"/>
              </w:rPr>
              <w:t>clients</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44%</w:t>
            </w:r>
          </w:p>
        </w:tc>
        <w:tc>
          <w:tcPr>
            <w:tcW w:w="82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29%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5"/>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5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79"/>
              </w:rPr>
              <w:t>13</w:t>
            </w: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20</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October 1, 2019.</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Canada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EMEA</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versus September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Advisory net revenue decreased $6 million, or 2%, as compared to the 2018 period.</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Operating expenses (which included $36 million associated with business realignment in the 2019 period) increased $50 million, or 20%, as compared to the 2018 period.</w:t>
      </w:r>
    </w:p>
    <w:p>
      <w:pPr>
        <w:spacing w:after="0" w:line="1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Financial Advisory operating income was $0.2 million, a decrease of $56 million, or 100%, as compared to operating income of $56 million in the 2018 period and, as a percentage of net revenue, was 0.1%, as compared to 18.2% in the 2018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September 30, 2018</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Financial Advisory net revenue decreased $184 million, or 16%, as compared to the 2018 period. The decrease in Financial Advisory revenue was primarily a result of a decrease in the number of fees greater than $5 million, as compared to the 2018 period.</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Operating expenses (which included $36 million associated with business realignment in the 2019 period) decreased $53 million, or 6%, as compared to the 2018 period, primarily due to a decrease in compensation associated with decreased operating revenue.</w:t>
      </w:r>
    </w:p>
    <w:p>
      <w:pPr>
        <w:spacing w:after="0" w:line="17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Financial Advisory operating income was $107 million, a decrease of $131 million, or 55%, as compared to operating income of $237 million in the 2018 period and, as a percentage of net revenue, was 11.2%, as compared to 20.9% in the 2018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2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38,385</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46,539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41,490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188,455</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8,433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37,722</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230,874</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Total AUM at September 30, 2019 was $231 billion, an increase of $16 billion, or 8%, as compared to total AUM of $215 billion at December 31, 2018 due to market appreciation, partially offset by net outflows and foreign exchange depreciation.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ind w:right="120"/>
        <w:spacing w:after="0" w:line="277" w:lineRule="auto"/>
        <w:rPr>
          <w:sz w:val="20"/>
          <w:szCs w:val="20"/>
          <w:color w:val="auto"/>
        </w:rPr>
      </w:pPr>
      <w:r>
        <w:rPr>
          <w:rFonts w:ascii="Arial" w:cs="Arial" w:eastAsia="Arial" w:hAnsi="Arial"/>
          <w:sz w:val="18"/>
          <w:szCs w:val="18"/>
          <w:color w:val="auto"/>
        </w:rPr>
        <w:t>Average AUM for the three month and nine month periods ended September 30, 2019 decreased 3% and 6% as compared to the three month and nine month periods ended September 30, 2018, respectively.</w:t>
      </w:r>
    </w:p>
    <w:p>
      <w:pPr>
        <w:spacing w:after="0" w:line="170"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As of September 30, 2019, approximately 86% of our AUM was managed on behalf of institutional clients, including corporations, labor unions, public pension funds, insurance companies and banks, and through sub-advisory relationships, mutual fund sponsors, broker-dealers and registered advisors, as compared to approximately 88% as of December 31, 2018. As of September 30, 2019, approximately 14% of our AUM was managed on behalf of individual client relationships, which are principally with family offices and individuals, as compared to 12% as of December 31, 2018.</w:t>
      </w:r>
    </w:p>
    <w:p>
      <w:pPr>
        <w:spacing w:after="0" w:line="171"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As of September 30, 2019, AUM with foreign currency exposure represented approximately 68% of our total AUM, as compared to approximately 70% as of December 31, 2018.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is a summary of changes in AUM by asset class for the three month and nine month periods ended September 30, 2019 and 2018:</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w w:val="96"/>
              </w:rPr>
              <w:t>Three Months Ended September 30, 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(10,145)</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(4,129)</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237,466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right="80" w:hanging="374"/>
        <w:spacing w:after="0" w:line="259"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Multi-Regional and Emerging Markets platforms, and inflows in the Fixed Income asset class were primarily attributable to the Global and Multi-Regional platforms. Outflows in the Equity asset class were primarily attributable to the Emerging Markets, Multi-Regional and Global platforms, and outflows in the Fixed Income asset class were primarily attributable to the Emerging Markets platform.</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right"/>
              <w:ind w:right="250"/>
              <w:spacing w:after="0"/>
              <w:rPr>
                <w:sz w:val="20"/>
                <w:szCs w:val="20"/>
                <w:color w:val="auto"/>
              </w:rPr>
            </w:pPr>
            <w:r>
              <w:rPr>
                <w:rFonts w:ascii="Arial" w:cs="Arial" w:eastAsia="Arial" w:hAnsi="Arial"/>
                <w:sz w:val="14"/>
                <w:szCs w:val="14"/>
                <w:b w:val="1"/>
                <w:bCs w:val="1"/>
                <w:color w:val="auto"/>
                <w:w w:val="98"/>
              </w:rPr>
              <w:t>Nine Months Ended September 30, 2019</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(28,763)</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(11,117)</w:t>
            </w: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(3,422)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(934)</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right="20" w:hanging="374"/>
        <w:spacing w:after="0" w:line="259"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Multi-Regional and Emerging Markets platforms, and inflows in the Fixed Income asset class were primarily attributable to the Global, Multi-Regional and Emerging Markets platforms. Outflows in the Equity asset class were primarily attributable to the Emerging Markets, Global and Multi-Regional platforms, and outflows in the Fixed Income asset class were primarily attributable to the Emerging Markets and Global platforms.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w w:val="99"/>
              </w:rPr>
              <w:t>Three Months Ended September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(7,704)</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(563)</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55</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rPr>
              <w:t>Nine Months Ended September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(28,157)</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(3,308)</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(6,052)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(1,383)</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20" w:firstLine="518"/>
        <w:spacing w:after="0" w:line="308" w:lineRule="auto"/>
        <w:rPr>
          <w:sz w:val="20"/>
          <w:szCs w:val="20"/>
          <w:color w:val="auto"/>
        </w:rPr>
      </w:pPr>
      <w:r>
        <w:rPr>
          <w:rFonts w:ascii="Arial" w:cs="Arial" w:eastAsia="Arial" w:hAnsi="Arial"/>
          <w:sz w:val="17"/>
          <w:szCs w:val="17"/>
          <w:color w:val="auto"/>
        </w:rPr>
        <w:t>As of October 25, 2019, AUM was $234.8 billion, a $3.9 billion increase since September 30, 2019. The increase in AUM was due to market appreciation of $2.2 billion and foreign exchange appreciation of $2.1 billion, partially offset by net outflows of $0.4 billion.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Average AUM for the three month and nine month periods ended September 30, 2019 and 2018 for each significant asset class is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Average AUM generally represents the average of the monthly ending AUM balances for the period.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191,434</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200,864</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192,219</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206,629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35,723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233,878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239,897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232,885</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19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19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0"/>
                <w:szCs w:val="20"/>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300,015</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325,240</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917,439</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1,032,111</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 (a)</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225,819</w:t>
            </w:r>
          </w:p>
        </w:tc>
        <w:tc>
          <w:tcPr>
            <w:tcW w:w="3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211,564</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652,188</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670,794</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74,196</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113,676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265,251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361,317</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r>
      <w:tr>
        <w:trPr>
          <w:trHeight w:val="20"/>
        </w:trPr>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See Note 16 of Notes to Condensed Consolidated Financial Statements for information regarding business realignment.</w:t>
      </w:r>
    </w:p>
    <w:p>
      <w:pPr>
        <w:spacing w:after="0" w:line="200" w:lineRule="exact"/>
        <w:rPr>
          <w:sz w:val="20"/>
          <w:szCs w:val="20"/>
          <w:color w:val="auto"/>
        </w:rPr>
      </w:pPr>
    </w:p>
    <w:p>
      <w:pPr>
        <w:spacing w:after="0" w:line="282"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EMEA</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9"/>
        </w:trPr>
        <w:tc>
          <w:tcPr>
            <w:tcW w:w="6540" w:type="dxa"/>
            <w:vAlign w:val="bottom"/>
            <w:gridSpan w:val="2"/>
          </w:tcPr>
          <w:p>
            <w:pPr>
              <w:ind w:left="562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58" w:name="page59"/>
    <w:bookmarkEnd w:id="58"/>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versus September 30, 2018</w:t>
      </w:r>
    </w:p>
    <w:p>
      <w:pPr>
        <w:spacing w:after="0" w:line="11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Asset Management net revenue decreased $25 million, or 8%, as compared to the 2018 period. Management fees and other revenue was $299 million, a decrease of $24 million, or 8%, as compared to $323 million in the 2018 period, due to a decrease in average AUM and change in asset mix. Incentive fees were $1 million, a decrease of $1 million as compared to $2 million in the 2018 period.</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Operating expenses (which included $14 million associated with business realignment in the 2019 period) increased $14 million, or 7%, as compared to the 2018 period.</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Asset Management operating income was $74 million, a decrease of $39 million, or 35%, as compared to operating income of $114 million in the 2018 period and, as a percentage of net revenue, was 24.7%, as compared to 35.0% in the 2018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September 30, 2018</w:t>
      </w:r>
    </w:p>
    <w:p>
      <w:pPr>
        <w:spacing w:after="0" w:line="117"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Asset Management net revenue decreased $115 million, or 11%, as compared to the 2018 period. Management fees and other revenue was $910 million, a decrease of $102 million, or 10%, as compared to $1,012 million in the 2018 period, due to a decrease in average AUM and change in asset mix. Incentive fees were $7 million, a decrease of $13 million as compared to $20 million in the 2018 period.</w:t>
      </w:r>
    </w:p>
    <w:p>
      <w:pPr>
        <w:spacing w:after="0" w:line="166"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Operating expenses (which included $14 million associated with business realignment in the 2019 period) decreased $19 million, or 3%, as compared to the 2018 period, primarily due to a decrease in compensation and benefits expense associated with decreased operating revenue, as well as lower fund administration fees.</w:t>
      </w:r>
    </w:p>
    <w:p>
      <w:pPr>
        <w:spacing w:after="0" w:line="18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Asset Management operating income was $265 million, a decrease of $96 million, or 27%, as compared to operating income of $361 million in the 2018 period and, as a percentage of net revenue, was 28.9%, as compared to 35.0% in the 2018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8,845</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(19,684)</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(14,217)</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(41,726)</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(16,627)</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(11,543)</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(48,666)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Revenue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(2,080)</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(16,171)</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(10,074)</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25,114</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48,223</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(21,586)</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(35,188)</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(102,498)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versus September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$5 million, or 44%, as compared to the 2018 period.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9" w:name="page60"/>
    <w:bookmarkEnd w:id="59"/>
    <w:p>
      <w:pPr>
        <w:ind w:left="520"/>
        <w:spacing w:after="0"/>
        <w:rPr>
          <w:sz w:val="20"/>
          <w:szCs w:val="20"/>
          <w:color w:val="auto"/>
        </w:rPr>
      </w:pPr>
      <w:r>
        <w:rPr>
          <w:rFonts w:ascii="Arial" w:cs="Arial" w:eastAsia="Arial" w:hAnsi="Arial"/>
          <w:sz w:val="18"/>
          <w:szCs w:val="18"/>
          <w:color w:val="auto"/>
        </w:rPr>
        <w:t>Other revenue decreased $1 million as compared to the 2018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expenses decreased $20 million as compared to the 2018 period, primarily due to a decrease in compensation and benefits expense.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September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$14 million, or 39%, as compared to the 2018 period.</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Other revenue increased $22 million as compared to the 2018 period, primarily due to higher income in the 2019 period attributable to investments held in connection with LFI.</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Operating expenses increased $25 million as compared to the 2018 period, primarily due to an increase in compensation and benefits expense, which reflected an increase in charges pertaining to LFI.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Cash flows were also affected in 2018 by Lazard Group’s issuance of $500 million aggregate principal amount of its 4.50% senior notes maturing in 2028 (the “2028 Notes”) and the redemption of a portion of the 2020 Notes, and in 2019 by Lazard Group’s issuance of $500 million aggregate principal amount of its 4.375% senior notes maturing in 2029 (the “2029 Notes”) and the redemption of the 2020 Notes.</w:t>
      </w:r>
    </w:p>
    <w:p>
      <w:pPr>
        <w:spacing w:after="0" w:line="17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8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00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Operating activities:</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(460)</w:t>
            </w:r>
          </w:p>
        </w:tc>
      </w:tr>
      <w:tr>
        <w:trPr>
          <w:trHeight w:val="223"/>
        </w:trPr>
        <w:tc>
          <w:tcPr>
            <w:tcW w:w="79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FF0FC"/>
            </w:tcBorders>
          </w:tcPr>
          <w:p>
            <w:pPr>
              <w:spacing w:after="0"/>
              <w:rPr>
                <w:sz w:val="19"/>
                <w:szCs w:val="19"/>
                <w:color w:val="auto"/>
              </w:rPr>
            </w:pPr>
          </w:p>
        </w:tc>
      </w:tr>
      <w:tr>
        <w:trPr>
          <w:trHeight w:val="223"/>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Financing activities (c)</w:t>
            </w:r>
          </w:p>
        </w:tc>
        <w:tc>
          <w:tcPr>
            <w:tcW w:w="10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FF0FC"/>
            </w:tcBorders>
          </w:tcPr>
          <w:p>
            <w:pPr>
              <w:spacing w:after="0"/>
              <w:rPr>
                <w:sz w:val="19"/>
                <w:szCs w:val="19"/>
                <w:color w:val="auto"/>
              </w:rPr>
            </w:pPr>
          </w:p>
        </w:tc>
      </w:tr>
      <w:tr>
        <w:trPr>
          <w:trHeight w:val="223"/>
        </w:trPr>
        <w:tc>
          <w:tcPr>
            <w:tcW w:w="79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5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426"/>
        </w:trPr>
        <w:tc>
          <w:tcPr>
            <w:tcW w:w="7900" w:type="dxa"/>
            <w:vAlign w:val="bottom"/>
            <w:gridSpan w:val="2"/>
          </w:tcPr>
          <w:p>
            <w:pPr>
              <w:ind w:left="5620"/>
              <w:spacing w:after="0"/>
              <w:rPr>
                <w:sz w:val="20"/>
                <w:szCs w:val="20"/>
                <w:color w:val="auto"/>
              </w:rPr>
            </w:pPr>
            <w:r>
              <w:rPr>
                <w:rFonts w:ascii="Arial" w:cs="Arial" w:eastAsia="Arial" w:hAnsi="Arial"/>
                <w:sz w:val="18"/>
                <w:szCs w:val="18"/>
                <w:color w:val="auto"/>
              </w:rPr>
              <w:t>58</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Consists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3"/>
                <w:szCs w:val="13"/>
                <w:color w:val="auto"/>
              </w:rPr>
            </w:pPr>
          </w:p>
        </w:tc>
      </w:tr>
      <w:tr>
        <w:trPr>
          <w:trHeight w:val="156"/>
        </w:trPr>
        <w:tc>
          <w:tcPr>
            <w:tcW w:w="6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70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Noncash lease expense</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8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Deferred tax benefit</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other acquisition-related (benefits) costs</w:t>
            </w:r>
          </w:p>
        </w:tc>
        <w:tc>
          <w:tcPr>
            <w:tcW w:w="8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extinguishment of debt</w:t>
            </w:r>
          </w:p>
        </w:tc>
        <w:tc>
          <w:tcPr>
            <w:tcW w:w="8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r>
      <w:tr>
        <w:trPr>
          <w:trHeight w:val="223"/>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right="60" w:hanging="372"/>
        <w:spacing w:after="0" w:line="250"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vested restricted stock awards and vested PRSUs, changes in customer deposits, distributions to members and noncontrolling interest holders and activity relating to borrowings (including in 2019 and 2018, the redemption of the 2020 Notes and the issuance of the 2029 and 2028 Notes, respectively).</w:t>
      </w:r>
    </w:p>
    <w:p>
      <w:pPr>
        <w:spacing w:after="0" w:line="1" w:lineRule="exact"/>
        <w:rPr>
          <w:rFonts w:ascii="Arial" w:cs="Arial" w:eastAsia="Arial" w:hAnsi="Arial"/>
          <w:sz w:val="18"/>
          <w:szCs w:val="18"/>
          <w:color w:val="auto"/>
        </w:rPr>
      </w:pPr>
    </w:p>
    <w:p>
      <w:pPr>
        <w:ind w:left="380" w:right="100" w:hanging="372"/>
        <w:spacing w:after="0" w:line="261"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certain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nine months of 2019, as reflected on the condensed consolidated statements of financial condition, both “deposits with banks and short-term investments” and “deposits and other customer payables” increased as compared to December 31, 2018, due to a higher level of LFB customer-related demand deposits, primarily from clients and funds managed by LFG.</w:t>
      </w:r>
    </w:p>
    <w:p>
      <w:pPr>
        <w:spacing w:after="0" w:line="1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regularly monitor our liquidity position, including cash levels, investments in U.S. Treasury securities, credit lines, principal investment commitments, interest and principal payments on debt, capital expenditures, distributions to members, purchases of shares of Class A common stock and matters relating to liquidity and to compliance with regulatory net capital requirements. At September 30, 2019, Lazard had approximately $928 million of cash, with such amount including approximately $483 million held at Lazard’s operations outside the U.S. Lazard provides for income taxes on substantially all of its foreign earnings. We expect that no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material amount of additional taxes would be recognized upon receipt of dividends or distributions of such earnings from our foreign operations.</w:t>
      </w:r>
    </w:p>
    <w:p>
      <w:pPr>
        <w:spacing w:after="0" w:line="225"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September 30, 2019, Lazard had approximately $167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$16 million.</w:t>
      </w:r>
    </w:p>
    <w:p>
      <w:pPr>
        <w:spacing w:after="0" w:line="18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table below sets forth our corporate indebtedness as of September 30, 2019 and December 31, 2018. The agreements with respect to this indebtedness are discussed in more detail in our condensed consolidated financial statements and related notes included elsewhere in this Form 10-Q and in our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2019</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2028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2029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During March 2019, Lazard Group completed an offering of the 2029 Notes. Lazard Group used a portion of the net proceeds of the 2029 Notes to redeem or otherwise retire the remaining 2020 Notes in transactions that occurred during March 2019 and April 2019.</w:t>
      </w:r>
    </w:p>
    <w:p>
      <w:pPr>
        <w:spacing w:after="0" w:line="23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During September 2018, Lazard Group completed an offering of the 2028 Notes. Lazard Group used a portion of the net proceeds of the 2028 Notes to redeem or otherwise retire $250 million of the 2020 Notes.</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of Notes to Condensed Consolidated Financial Statements.</w:t>
      </w:r>
    </w:p>
    <w:p>
      <w:pPr>
        <w:spacing w:after="0" w:line="22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September 30, 2019, Lazard Group was in compliance with such ratios, with its Consolidated Leverage Ratio being 1.78 to 1.00 and its Consolidated Interest Coverage Ratio being 13.99 to 1.00. In any event, no amounts were outstanding under the Amended and Restated Credit Agreement as of September 30,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ind w:right="100" w:firstLine="51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September 30, 2019,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At September 30, 2019, total members’ equity was $315 million, as compared to $583 million at December 31, 2018, including $250 million and $530 million attributable to Lazard Group on the respective dates. The net activity in members’ equity during the nine month period ended September 30, 2019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Members’ Equity - January 1, 2019</w:t>
            </w:r>
          </w:p>
        </w:tc>
        <w:tc>
          <w:tcPr>
            <w:tcW w:w="7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Purchase of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Distributions to members and noncontrolling interests, net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Members’ Equity - September 30, 2019</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570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5,797,789</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2019</w:t>
            </w:r>
          </w:p>
        </w:tc>
        <w:tc>
          <w:tcPr>
            <w:tcW w:w="57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11,946,943</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September 30, 2019, a total of $165 million of share repurchase authorization remained available under Lazard Ltd’s share repurchase program, all of which will expire on December 31, 2020.</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addition, on October 30, 2019, the Board of Directors of Lazard authorized the repurchase of up to $300 million of additional shares of Class A common stock, which authorization will expire on December 31, 2021, bringing the total available share repurchase authorization as of October 30, 2019 to approximately $437 million.</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During the nine month period ended September 30, 2019, Lazard Ltd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October 31, 2019, Lazard Group distributed to its managing members, which are subsidiaries of Lazard Ltd, 17,000,000 shares of Class A common stock that were held by Lazard Group. These shares were ultimately received by Lazard Ltd and cancelled. There was no impact on total members' equity as a result of this distribution.</w:t>
      </w:r>
    </w:p>
    <w:p>
      <w:pPr>
        <w:spacing w:after="0" w:line="181"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Class A common stock, distributions to members and noncontrolling interest holders and repurchasing its outstanding debt.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right="300" w:firstLine="518"/>
        <w:spacing w:after="0" w:line="277" w:lineRule="auto"/>
        <w:rPr>
          <w:sz w:val="20"/>
          <w:szCs w:val="20"/>
          <w:color w:val="auto"/>
        </w:rPr>
      </w:pPr>
      <w:r>
        <w:rPr>
          <w:rFonts w:ascii="Arial" w:cs="Arial" w:eastAsia="Arial" w:hAnsi="Arial"/>
          <w:sz w:val="18"/>
          <w:szCs w:val="18"/>
          <w:color w:val="auto"/>
        </w:rPr>
        <w:t>See Notes 13 and 14 of Notes to Condensed Consolidated Financial Statements for additional information regarding Lazard’s members’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19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2,273,667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$20,353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807,130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22,394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169,129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128,500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3,089,061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100,908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309,629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269,000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140" w:hanging="372"/>
        <w:spacing w:after="0" w:line="259"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the 2029 Notes. Interest on the 2029 Notes is payable semi-annually on March 11 and September 11 of each year, beginning September 11, 2019. Lazard Group used a portion of the net proceeds of the 2029 Notes during March and April 2019 to redeem or otherwise retire the remaining $250,000 of the 2020 Notes. See Note 11 of Notes to Condensed Consolidated Financial Statements.</w:t>
      </w:r>
    </w:p>
    <w:p>
      <w:pPr>
        <w:spacing w:after="0" w:line="24" w:lineRule="exact"/>
        <w:rPr>
          <w:rFonts w:ascii="Arial" w:cs="Arial" w:eastAsia="Arial" w:hAnsi="Arial"/>
          <w:sz w:val="18"/>
          <w:szCs w:val="18"/>
          <w:color w:val="auto"/>
        </w:rPr>
      </w:pPr>
    </w:p>
    <w:p>
      <w:pPr>
        <w:ind w:left="380" w:hanging="372"/>
        <w:spacing w:after="0" w:line="264"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$13,400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19" w:lineRule="exact"/>
        <w:rPr>
          <w:rFonts w:ascii="Arial" w:cs="Arial" w:eastAsia="Arial" w:hAnsi="Arial"/>
          <w:sz w:val="18"/>
          <w:szCs w:val="18"/>
          <w:color w:val="auto"/>
        </w:rPr>
      </w:pPr>
    </w:p>
    <w:p>
      <w:pPr>
        <w:ind w:left="380" w:right="200" w:hanging="372"/>
        <w:spacing w:after="0" w:line="312" w:lineRule="auto"/>
        <w:tabs>
          <w:tab w:leader="none" w:pos="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12, 14, 15, and 17 of Notes to Condensed Consolidated Financial Statements regarding information in connection with commitments, incentive plans, employee benefit plans and income taxes,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2018, on a consolidated basis, we recorded gross deferred tax assets of approximately $144 million, with such amount partially offset by a valuation allowance of approximately $68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5" w:name="page66"/>
    <w:bookmarkEnd w:id="65"/>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$68 million of deferred tax assets held by these entities as of December 31, 2018.</w:t>
      </w:r>
    </w:p>
    <w:p>
      <w:pPr>
        <w:spacing w:after="0" w:line="173"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17 of Notes to Condensed Consolidated Financial Statements for additional information related to income taxes.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00" w:type="dxa"/>
            <w:vAlign w:val="bottom"/>
            <w:gridSpan w:val="2"/>
          </w:tcPr>
          <w:p>
            <w:pPr>
              <w:ind w:left="260"/>
              <w:spacing w:after="0"/>
              <w:rPr>
                <w:sz w:val="20"/>
                <w:szCs w:val="20"/>
                <w:color w:val="auto"/>
              </w:rPr>
            </w:pPr>
            <w:r>
              <w:rPr>
                <w:rFonts w:ascii="Arial" w:cs="Arial" w:eastAsia="Arial" w:hAnsi="Arial"/>
                <w:sz w:val="18"/>
                <w:szCs w:val="18"/>
                <w:color w:val="auto"/>
              </w:rPr>
              <w:t>Equities (a)</w:t>
            </w:r>
          </w:p>
        </w:tc>
        <w:tc>
          <w:tcPr>
            <w:tcW w:w="2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82,794</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73,410</w:t>
            </w: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9,548</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Alternative investments</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117,906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90,089</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41,788</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 and other (c)</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124,273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226,346</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investments owned</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153,853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268,644</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271,759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358,733</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Add:</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(d)</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14,555</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(e)</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250,673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201,860</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535,848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At September 30, 2019 and December 31, 2018, seed investments in directly owned equity securities were invested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1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Financials</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Industrial</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r>
      <w:tr>
        <w:trPr>
          <w:trHeight w:val="223"/>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17"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$25 million and $27 million as of September 30, 2019 and December 31, 2018, respectively.</w:t>
      </w:r>
    </w:p>
    <w:p>
      <w:pPr>
        <w:ind w:left="380" w:right="480" w:hanging="372"/>
        <w:spacing w:after="0" w:line="277"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September 30, 2019 and December 31, 2018, includes investments in U.S. Treasury securities of approximately $100 million and $200 million, respectively, with original maturities of greater than three months and less than one year.</w:t>
      </w:r>
    </w:p>
    <w:p>
      <w:pPr>
        <w:spacing w:after="0" w:line="8" w:lineRule="exact"/>
        <w:rPr>
          <w:rFonts w:ascii="Arial" w:cs="Arial" w:eastAsia="Arial" w:hAnsi="Arial"/>
          <w:sz w:val="18"/>
          <w:szCs w:val="18"/>
          <w:color w:val="auto"/>
        </w:rPr>
      </w:pPr>
    </w:p>
    <w:p>
      <w:pPr>
        <w:ind w:left="380" w:right="160" w:hanging="372"/>
        <w:spacing w:after="0" w:line="264"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19" w:lineRule="exact"/>
        <w:rPr>
          <w:rFonts w:ascii="Arial" w:cs="Arial" w:eastAsia="Arial" w:hAnsi="Arial"/>
          <w:sz w:val="18"/>
          <w:szCs w:val="18"/>
          <w:color w:val="auto"/>
        </w:rPr>
      </w:pPr>
    </w:p>
    <w:p>
      <w:pPr>
        <w:ind w:left="380" w:right="20" w:hanging="372"/>
        <w:spacing w:after="0" w:line="297"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$89 million in eight entities as of September 30, 2019, as compared to $69 million in three entities as of December 31, 2018.</w:t>
      </w:r>
    </w:p>
    <w:p>
      <w:pPr>
        <w:spacing w:after="0" w:line="15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At September 30, 2019 and December 31, 2018, total investments with a fair value of $535 million and $575 million, respectively, included $51 million and $57 million, respectively, or 10% in both periods,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September 30, 2019 and December 31, 2018, the Company held seed investments of approximately $118 million and $90 million, respectively. Seed investments held in entities in which the Company maintained a controlling interest were $58 million in eight entities as of September 30, 2019, as compared to $31 million in eight entities as of December 31,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ind w:right="60" w:firstLine="518"/>
        <w:spacing w:after="0" w:line="276" w:lineRule="auto"/>
        <w:rPr>
          <w:sz w:val="20"/>
          <w:szCs w:val="20"/>
          <w:color w:val="auto"/>
        </w:rPr>
      </w:pPr>
      <w:r>
        <w:rPr>
          <w:rFonts w:ascii="Arial" w:cs="Arial" w:eastAsia="Arial" w:hAnsi="Arial"/>
          <w:sz w:val="17"/>
          <w:szCs w:val="17"/>
          <w:color w:val="auto"/>
        </w:rPr>
        <w:t>As of September 30, 2019 and December 31, 2018, the Company did not consolidate or deconsolidate any seed investment entities or LFI investment entities with the exception of the recent consolidation of certain LFI funds (see Note 21 of Notes to the Condensed Consolidated Financial Statements). As such, 100% of the recorded balance of seed investments and substantially all of LFI investments as of September 30, 2019 and December 31, 2018 represented the Company’s economic interest in the seed and LFI investments. See “—Consolidation of Variable Interest Entities” below for more information on the Company’s policy regarding the consolidation of seed and LFI investment entities.</w:t>
      </w:r>
    </w:p>
    <w:p>
      <w:pPr>
        <w:spacing w:after="0" w:line="17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10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36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20" w:hanging="379"/>
        <w:spacing w:after="0" w:line="286"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20" w:hanging="379"/>
        <w:spacing w:after="0" w:line="30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Lazard’s involvement with various entities that are VOEs or VIEs primarily arises from LFI investments and investment management contracts with fund entities in our Asset Management business. Lazard is not required to consolidate such entities because, with the exception of certain seed and LFI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7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Lazard makes seed and LFI investments in certain entities that are considered VOEs and VIEs and often require consolidation as a result of our investment. The impact of seed and LFI investment entities that require consolidation on the condensed consolidated financial statements, including any consolidation or deconsolidation of such entities, is not material to our financial statements. Our exposure to loss from entities in which we have made such investments is limited to the extent of our investment in, or investment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commitment to, such entities. See “Critical Accounting Policies and Estimates—Investments” above for more information regarding our investments.</w:t>
      </w:r>
    </w:p>
    <w:p>
      <w:pPr>
        <w:spacing w:after="0" w:line="23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and LFI investment entities in which we own a controlling interest, and we would deconsolidate any such entity when we no longer have a controlling interest in such entity.</w:t>
      </w:r>
    </w:p>
    <w:p>
      <w:pPr>
        <w:spacing w:after="0" w:line="276"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Equity Market Price Risk—At September 30, 2019 and December 31, 2018, the Company’s exposure to equity market price risk in its investment portfolio, which primarily relates to investments in equity securities, equity funds and hedge funds, was approximately $90 million and $84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$0.8 million and</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$0.8 million in the carrying value of such investments as of September 30, 2019 and December 31, 2018, respectively, including the effect of the hedging transactions.</w:t>
      </w:r>
    </w:p>
    <w:p>
      <w:pPr>
        <w:spacing w:after="0" w:line="18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Interest Rate/Credit Spread Risk—At September 30, 2019 and December 31, 2018, the Company’s exposure to interest rate and credit spread risk in its investment portfolio related to investments in debt securities or funds which invest primarily in debt securities was $153 million and $245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$1.4 million and $0.9 million in the carrying value of such investments as of September 30, 2019 and December 31, 2018, respectively, including the effect of the hedging transactions.</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Foreign Exchange Rate Risk—At September 30, 2019 and December 31, 2018, the Company’s exposure to foreign exchange rate risk in its investment portfolio, which primarily relates to investments in foreign currency denominated equity and debt securities, was $44 million and $41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$0.6 million and $0.1 million in the carrying value of such investments as of September 30, 2019 and December 31, 2018, respectively, including the effect of the hedging transactions.</w:t>
      </w:r>
    </w:p>
    <w:p>
      <w:pPr>
        <w:spacing w:after="0" w:line="193"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September 30, 2019 and December 31, 2018, the Company’s exposure to changes in fair value of such investments was approximately $29 million and $42 million, respectively. The Company estimates that a hypothetical 10% adverse change in fair value would result in a decrease of approximately $2.9 million and $4.2 million in the carrying value of such investments as of September 30, 2019 and December 31, 2018, respectively.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September 30, 2019, total receivables amounted to $701 million, net of an allowance for doubtful accounts of $31 million. As of that date, Financial Advisory and Asset Management fees, receivables from Lazard Ltd subsidiaries, and customers and other receivables comprised 67%, 5%, and 28% of total receivables, respectively. At December 31, 2018, total receivables amounted to $704 million, net of an allowance for doubtful accounts of $40 million. As of that date, Financial Advisory and Asset Management fees, receivables from Lazard Ltd subsidiaries, and customers and other receivables comprised 71%, 3% and 26% of total receivables, respectively. At September 30, 2019 and December 31, 2018, the Company had receivables past due or deemed uncollectible of approximately $38 million and $42 million, respectively. See also “Critical Accounting Policies and Estimates—Revenue Recognition” above and Note 4 of Notes to Condensed Consolidated Financial Statements for additional information regarding receivables.</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September 30, 2019 and December 31, 2018, customer receivables included $67 million and $64 million, respectively, of LFB loans,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$3 million and $12 million at September 30, 2019 and December 31, 2018, respectively, and derivative liabilities, excluding the derivative liability arising from the Company’s obligation pertaining to LFI and other similar deferred compensation arrangements, amounted to $6 million and $1 million at such respective dates.</w:t>
      </w:r>
    </w:p>
    <w:p>
      <w:pPr>
        <w:spacing w:after="0" w:line="15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$222 million and $188 million at September 30, 2019 and December 31, 2018,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September 30, 2019, Lazard estimates that its annual operating income relating to cash and cash equivalents would increase by approximately $9 million in the event interest rates were to increase by 1% and decrease by approximately $9 million if rates were to decrease by 1%.</w:t>
      </w:r>
    </w:p>
    <w:p>
      <w:pPr>
        <w:spacing w:after="0" w:line="147"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6"/>
          <w:szCs w:val="16"/>
          <w:color w:val="auto"/>
        </w:rPr>
        <w:t>As of September 30, 2019, the Company’s cash and cash equivalents totaled approximately $928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w:t>
      </w:r>
    </w:p>
    <w:p>
      <w:pPr>
        <w:ind w:right="80" w:firstLine="8"/>
        <w:spacing w:after="0" w:line="255" w:lineRule="auto"/>
        <w:tabs>
          <w:tab w:leader="none" w:pos="3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short-term certificates of deposit from such banks and (iv) in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 of January 1, 2019, we implemented a new enterprise resource planning (“ERP’) system, by transitioning certain of our operations, including the general ledger, to the new ERP system. We have modified our existing controls infrastructure, as well as added other processes and internal controls, to adapt to our new ERP system and to take advantage of the increased functionality of the new system.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1" w:name="page72"/>
    <w:bookmarkEnd w:id="71"/>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2018.</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80" w:type="dxa"/>
            <w:vAlign w:val="bottom"/>
            <w:gridSpan w:val="21"/>
          </w:tcPr>
          <w:p>
            <w:pPr>
              <w:jc w:val="center"/>
              <w:ind w:right="532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380" w:type="dxa"/>
            <w:vAlign w:val="bottom"/>
            <w:gridSpan w:val="33"/>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0120" w:type="dxa"/>
            <w:vAlign w:val="bottom"/>
            <w:tcBorders>
              <w:bottom w:val="single" w:sz="8" w:color="0000EE"/>
            </w:tcBorders>
            <w:gridSpan w:val="25"/>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Certificate of Formation of the Registrant (incorporated by reference to Exhibit 3.1 to the Registrant’s Registration Statement (File No. 333-</w:t>
              </w:r>
            </w:hyperlink>
          </w:p>
        </w:tc>
        <w:tc>
          <w:tcPr>
            <w:tcW w:w="26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0100" w:type="dxa"/>
            <w:vAlign w:val="bottom"/>
            <w:tcBorders>
              <w:bottom w:val="single" w:sz="8" w:color="0000EE"/>
            </w:tcBorders>
            <w:gridSpan w:val="24"/>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Certificate of Amendment of Certificate of Formation of the Registrant, changing name to Lazard Group LLC (incorporated by reference to</w:t>
              </w:r>
            </w:hyperlink>
          </w:p>
        </w:tc>
        <w:tc>
          <w:tcPr>
            <w:tcW w:w="28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2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Exhibit 3.2 to the Registrant’s Registration Statement (File No. 333-126751) on Form S-4 filed on July 21, 2005).</w:t>
              </w:r>
            </w:hyperlink>
          </w:p>
        </w:tc>
        <w:tc>
          <w:tcPr>
            <w:tcW w:w="2160" w:type="dxa"/>
            <w:vAlign w:val="bottom"/>
            <w:gridSpan w:val="17"/>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10220" w:type="dxa"/>
            <w:vAlign w:val="bottom"/>
            <w:tcBorders>
              <w:bottom w:val="single" w:sz="8" w:color="0000EE"/>
            </w:tcBorders>
            <w:gridSpan w:val="28"/>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Amended and Restated Operating Agreement of the Registrant, dated as of February 4, 2019 (incorporated by reference to Exhibit 99.1 to the</w:t>
              </w:r>
            </w:hyperlink>
          </w:p>
        </w:tc>
        <w:tc>
          <w:tcPr>
            <w:tcW w:w="1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6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Registrant’s Current Report (File No. 333-126751) on Form 8-K filed on February 5, 2019).</w:t>
              </w:r>
            </w:hyperlink>
          </w:p>
        </w:tc>
        <w:tc>
          <w:tcPr>
            <w:tcW w:w="3740" w:type="dxa"/>
            <w:vAlign w:val="bottom"/>
            <w:gridSpan w:val="19"/>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9880" w:type="dxa"/>
            <w:vAlign w:val="bottom"/>
            <w:tcBorders>
              <w:bottom w:val="single" w:sz="8" w:color="0000EE"/>
            </w:tcBorders>
            <w:gridSpan w:val="20"/>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Indenture, dated as of May 10, 2005, by and between the Registrant and The Bank of New York, as Trustee (incorporated by reference to</w:t>
              </w:r>
            </w:hyperlink>
          </w:p>
        </w:tc>
        <w:tc>
          <w:tcPr>
            <w:tcW w:w="50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Exhibit 4.1 to the Registrant’s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9500" w:type="dxa"/>
            <w:vAlign w:val="bottom"/>
            <w:tcBorders>
              <w:bottom w:val="single" w:sz="8" w:color="0000EE"/>
            </w:tcBorders>
            <w:gridSpan w:val="18"/>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Sixth Supplemental Indenture, dated as of February 13, 2015, between the Registrant and The Bank of New York Mellon, as trustee</w:t>
              </w:r>
            </w:hyperlink>
          </w:p>
        </w:tc>
        <w:tc>
          <w:tcPr>
            <w:tcW w:w="88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(incorporated by reference to Exhibit 4.1 of the Registrant’s Current Report on Form 8-K (File No. 333-126751) filed on February 13, 2015).</w:t>
              </w:r>
            </w:hyperlink>
          </w:p>
        </w:tc>
        <w:tc>
          <w:tcPr>
            <w:tcW w:w="200" w:type="dxa"/>
            <w:vAlign w:val="bottom"/>
            <w:gridSpan w:val="7"/>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10380" w:type="dxa"/>
            <w:vAlign w:val="bottom"/>
            <w:gridSpan w:val="33"/>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Seventh Supplemental Indenture, dated as of November 4, 2016,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2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(incorporated by reference to Exhibit 4.1 of the Registrant’s Current Report on Form 8-K (File No. 333-126751) filed on November 7, 2016).</w:t>
              </w:r>
            </w:hyperlink>
          </w:p>
        </w:tc>
        <w:tc>
          <w:tcPr>
            <w:tcW w:w="160" w:type="dxa"/>
            <w:vAlign w:val="bottom"/>
            <w:gridSpan w:val="5"/>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10380" w:type="dxa"/>
            <w:vAlign w:val="bottom"/>
            <w:gridSpan w:val="33"/>
          </w:tcPr>
          <w:p>
            <w:pPr>
              <w:spacing w:after="0"/>
              <w:rPr>
                <w:rFonts w:ascii="Arial" w:cs="Arial" w:eastAsia="Arial" w:hAnsi="Arial"/>
                <w:sz w:val="18"/>
                <w:szCs w:val="18"/>
                <w:color w:val="0000EE"/>
                <w:w w:val="93"/>
              </w:rPr>
            </w:pPr>
            <w:hyperlink r:id="rId106">
              <w:r>
                <w:rPr>
                  <w:rFonts w:ascii="Arial" w:cs="Arial" w:eastAsia="Arial" w:hAnsi="Arial"/>
                  <w:sz w:val="18"/>
                  <w:szCs w:val="18"/>
                  <w:color w:val="0000EE"/>
                  <w:w w:val="93"/>
                </w:rPr>
                <w:t>Eighth Supplemental Indenture, dated as of September 19, 2018,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(incorporated by reference to Exhibit 4.1 to the Registrant’s Current Report on Form 8-K (File No. 333-126751) filed on September 19, 2018</w:t>
              </w:r>
            </w:hyperlink>
            <w:r>
              <w:rPr>
                <w:rFonts w:ascii="Arial" w:cs="Arial" w:eastAsia="Arial" w:hAnsi="Arial"/>
                <w:sz w:val="18"/>
                <w:szCs w:val="18"/>
                <w:color w:val="000000"/>
                <w:w w:val="92"/>
              </w:rPr>
              <w:t>).</w:t>
            </w: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0200" w:type="dxa"/>
            <w:vAlign w:val="bottom"/>
            <w:tcBorders>
              <w:top w:val="single" w:sz="8" w:color="0000EE"/>
            </w:tcBorders>
            <w:gridSpan w:val="27"/>
          </w:tcPr>
          <w:p>
            <w:pPr>
              <w:spacing w:after="0"/>
              <w:rPr>
                <w:rFonts w:ascii="Arial" w:cs="Arial" w:eastAsia="Arial" w:hAnsi="Arial"/>
                <w:sz w:val="18"/>
                <w:szCs w:val="18"/>
                <w:color w:val="0000EE"/>
                <w:w w:val="95"/>
              </w:rPr>
            </w:pPr>
            <w:hyperlink r:id="rId107">
              <w:r>
                <w:rPr>
                  <w:rFonts w:ascii="Arial" w:cs="Arial" w:eastAsia="Arial" w:hAnsi="Arial"/>
                  <w:sz w:val="18"/>
                  <w:szCs w:val="18"/>
                  <w:color w:val="0000EE"/>
                  <w:w w:val="95"/>
                </w:rPr>
                <w:t>Ninth Supplemental Indenture, dated as of March 11, 2019, between Lazard Group LLC and The Bank of New York Mellon, as trustee</w:t>
              </w:r>
            </w:hyperlink>
          </w:p>
        </w:tc>
        <w:tc>
          <w:tcPr>
            <w:tcW w:w="180" w:type="dxa"/>
            <w:vAlign w:val="bottom"/>
            <w:gridSpan w:val="6"/>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(incorporated by reference to Exhibit 4.1 to the Registrant’s Current Report on Form 8-K (File No. 333-126751) filed on March 11, 2019).</w:t>
              </w:r>
            </w:hyperlink>
          </w:p>
        </w:tc>
        <w:tc>
          <w:tcPr>
            <w:tcW w:w="400" w:type="dxa"/>
            <w:vAlign w:val="bottom"/>
            <w:gridSpan w:val="1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103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04">
              <w:r>
                <w:rPr>
                  <w:rFonts w:ascii="Arial" w:cs="Arial" w:eastAsia="Arial" w:hAnsi="Arial"/>
                  <w:sz w:val="18"/>
                  <w:szCs w:val="18"/>
                  <w:color w:val="0000EE"/>
                </w:rPr>
                <w:t>4.2</w:t>
              </w:r>
            </w:hyperlink>
            <w:r>
              <w:rPr>
                <w:rFonts w:ascii="Arial" w:cs="Arial" w:eastAsia="Arial" w:hAnsi="Arial"/>
                <w:sz w:val="18"/>
                <w:szCs w:val="18"/>
                <w:color w:val="auto"/>
              </w:rPr>
              <w:t xml:space="preserve">, </w:t>
            </w:r>
            <w:hyperlink r:id="rId105">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06">
              <w:r>
                <w:rPr>
                  <w:rFonts w:ascii="Arial" w:cs="Arial" w:eastAsia="Arial" w:hAnsi="Arial"/>
                  <w:sz w:val="18"/>
                  <w:szCs w:val="18"/>
                  <w:color w:val="0000EE"/>
                </w:rPr>
                <w:t>4.4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07">
              <w:r>
                <w:rPr>
                  <w:rFonts w:ascii="Arial" w:cs="Arial" w:eastAsia="Arial" w:hAnsi="Arial"/>
                  <w:sz w:val="18"/>
                  <w:szCs w:val="18"/>
                  <w:color w:val="0000EE"/>
                </w:rPr>
                <w:t>4.5</w:t>
              </w:r>
            </w:hyperlink>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0340" w:type="dxa"/>
            <w:vAlign w:val="bottom"/>
            <w:tcBorders>
              <w:bottom w:val="single" w:sz="8" w:color="0000EE"/>
            </w:tcBorders>
            <w:gridSpan w:val="32"/>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7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Exhibit 10.19 to Lazard Ltd’s Registration Statement (File No. 333-121407) on Form S-1/A filed on February 11, 2005).</w:t>
              </w:r>
            </w:hyperlink>
          </w:p>
        </w:tc>
        <w:tc>
          <w:tcPr>
            <w:tcW w:w="1680" w:type="dxa"/>
            <w:vAlign w:val="bottom"/>
            <w:gridSpan w:val="16"/>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0380" w:type="dxa"/>
            <w:vAlign w:val="bottom"/>
            <w:tcBorders>
              <w:bottom w:val="single" w:sz="8" w:color="0000EE"/>
            </w:tcBorders>
            <w:gridSpan w:val="33"/>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Fourth Amendment dated as of February 16, 2011, by and among RCPI Landmark Properties, L.L.C. (as the successor in interest to Rockefeller</w:t>
              </w:r>
            </w:hyperlink>
          </w:p>
        </w:tc>
      </w:tr>
      <w:tr>
        <w:trPr>
          <w:trHeight w:val="196"/>
        </w:trPr>
        <w:tc>
          <w:tcPr>
            <w:tcW w:w="1040" w:type="dxa"/>
            <w:vAlign w:val="bottom"/>
          </w:tcPr>
          <w:p>
            <w:pPr>
              <w:spacing w:after="0"/>
              <w:rPr>
                <w:sz w:val="17"/>
                <w:szCs w:val="17"/>
                <w:color w:val="auto"/>
              </w:rPr>
            </w:pPr>
          </w:p>
        </w:tc>
        <w:tc>
          <w:tcPr>
            <w:tcW w:w="102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16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1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2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Exhibit 10.15 to the Registrant’s Quarterly Report (File No. 333-126751) on Form 10-Q filed on April 29, 2011).</w:t>
              </w:r>
            </w:hyperlink>
          </w:p>
        </w:tc>
        <w:tc>
          <w:tcPr>
            <w:tcW w:w="2180" w:type="dxa"/>
            <w:vAlign w:val="bottom"/>
            <w:gridSpan w:val="18"/>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10.3*</w:t>
            </w:r>
          </w:p>
        </w:tc>
        <w:tc>
          <w:tcPr>
            <w:tcW w:w="10380" w:type="dxa"/>
            <w:vAlign w:val="bottom"/>
            <w:gridSpan w:val="33"/>
          </w:tcPr>
          <w:p>
            <w:pPr>
              <w:spacing w:after="0"/>
              <w:rPr>
                <w:rFonts w:ascii="Arial" w:cs="Arial" w:eastAsia="Arial" w:hAnsi="Arial"/>
                <w:sz w:val="18"/>
                <w:szCs w:val="18"/>
                <w:color w:val="0000EE"/>
                <w:w w:val="95"/>
              </w:rPr>
            </w:pPr>
            <w:hyperlink r:id="rId110">
              <w:r>
                <w:rPr>
                  <w:rFonts w:ascii="Arial" w:cs="Arial" w:eastAsia="Arial" w:hAnsi="Arial"/>
                  <w:sz w:val="18"/>
                  <w:szCs w:val="18"/>
                  <w:color w:val="0000EE"/>
                  <w:w w:val="95"/>
                </w:rPr>
                <w:t>Lazard Ltd’s 2005 Equity Incentive Plan (incorporated by reference to Exhibit 10.21 to Lazard Ltd’s Registration Statement (File No. 333-</w:t>
              </w:r>
            </w:hyperlink>
          </w:p>
        </w:tc>
      </w:tr>
      <w:tr>
        <w:trPr>
          <w:trHeight w:val="196"/>
        </w:trPr>
        <w:tc>
          <w:tcPr>
            <w:tcW w:w="1040" w:type="dxa"/>
            <w:vAlign w:val="bottom"/>
          </w:tcPr>
          <w:p>
            <w:pPr>
              <w:spacing w:after="0"/>
              <w:rPr>
                <w:sz w:val="17"/>
                <w:szCs w:val="17"/>
                <w:color w:val="auto"/>
              </w:rPr>
            </w:pPr>
          </w:p>
        </w:tc>
        <w:tc>
          <w:tcPr>
            <w:tcW w:w="100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121407) on Form S-1/A filed on May 2, 2005).</w:t>
              </w:r>
            </w:hyperlink>
          </w:p>
        </w:tc>
        <w:tc>
          <w:tcPr>
            <w:tcW w:w="34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10.4*</w:t>
            </w:r>
          </w:p>
        </w:tc>
        <w:tc>
          <w:tcPr>
            <w:tcW w:w="10380" w:type="dxa"/>
            <w:vAlign w:val="bottom"/>
            <w:gridSpan w:val="33"/>
          </w:tcPr>
          <w:p>
            <w:pPr>
              <w:spacing w:after="0"/>
              <w:rPr>
                <w:rFonts w:ascii="Arial" w:cs="Arial" w:eastAsia="Arial" w:hAnsi="Arial"/>
                <w:sz w:val="18"/>
                <w:szCs w:val="18"/>
                <w:color w:val="0000EE"/>
                <w:w w:val="98"/>
              </w:rPr>
            </w:pPr>
            <w:hyperlink r:id="rId111">
              <w:r>
                <w:rPr>
                  <w:rFonts w:ascii="Arial" w:cs="Arial" w:eastAsia="Arial" w:hAnsi="Arial"/>
                  <w:sz w:val="18"/>
                  <w:szCs w:val="18"/>
                  <w:color w:val="0000EE"/>
                  <w:w w:val="98"/>
                </w:rPr>
                <w:t>Lazard Ltd’s 2008 Incentive Compensation Plan (incorporated by reference to Annex B to Lazard Ltd’s Definitive Proxy Statement on</w:t>
              </w:r>
            </w:hyperlink>
          </w:p>
        </w:tc>
      </w:tr>
      <w:tr>
        <w:trPr>
          <w:trHeight w:val="196"/>
        </w:trPr>
        <w:tc>
          <w:tcPr>
            <w:tcW w:w="104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Schedule 14A (File No. 001-32492) filed on March 24, 2008).</w:t>
              </w:r>
            </w:hyperlink>
          </w:p>
        </w:tc>
        <w:tc>
          <w:tcPr>
            <w:tcW w:w="5180" w:type="dxa"/>
            <w:vAlign w:val="bottom"/>
            <w:tcBorders>
              <w:top w:val="single" w:sz="8" w:color="0000EE"/>
            </w:tcBorders>
            <w:gridSpan w:val="6"/>
          </w:tcPr>
          <w:p>
            <w:pPr>
              <w:spacing w:after="0"/>
              <w:rPr>
                <w:sz w:val="17"/>
                <w:szCs w:val="17"/>
                <w:color w:val="auto"/>
              </w:rPr>
            </w:pPr>
          </w:p>
        </w:tc>
        <w:tc>
          <w:tcPr>
            <w:tcW w:w="660" w:type="dxa"/>
            <w:vAlign w:val="bottom"/>
            <w:gridSpan w:val="14"/>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0380" w:type="dxa"/>
            <w:vAlign w:val="bottom"/>
            <w:gridSpan w:val="33"/>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Lazard Ltd’s 2016 French Sub-plan (incorporated by reference to Annex B to Lazard Ltd’s Definitive Proxy Statement on Schedule 14A (File</w:t>
              </w:r>
            </w:hyperlink>
          </w:p>
        </w:tc>
      </w:tr>
      <w:tr>
        <w:trPr>
          <w:trHeight w:val="196"/>
        </w:trPr>
        <w:tc>
          <w:tcPr>
            <w:tcW w:w="104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No. 001-32492) filed on March 10, 2016).</w:t>
              </w:r>
            </w:hyperlink>
          </w:p>
        </w:tc>
        <w:tc>
          <w:tcPr>
            <w:tcW w:w="7160" w:type="dxa"/>
            <w:vAlign w:val="bottom"/>
            <w:tcBorders>
              <w:top w:val="single" w:sz="8" w:color="0000EE"/>
            </w:tcBorders>
            <w:gridSpan w:val="26"/>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10.6*</w:t>
            </w:r>
          </w:p>
        </w:tc>
        <w:tc>
          <w:tcPr>
            <w:tcW w:w="10380" w:type="dxa"/>
            <w:vAlign w:val="bottom"/>
            <w:gridSpan w:val="33"/>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Lazard Ltd 2018 Incentive Compensation Plan (incorporated by reference to Annex B to Lazard Ltd’s Definitive Proxy Statement on Schedule</w:t>
              </w:r>
            </w:hyperlink>
          </w:p>
        </w:tc>
      </w:tr>
      <w:tr>
        <w:trPr>
          <w:trHeight w:val="196"/>
        </w:trPr>
        <w:tc>
          <w:tcPr>
            <w:tcW w:w="104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14A (File No. 001-32492) filed on March 15, 2018).</w:t>
              </w:r>
            </w:hyperlink>
          </w:p>
        </w:tc>
        <w:tc>
          <w:tcPr>
            <w:tcW w:w="6480" w:type="dxa"/>
            <w:vAlign w:val="bottom"/>
            <w:tcBorders>
              <w:top w:val="single" w:sz="8" w:color="0000EE"/>
            </w:tcBorders>
            <w:gridSpan w:val="19"/>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10.7*</w:t>
            </w:r>
          </w:p>
        </w:tc>
        <w:tc>
          <w:tcPr>
            <w:tcW w:w="10320" w:type="dxa"/>
            <w:vAlign w:val="bottom"/>
            <w:tcBorders>
              <w:bottom w:val="single" w:sz="8" w:color="0000EE"/>
            </w:tcBorders>
            <w:gridSpan w:val="31"/>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Amended and Restated Agreement relating to Retention and Noncompetition and Other Covenants, dated as of March 29, 2019, by and among</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the Registrant, Lazard Ltd and Kenneth M. Jacobs (incorporated by reference to Exhibit 10.1 to the Registrant’s Current Report on Form 8-K</w:t>
              </w:r>
            </w:hyperlink>
          </w:p>
        </w:tc>
        <w:tc>
          <w:tcPr>
            <w:tcW w:w="20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(File No. 333-126751) filed on April 3, 2019).</w:t>
              </w:r>
            </w:hyperlink>
          </w:p>
        </w:tc>
        <w:tc>
          <w:tcPr>
            <w:tcW w:w="6980" w:type="dxa"/>
            <w:vAlign w:val="bottom"/>
            <w:gridSpan w:val="26"/>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10.8*</w:t>
            </w:r>
          </w:p>
        </w:tc>
        <w:tc>
          <w:tcPr>
            <w:tcW w:w="10320" w:type="dxa"/>
            <w:vAlign w:val="bottom"/>
            <w:tcBorders>
              <w:bottom w:val="single" w:sz="8" w:color="0000EE"/>
            </w:tcBorders>
            <w:gridSpan w:val="31"/>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Agreement relating to Retention and Noncompetition and Other Covenants, dated as of March 29, 2019, by and among</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the Registrant, Lazard Ltd and Ashish Bhutani (incorporated by reference to Exhibit 10.3 to the Registrant’s Current Report on Form 8-K (File</w:t>
              </w:r>
            </w:hyperlink>
          </w:p>
        </w:tc>
        <w:tc>
          <w:tcPr>
            <w:tcW w:w="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No. 333-126751) filed on April 3, 2019).</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740" w:type="dxa"/>
            <w:vAlign w:val="bottom"/>
            <w:gridSpan w:val="17"/>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10.9*</w:t>
            </w:r>
          </w:p>
        </w:tc>
        <w:tc>
          <w:tcPr>
            <w:tcW w:w="10320" w:type="dxa"/>
            <w:vAlign w:val="bottom"/>
            <w:tcBorders>
              <w:bottom w:val="single" w:sz="8" w:color="0000EE"/>
            </w:tcBorders>
            <w:gridSpan w:val="31"/>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Amended and Restated Agreement relating to Retention and Noncompetition and Other Covenants, dated as of March 29, 2019, by and among</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the Registrant, Lazard Ltd and Scott D. Hoffman (incorporated by reference to Exhibit 10.4 to the Registrant’s Current Report on Form 8-K</w:t>
              </w:r>
            </w:hyperlink>
          </w:p>
        </w:tc>
        <w:tc>
          <w:tcPr>
            <w:tcW w:w="30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(File No. 333-126751) filed on April 3, 2019).</w:t>
              </w:r>
            </w:hyperlink>
          </w:p>
        </w:tc>
      </w:tr>
      <w:tr>
        <w:trPr>
          <w:trHeight w:val="534"/>
        </w:trPr>
        <w:tc>
          <w:tcPr>
            <w:tcW w:w="1040" w:type="dxa"/>
            <w:vAlign w:val="bottom"/>
          </w:tcPr>
          <w:p>
            <w:pPr>
              <w:spacing w:after="0"/>
              <w:rPr>
                <w:sz w:val="24"/>
                <w:szCs w:val="24"/>
                <w:color w:val="auto"/>
              </w:rPr>
            </w:pPr>
          </w:p>
        </w:tc>
        <w:tc>
          <w:tcPr>
            <w:tcW w:w="3340" w:type="dxa"/>
            <w:vAlign w:val="bottom"/>
            <w:tcBorders>
              <w:top w:val="single" w:sz="8" w:color="0000EE"/>
            </w:tcBorders>
            <w:gridSpan w:val="6"/>
          </w:tcPr>
          <w:p>
            <w:pPr>
              <w:spacing w:after="0"/>
              <w:rPr>
                <w:sz w:val="24"/>
                <w:szCs w:val="24"/>
                <w:color w:val="auto"/>
              </w:rPr>
            </w:pPr>
          </w:p>
        </w:tc>
        <w:tc>
          <w:tcPr>
            <w:tcW w:w="3300" w:type="dxa"/>
            <w:vAlign w:val="bottom"/>
            <w:gridSpan w:val="8"/>
          </w:tcPr>
          <w:p>
            <w:pPr>
              <w:jc w:val="right"/>
              <w:ind w:right="1880"/>
              <w:spacing w:after="0"/>
              <w:rPr>
                <w:sz w:val="20"/>
                <w:szCs w:val="20"/>
                <w:color w:val="auto"/>
              </w:rPr>
            </w:pPr>
            <w:r>
              <w:rPr>
                <w:rFonts w:ascii="Arial" w:cs="Arial" w:eastAsia="Arial" w:hAnsi="Arial"/>
                <w:sz w:val="18"/>
                <w:szCs w:val="18"/>
                <w:color w:val="auto"/>
              </w:rPr>
              <w:t>71</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10.10*</w:t>
            </w:r>
          </w:p>
        </w:tc>
        <w:tc>
          <w:tcPr>
            <w:tcW w:w="10300" w:type="dxa"/>
            <w:vAlign w:val="bottom"/>
            <w:gridSpan w:val="26"/>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Agreement relating to Retention and Noncompetition and Other Covenants, dated as of March 29, 2019, by and among the Registrant, Lazard</w:t>
              </w:r>
            </w:hyperlink>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Ltd and Evan L. Russo (incorporated by reference to Exhibit 10.2 to the Registrant’s Current Report on Form 8-K (File No. 333-126751) filed</w:t>
              </w:r>
            </w:hyperlink>
          </w:p>
        </w:tc>
        <w:tc>
          <w:tcPr>
            <w:tcW w:w="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April 3, 2019).</w:t>
              </w:r>
            </w:hyperlink>
          </w:p>
        </w:tc>
        <w:tc>
          <w:tcPr>
            <w:tcW w:w="9220" w:type="dxa"/>
            <w:vAlign w:val="bottom"/>
            <w:gridSpan w:val="25"/>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10.11*</w:t>
            </w:r>
          </w:p>
        </w:tc>
        <w:tc>
          <w:tcPr>
            <w:tcW w:w="10300" w:type="dxa"/>
            <w:vAlign w:val="bottom"/>
            <w:tcBorders>
              <w:bottom w:val="single" w:sz="8" w:color="0000EE"/>
            </w:tcBorders>
            <w:gridSpan w:val="26"/>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Amended and Restated Agreement relating to Retention and Noncompetition and Other Covenants, dated as of March 29, 2019, by and among</w:t>
              </w:r>
            </w:hyperlink>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the Registrant, Lazard Ltd and Alexander F. Stern (incorporated by reference to Exhibit 10.5 to the Registrant’s Current Report on Form 8-K</w:t>
              </w:r>
            </w:hyperlink>
          </w:p>
        </w:tc>
        <w:tc>
          <w:tcPr>
            <w:tcW w:w="14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(File No. 333-126751) filed on April 3, 2019).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10.12*</w:t>
            </w:r>
          </w:p>
        </w:tc>
        <w:tc>
          <w:tcPr>
            <w:tcW w:w="9940" w:type="dxa"/>
            <w:vAlign w:val="bottom"/>
            <w:tcBorders>
              <w:bottom w:val="single" w:sz="8" w:color="0000EE"/>
            </w:tcBorders>
            <w:gridSpan w:val="16"/>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Form of Award Letter for Annual Grant of Deferred Stock Units to Non-Executive Directors (incorporated by reference to Exhibit 99.1 to</w:t>
              </w:r>
            </w:hyperlink>
          </w:p>
        </w:tc>
        <w:tc>
          <w:tcPr>
            <w:tcW w:w="36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Lazard Ltd’s Current Report on Form 8-K (File No. 001-32492) filed on September 8, 2005).</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10.13*</w:t>
            </w:r>
          </w:p>
        </w:tc>
        <w:tc>
          <w:tcPr>
            <w:tcW w:w="10300" w:type="dxa"/>
            <w:vAlign w:val="bottom"/>
            <w:gridSpan w:val="26"/>
          </w:tcPr>
          <w:p>
            <w:pPr>
              <w:spacing w:after="0"/>
              <w:rPr>
                <w:rFonts w:ascii="Arial" w:cs="Arial" w:eastAsia="Arial" w:hAnsi="Arial"/>
                <w:sz w:val="18"/>
                <w:szCs w:val="18"/>
                <w:color w:val="0000EE"/>
                <w:w w:val="98"/>
              </w:rPr>
            </w:pPr>
            <w:hyperlink r:id="rId122">
              <w:r>
                <w:rPr>
                  <w:rFonts w:ascii="Arial" w:cs="Arial" w:eastAsia="Arial" w:hAnsi="Arial"/>
                  <w:sz w:val="18"/>
                  <w:szCs w:val="18"/>
                  <w:color w:val="0000EE"/>
                  <w:w w:val="98"/>
                </w:rPr>
                <w:t>Form of Agreement evidencing a grant of Restricted Stock Units to Executive Officers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w w:val="96"/>
              </w:rPr>
            </w:pPr>
            <w:hyperlink r:id="rId122">
              <w:r>
                <w:rPr>
                  <w:rFonts w:ascii="Arial" w:cs="Arial" w:eastAsia="Arial" w:hAnsi="Arial"/>
                  <w:sz w:val="18"/>
                  <w:szCs w:val="18"/>
                  <w:color w:val="0000EE"/>
                  <w:w w:val="96"/>
                </w:rPr>
                <w:t>(incorporated by reference to Exhibit 10.41 to Lazard 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10.14*</w:t>
            </w:r>
          </w:p>
        </w:tc>
        <w:tc>
          <w:tcPr>
            <w:tcW w:w="10100" w:type="dxa"/>
            <w:vAlign w:val="bottom"/>
            <w:tcBorders>
              <w:bottom w:val="single" w:sz="8" w:color="0000EE"/>
            </w:tcBorders>
            <w:gridSpan w:val="19"/>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Form of Agreement evidencing a grant of Deferred Cash Award to Executive Officers (incorporated by reference to Exhibit 10.42 to Lazard</w:t>
              </w:r>
            </w:hyperlink>
          </w:p>
        </w:tc>
        <w:tc>
          <w:tcPr>
            <w:tcW w:w="20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10.15*</w:t>
            </w:r>
          </w:p>
        </w:tc>
        <w:tc>
          <w:tcPr>
            <w:tcW w:w="10300" w:type="dxa"/>
            <w:vAlign w:val="bottom"/>
            <w:gridSpan w:val="26"/>
          </w:tcPr>
          <w:p>
            <w:pPr>
              <w:spacing w:after="0"/>
              <w:rPr>
                <w:rFonts w:ascii="Arial" w:cs="Arial" w:eastAsia="Arial" w:hAnsi="Arial"/>
                <w:sz w:val="18"/>
                <w:szCs w:val="18"/>
                <w:color w:val="0000EE"/>
                <w:w w:val="93"/>
              </w:rPr>
            </w:pPr>
            <w:hyperlink r:id="rId124">
              <w:r>
                <w:rPr>
                  <w:rFonts w:ascii="Arial" w:cs="Arial" w:eastAsia="Arial" w:hAnsi="Arial"/>
                  <w:sz w:val="18"/>
                  <w:szCs w:val="18"/>
                  <w:color w:val="0000EE"/>
                  <w:w w:val="93"/>
                </w:rPr>
                <w:t>Directors’ Fee Deferral Unit Plan (incorporated by reference to Exhibit 10.39 to Lazard Ltd’s Quarterly Report (File No.001-32492) on Form</w:t>
              </w:r>
            </w:hyperlink>
          </w:p>
        </w:tc>
      </w:tr>
      <w:tr>
        <w:trPr>
          <w:trHeight w:val="196"/>
        </w:trPr>
        <w:tc>
          <w:tcPr>
            <w:tcW w:w="1040" w:type="dxa"/>
            <w:vAlign w:val="bottom"/>
          </w:tcPr>
          <w:p>
            <w:pPr>
              <w:spacing w:after="0"/>
              <w:rPr>
                <w:sz w:val="17"/>
                <w:szCs w:val="17"/>
                <w:color w:val="auto"/>
              </w:rPr>
            </w:pPr>
          </w:p>
        </w:tc>
        <w:tc>
          <w:tcPr>
            <w:tcW w:w="102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10-Q filed on May 11, 2006).</w:t>
              </w:r>
            </w:hyperlink>
          </w:p>
        </w:tc>
        <w:tc>
          <w:tcPr>
            <w:tcW w:w="8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10.16</w:t>
            </w:r>
          </w:p>
        </w:tc>
        <w:tc>
          <w:tcPr>
            <w:tcW w:w="10240" w:type="dxa"/>
            <w:vAlign w:val="bottom"/>
            <w:tcBorders>
              <w:bottom w:val="single" w:sz="8" w:color="0000EE"/>
            </w:tcBorders>
            <w:gridSpan w:val="24"/>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Amended and Restated Credit Agreement, dated as of September 25, 2015, among the Registrant, the Banks from time to time parties thereto,</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and Citibank, N.A., as Administrative Agent (incorporated by reference to Exhibit 10.25 to the Registrant’s Quarterly Report (File No. 333-</w:t>
              </w:r>
            </w:hyperlink>
          </w:p>
        </w:tc>
      </w:tr>
      <w:tr>
        <w:trPr>
          <w:trHeight w:val="196"/>
        </w:trPr>
        <w:tc>
          <w:tcPr>
            <w:tcW w:w="1040" w:type="dxa"/>
            <w:vAlign w:val="bottom"/>
          </w:tcPr>
          <w:p>
            <w:pPr>
              <w:spacing w:after="0"/>
              <w:rPr>
                <w:sz w:val="17"/>
                <w:szCs w:val="17"/>
                <w:color w:val="auto"/>
              </w:rPr>
            </w:pPr>
          </w:p>
        </w:tc>
        <w:tc>
          <w:tcPr>
            <w:tcW w:w="100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126751) on Form 10-Q filed on October 28, 2015).</w:t>
              </w:r>
            </w:hyperlink>
          </w:p>
        </w:tc>
        <w:tc>
          <w:tcPr>
            <w:tcW w:w="22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10.17*</w:t>
            </w:r>
          </w:p>
        </w:tc>
        <w:tc>
          <w:tcPr>
            <w:tcW w:w="10140" w:type="dxa"/>
            <w:vAlign w:val="bottom"/>
            <w:tcBorders>
              <w:bottom w:val="single" w:sz="8" w:color="0000EE"/>
            </w:tcBorders>
            <w:gridSpan w:val="21"/>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Form of Agreement evidencing a grant of Lazard Fund Interests to Named Executive Officers (incorporated by reference to Exhibit 10.54 to</w:t>
              </w:r>
            </w:hyperlink>
          </w:p>
        </w:tc>
        <w:tc>
          <w:tcPr>
            <w:tcW w:w="1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the Registrant’s Quarterly Report (File No. 333-126751) on Form 10-Q filed on May 1, 2013).</w:t>
              </w:r>
            </w:hyperlink>
          </w:p>
        </w:tc>
        <w:tc>
          <w:tcPr>
            <w:tcW w:w="3480" w:type="dxa"/>
            <w:vAlign w:val="bottom"/>
            <w:gridSpan w:val="16"/>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10.18*</w:t>
            </w:r>
          </w:p>
        </w:tc>
        <w:tc>
          <w:tcPr>
            <w:tcW w:w="10300" w:type="dxa"/>
            <w:vAlign w:val="bottom"/>
            <w:gridSpan w:val="26"/>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Form of Agreement evidencing a February 20, 2014 grant of Performance-Based Stock Units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(incorporated by reference to Exhibit 10.54 to the Registrant’s Quarterly Report (File No. 333-126751)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10.19*</w:t>
            </w:r>
          </w:p>
        </w:tc>
        <w:tc>
          <w:tcPr>
            <w:tcW w:w="10240" w:type="dxa"/>
            <w:vAlign w:val="bottom"/>
            <w:tcBorders>
              <w:bottom w:val="single" w:sz="8" w:color="0000EE"/>
            </w:tcBorders>
            <w:gridSpan w:val="24"/>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Agreement between Lazard Ltd and Kenneth M. Jacobs, dated as of February 20, 2014, evidencing a grant of Performance-Based Stock Units</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under the 2008 Incentive Compensation Plan (incorporated by reference to Exhibit 10.55 to the Registrant’s Quarterly Report (File No. 333-</w:t>
              </w:r>
            </w:hyperlink>
          </w:p>
        </w:tc>
        <w:tc>
          <w:tcPr>
            <w:tcW w:w="1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10.20*</w:t>
            </w:r>
          </w:p>
        </w:tc>
        <w:tc>
          <w:tcPr>
            <w:tcW w:w="10240" w:type="dxa"/>
            <w:vAlign w:val="bottom"/>
            <w:tcBorders>
              <w:bottom w:val="single" w:sz="8" w:color="0000EE"/>
            </w:tcBorders>
            <w:gridSpan w:val="24"/>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Form of Agreement evidencing a grant of Restricted Stock under the 2008 Incentive Compensation Plan (incorporated by reference to Exhibit</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54</w:t>
              </w:r>
              <w:r>
                <w:rPr>
                  <w:rFonts w:ascii="Arial" w:cs="Arial" w:eastAsia="Arial" w:hAnsi="Arial"/>
                  <w:sz w:val="18"/>
                  <w:szCs w:val="18"/>
                  <w:color w:val="0000EE"/>
                </w:rPr>
                <w:t xml:space="preserve"> to the Registrant’s Quarterly Report (File No. 333-126751) on Form 10-Q filed on April 30, 2010).</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10.21*</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Form of Agreement evidencing a grant of Lazard Fund Interests (incorporated by reference to Exhibit 10.54 to the Registrant’s Quarterly</w:t>
              </w:r>
            </w:hyperlink>
          </w:p>
        </w:tc>
        <w:tc>
          <w:tcPr>
            <w:tcW w:w="42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Report (File No. 333-126751) on Form 10-Q filed on April 29, 2011).</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86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10.22*</w:t>
            </w:r>
          </w:p>
        </w:tc>
        <w:tc>
          <w:tcPr>
            <w:tcW w:w="10300" w:type="dxa"/>
            <w:vAlign w:val="bottom"/>
            <w:gridSpan w:val="26"/>
          </w:tcPr>
          <w:p>
            <w:pPr>
              <w:spacing w:after="0"/>
              <w:rPr>
                <w:rFonts w:ascii="Arial" w:cs="Arial" w:eastAsia="Arial" w:hAnsi="Arial"/>
                <w:sz w:val="18"/>
                <w:szCs w:val="18"/>
                <w:color w:val="0000EE"/>
                <w:w w:val="99"/>
              </w:rPr>
            </w:pPr>
            <w:hyperlink r:id="rId131">
              <w:r>
                <w:rPr>
                  <w:rFonts w:ascii="Arial" w:cs="Arial" w:eastAsia="Arial" w:hAnsi="Arial"/>
                  <w:sz w:val="18"/>
                  <w:szCs w:val="18"/>
                  <w:color w:val="0000EE"/>
                  <w:w w:val="99"/>
                </w:rPr>
                <w:t>Form of Agreement for Performance-Based Profits Interest Participation Right Units under the 2018 Incentive Compensation Plan</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80" w:type="dxa"/>
            <w:vAlign w:val="bottom"/>
            <w:gridSpan w:val="6"/>
            <w:shd w:val="clear" w:color="auto" w:fill="0000EE"/>
          </w:tcPr>
          <w:p>
            <w:pPr>
              <w:spacing w:after="0" w:line="20" w:lineRule="exact"/>
              <w:rPr>
                <w:sz w:val="1"/>
                <w:szCs w:val="1"/>
                <w:color w:val="auto"/>
              </w:rPr>
            </w:pPr>
          </w:p>
        </w:tc>
        <w:tc>
          <w:tcPr>
            <w:tcW w:w="86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(incorporated by reference to Exhibit 10.22 to the Registrant’s Quarterly Report (File No 333-126751) on Form 10-Q filed on April 30, 2019).</w:t>
              </w:r>
            </w:hyperlink>
          </w:p>
        </w:tc>
        <w:tc>
          <w:tcPr>
            <w:tcW w:w="40" w:type="dxa"/>
            <w:vAlign w:val="bottom"/>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Rule 13a-14(a) Certification of Kenneth M. Jacobs.</w:t>
              </w:r>
            </w:hyperlink>
          </w:p>
        </w:tc>
        <w:tc>
          <w:tcPr>
            <w:tcW w:w="6580" w:type="dxa"/>
            <w:vAlign w:val="bottom"/>
            <w:gridSpan w:val="20"/>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0300" w:type="dxa"/>
            <w:vAlign w:val="bottom"/>
            <w:gridSpan w:val="2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20" w:type="dxa"/>
            <w:vAlign w:val="bottom"/>
            <w:gridSpan w:val="21"/>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36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Section 1350 Certification for Kenneth M. Jacobs.</w:t>
              </w:r>
            </w:hyperlink>
          </w:p>
        </w:tc>
        <w:tc>
          <w:tcPr>
            <w:tcW w:w="6620" w:type="dxa"/>
            <w:vAlign w:val="bottom"/>
            <w:gridSpan w:val="21"/>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0300" w:type="dxa"/>
            <w:vAlign w:val="bottom"/>
            <w:gridSpan w:val="2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Section 1350 Certification for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7000" w:type="dxa"/>
            <w:vAlign w:val="bottom"/>
            <w:gridSpan w:val="23"/>
          </w:tcPr>
          <w:p>
            <w:pPr>
              <w:spacing w:after="0" w:line="20" w:lineRule="exact"/>
              <w:rPr>
                <w:sz w:val="1"/>
                <w:szCs w:val="1"/>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gridSpan w:val="26"/>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iXBRL tags are embedded within the</w:t>
            </w:r>
          </w:p>
        </w:tc>
      </w:tr>
      <w:tr>
        <w:trPr>
          <w:trHeight w:val="230"/>
        </w:trPr>
        <w:tc>
          <w:tcPr>
            <w:tcW w:w="1040" w:type="dxa"/>
            <w:vAlign w:val="bottom"/>
          </w:tcPr>
          <w:p>
            <w:pPr>
              <w:spacing w:after="0"/>
              <w:rPr>
                <w:sz w:val="20"/>
                <w:szCs w:val="20"/>
                <w:color w:val="auto"/>
              </w:rPr>
            </w:pPr>
          </w:p>
        </w:tc>
        <w:tc>
          <w:tcPr>
            <w:tcW w:w="10300" w:type="dxa"/>
            <w:vAlign w:val="bottom"/>
            <w:gridSpan w:val="26"/>
          </w:tcPr>
          <w:p>
            <w:pPr>
              <w:spacing w:after="0"/>
              <w:rPr>
                <w:sz w:val="20"/>
                <w:szCs w:val="20"/>
                <w:color w:val="auto"/>
              </w:rPr>
            </w:pPr>
            <w:r>
              <w:rPr>
                <w:rFonts w:ascii="Arial" w:cs="Arial" w:eastAsia="Arial" w:hAnsi="Arial"/>
                <w:sz w:val="18"/>
                <w:szCs w:val="18"/>
                <w:color w:val="auto"/>
              </w:rPr>
              <w:t>Inline XBRL document.</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00" w:type="dxa"/>
            <w:vAlign w:val="bottom"/>
            <w:gridSpan w:val="26"/>
          </w:tcPr>
          <w:p>
            <w:pPr>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0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0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00" w:type="dxa"/>
            <w:vAlign w:val="bottom"/>
            <w:gridSpan w:val="26"/>
          </w:tcPr>
          <w:p>
            <w:pPr>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0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w:t>
            </w:r>
          </w:p>
        </w:tc>
      </w:tr>
    </w:tbl>
    <w:p>
      <w:pPr>
        <w:ind w:right="3760" w:firstLine="8"/>
        <w:spacing w:after="0" w:line="433"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12090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24"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Evan L. Russo</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gridSpan w:val="2"/>
          </w:tcPr>
          <w:p>
            <w:pPr>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Dominick Ragone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gridSpan w:val="2"/>
          </w:tcPr>
          <w:p>
            <w:pPr>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2019 of Lazard Group LLC (the “Registrant”);</w:t>
      </w:r>
    </w:p>
    <w:p>
      <w:pPr>
        <w:spacing w:after="0" w:line="236" w:lineRule="exact"/>
        <w:rPr>
          <w:rFonts w:ascii="Arial" w:cs="Arial" w:eastAsia="Arial" w:hAnsi="Arial"/>
          <w:sz w:val="17"/>
          <w:szCs w:val="17"/>
          <w:color w:val="auto"/>
        </w:rPr>
      </w:pPr>
    </w:p>
    <w:p>
      <w:pPr>
        <w:ind w:right="240" w:firstLine="526"/>
        <w:spacing w:after="0" w:line="342" w:lineRule="auto"/>
        <w:tabs>
          <w:tab w:leader="none" w:pos="69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2019 of Lazard Group LLC (the “Registrant”);</w:t>
      </w:r>
    </w:p>
    <w:p>
      <w:pPr>
        <w:spacing w:after="0" w:line="236" w:lineRule="exact"/>
        <w:rPr>
          <w:rFonts w:ascii="Arial" w:cs="Arial" w:eastAsia="Arial" w:hAnsi="Arial"/>
          <w:sz w:val="17"/>
          <w:szCs w:val="17"/>
          <w:color w:val="auto"/>
        </w:rPr>
      </w:pPr>
    </w:p>
    <w:p>
      <w:pPr>
        <w:ind w:right="240" w:firstLine="526"/>
        <w:spacing w:after="0" w:line="342" w:lineRule="auto"/>
        <w:tabs>
          <w:tab w:leader="none" w:pos="69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4,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4,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2"/>
    </w:lvl>
  </w:abstractNum>
  <w:abstractNum w:abstractNumId="6">
    <w:nsid w:val="614FD4A1"/>
    <w:multiLevelType w:val="hybridMultilevel"/>
    <w:lvl w:ilvl="0">
      <w:lvlJc w:val="left"/>
      <w:lvlText w:val="%1."/>
      <w:numFmt w:val="decimal"/>
      <w:start w:val="3"/>
    </w:lvl>
  </w:abstractNum>
  <w:abstractNum w:abstractNumId="7">
    <w:nsid w:val="419AC241"/>
    <w:multiLevelType w:val="hybridMultilevel"/>
    <w:lvl w:ilvl="0">
      <w:lvlJc w:val="left"/>
      <w:lvlText w:val="(%1)"/>
      <w:numFmt w:val="lowerLetter"/>
      <w:start w:val="1"/>
    </w:lvl>
  </w:abstractNum>
  <w:abstractNum w:abstractNumId="8">
    <w:nsid w:val="5577F8E1"/>
    <w:multiLevelType w:val="hybridMultilevel"/>
    <w:lvl w:ilvl="0">
      <w:lvlJc w:val="left"/>
      <w:lvlText w:val="(%1)"/>
      <w:numFmt w:val="lowerLetter"/>
      <w:start w:val="2"/>
    </w:lvl>
  </w:abstractNum>
  <w:abstractNum w:abstractNumId="9">
    <w:nsid w:val="440BADFC"/>
    <w:multiLevelType w:val="hybridMultilevel"/>
    <w:lvl w:ilvl="0">
      <w:lvlJc w:val="left"/>
      <w:lvlText w:val="%1."/>
      <w:numFmt w:val="decimal"/>
      <w:start w:val="4"/>
    </w:lvl>
  </w:abstractNum>
  <w:abstractNum w:abstractNumId="10">
    <w:nsid w:val="5072367"/>
    <w:multiLevelType w:val="hybridMultilevel"/>
    <w:lvl w:ilvl="0">
      <w:lvlJc w:val="left"/>
      <w:lvlText w:val="%1."/>
      <w:numFmt w:val="decimal"/>
      <w:start w:val="5"/>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decimal"/>
      <w:start w:val="6"/>
    </w:lvl>
  </w:abstractNum>
  <w:abstractNum w:abstractNumId="13">
    <w:nsid w:val="7724C67E"/>
    <w:multiLevelType w:val="hybridMultilevel"/>
    <w:lvl w:ilvl="0">
      <w:lvlJc w:val="left"/>
      <w:lvlText w:val="(%1)"/>
      <w:numFmt w:val="lowerLetter"/>
      <w:start w:val="1"/>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decimal"/>
      <w:start w:val="7"/>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decimal"/>
      <w:start w:val="8"/>
    </w:lvl>
  </w:abstractNum>
  <w:abstractNum w:abstractNumId="19">
    <w:nsid w:val="580BD78F"/>
    <w:multiLevelType w:val="hybridMultilevel"/>
    <w:lvl w:ilvl="0">
      <w:lvlJc w:val="left"/>
      <w:lvlText w:val="%1."/>
      <w:numFmt w:val="decimal"/>
      <w:start w:val="9"/>
    </w:lvl>
  </w:abstractNum>
  <w:abstractNum w:abstractNumId="20">
    <w:nsid w:val="153EA438"/>
    <w:multiLevelType w:val="hybridMultilevel"/>
    <w:lvl w:ilvl="0">
      <w:lvlJc w:val="left"/>
      <w:lvlText w:val="%1."/>
      <w:numFmt w:val="decimal"/>
      <w:start w:val="10"/>
    </w:lvl>
  </w:abstractNum>
  <w:abstractNum w:abstractNumId="21">
    <w:nsid w:val="3855585C"/>
    <w:multiLevelType w:val="hybridMultilevel"/>
    <w:lvl w:ilvl="0">
      <w:lvlJc w:val="left"/>
      <w:lvlText w:val="%1."/>
      <w:numFmt w:val="decimal"/>
      <w:start w:val="11"/>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decimal"/>
      <w:start w:val="12"/>
    </w:lvl>
  </w:abstractNum>
  <w:abstractNum w:abstractNumId="24">
    <w:nsid w:val="2A487CB0"/>
    <w:multiLevelType w:val="hybridMultilevel"/>
    <w:lvl w:ilvl="0">
      <w:lvlJc w:val="left"/>
      <w:lvlText w:val="%1."/>
      <w:numFmt w:val="decimal"/>
      <w:start w:val="13"/>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decimal"/>
      <w:start w:val="14"/>
    </w:lvl>
  </w:abstractNum>
  <w:abstractNum w:abstractNumId="27">
    <w:nsid w:val="2CD89A32"/>
    <w:multiLevelType w:val="hybridMultilevel"/>
    <w:lvl w:ilvl="0">
      <w:lvlJc w:val="left"/>
      <w:lvlText w:val="%1."/>
      <w:numFmt w:val="decimal"/>
      <w:start w:val="15"/>
    </w:lvl>
  </w:abstractNum>
  <w:abstractNum w:abstractNumId="28">
    <w:nsid w:val="57E4CCAF"/>
    <w:multiLevelType w:val="hybridMultilevel"/>
    <w:lvl w:ilvl="0">
      <w:lvlJc w:val="left"/>
      <w:lvlText w:val="%1."/>
      <w:numFmt w:val="decimal"/>
      <w:start w:val="16"/>
    </w:lvl>
  </w:abstractNum>
  <w:abstractNum w:abstractNumId="29">
    <w:nsid w:val="7A6D8D3C"/>
    <w:multiLevelType w:val="hybridMultilevel"/>
    <w:lvl w:ilvl="0">
      <w:lvlJc w:val="left"/>
      <w:lvlText w:val="%1."/>
      <w:numFmt w:val="decimal"/>
      <w:start w:val="17"/>
    </w:lvl>
  </w:abstractNum>
  <w:abstractNum w:abstractNumId="30">
    <w:nsid w:val="4B588F54"/>
    <w:multiLevelType w:val="hybridMultilevel"/>
    <w:lvl w:ilvl="0">
      <w:lvlJc w:val="left"/>
      <w:lvlText w:val="(%1)"/>
      <w:numFmt w:val="lowerRoman"/>
      <w:start w:val="5"/>
    </w:lvl>
  </w:abstractNum>
  <w:abstractNum w:abstractNumId="31">
    <w:nsid w:val="542289EC"/>
    <w:multiLevelType w:val="hybridMultilevel"/>
    <w:lvl w:ilvl="0">
      <w:lvlJc w:val="left"/>
      <w:lvlText w:val="%1."/>
      <w:numFmt w:val="decimal"/>
      <w:start w:val="18"/>
    </w:lvl>
  </w:abstractNum>
  <w:abstractNum w:abstractNumId="32">
    <w:nsid w:val="6DE91B18"/>
    <w:multiLevelType w:val="hybridMultilevel"/>
    <w:lvl w:ilvl="0">
      <w:lvlJc w:val="left"/>
      <w:lvlText w:val="%1."/>
      <w:numFmt w:val="decimal"/>
      <w:start w:val="19"/>
    </w:lvl>
  </w:abstractNum>
  <w:abstractNum w:abstractNumId="33">
    <w:nsid w:val="38437FDB"/>
    <w:multiLevelType w:val="hybridMultilevel"/>
    <w:lvl w:ilvl="0">
      <w:lvlJc w:val="left"/>
      <w:lvlText w:val="%1."/>
      <w:numFmt w:val="decimal"/>
      <w:start w:val="20"/>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decimal"/>
      <w:start w:val="21"/>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lvl w:ilvl="1">
      <w:lvlJc w:val="left"/>
      <w:lvlText w:val="(%2)"/>
      <w:numFmt w:val="lowerRoman"/>
      <w:start w:val="1"/>
    </w:lvl>
  </w:abstractNum>
  <w:abstractNum w:abstractNumId="43">
    <w:nsid w:val="12E685FB"/>
    <w:multiLevelType w:val="hybridMultilevel"/>
    <w:lvl w:ilvl="0">
      <w:lvlJc w:val="left"/>
      <w:lvlText w:val="•"/>
      <w:numFmt w:val="bullet"/>
      <w:start w:val="1"/>
    </w:lvl>
    <w:lvl w:ilvl="1">
      <w:lvlJc w:val="left"/>
      <w:lvlText w:val="(%2)"/>
      <w:numFmt w:val="lowerRoman"/>
      <w:start w:val="2"/>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2"/>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lowerLetter"/>
      <w:start w:val="2"/>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lowerRoman"/>
      <w:start w:val="3"/>
    </w:lvl>
  </w:abstractNum>
  <w:abstractNum w:abstractNumId="58">
    <w:nsid w:val="741226BB"/>
    <w:multiLevelType w:val="hybridMultilevel"/>
    <w:lvl w:ilvl="0">
      <w:lvlJc w:val="left"/>
      <w:lvlText w:val="%1"/>
      <w:numFmt w:val="decimal"/>
      <w:start w:val="104"/>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00" Type="http://schemas.openxmlformats.org/officeDocument/2006/relationships/hyperlink" Target="http://www.sec.gov/Archives/edgar/data/1326141/000119312505145683/dex31.htm" TargetMode="External"/><Relationship Id="rId101" Type="http://schemas.openxmlformats.org/officeDocument/2006/relationships/hyperlink" Target="http://www.sec.gov/Archives/edgar/data/1326141/000119312505145683/dex32.htm" TargetMode="External"/><Relationship Id="rId102" Type="http://schemas.openxmlformats.org/officeDocument/2006/relationships/hyperlink" Target="http://www.sec.gov/Archives/edgar/data/1326141/000119312519027573/d655030dex991.htm" TargetMode="External"/><Relationship Id="rId103" Type="http://schemas.openxmlformats.org/officeDocument/2006/relationships/hyperlink" Target="http://www.sec.gov/Archives/edgar/data/1326141/000119312505145683/dex41.htm" TargetMode="External"/><Relationship Id="rId104" Type="http://schemas.openxmlformats.org/officeDocument/2006/relationships/hyperlink" Target="http://www.sec.gov/Archives/edgar/data/1326141/000119312515050372/d871109dex41.htm" TargetMode="External"/><Relationship Id="rId105" Type="http://schemas.openxmlformats.org/officeDocument/2006/relationships/hyperlink" Target="http://www.sec.gov/Archives/edgar/data/1326141/000119312516760474/d275674dex41.htm" TargetMode="External"/><Relationship Id="rId106" Type="http://schemas.openxmlformats.org/officeDocument/2006/relationships/hyperlink" Target="http://www.sec.gov/Archives/edgar/data/1311370/000119312518277695/d614135dex41.htm" TargetMode="External"/><Relationship Id="rId107" Type="http://schemas.openxmlformats.org/officeDocument/2006/relationships/hyperlink" Target="http://www.sec.gov/Archives/edgar/data/1326141/000095015719000258/ex4-1.htm" TargetMode="External"/><Relationship Id="rId108" Type="http://schemas.openxmlformats.org/officeDocument/2006/relationships/hyperlink" Target="http://www.sec.gov/Archives/edgar/data/1311370/000119312505025486/dex1019.htm" TargetMode="External"/><Relationship Id="rId109" Type="http://schemas.openxmlformats.org/officeDocument/2006/relationships/hyperlink" Target="http://www.sec.gov/Archives/edgar/data/1326141/000119312511117049/dex1015.htm" TargetMode="External"/><Relationship Id="rId110" Type="http://schemas.openxmlformats.org/officeDocument/2006/relationships/hyperlink" Target="http://www.sec.gov/Archives/edgar/data/1311370/000119312505091140/dex1021.htm" TargetMode="External"/><Relationship Id="rId111" Type="http://schemas.openxmlformats.org/officeDocument/2006/relationships/hyperlink" Target="http://www.sec.gov/Archives/edgar/data/1311370/000119312508063107/ddef14a.htm" TargetMode="External"/><Relationship Id="rId112" Type="http://schemas.openxmlformats.org/officeDocument/2006/relationships/hyperlink" Target="http://www.sec.gov/Archives/edgar/data/1311370/000119312516500308/d128121ddef14a.htm" TargetMode="External"/><Relationship Id="rId113" Type="http://schemas.openxmlformats.org/officeDocument/2006/relationships/hyperlink" Target="http://www.sec.gov/Archives/edgar/data/1311370/000119312518082725/d525181ddef14a.htm" TargetMode="External"/><Relationship Id="rId114" Type="http://schemas.openxmlformats.org/officeDocument/2006/relationships/hyperlink" Target="http://www.sec.gov/Archives/edgar/data/1326141/000119312519096110/d698065dex101.htm" TargetMode="External"/><Relationship Id="rId115" Type="http://schemas.openxmlformats.org/officeDocument/2006/relationships/hyperlink" Target="http://www.sec.gov/Archives/edgar/data/1326141/000119312519096110/d698065dex103.htm" TargetMode="External"/><Relationship Id="rId116" Type="http://schemas.openxmlformats.org/officeDocument/2006/relationships/hyperlink" Target="http://www.sec.gov/Archives/edgar/data/1326141/000119312519096110/d698065dex104.htm" TargetMode="External"/><Relationship Id="rId119" Type="http://schemas.openxmlformats.org/officeDocument/2006/relationships/hyperlink" Target="http://www.sec.gov/Archives/edgar/data/1326141/000119312519096110/d698065dex102.htm" TargetMode="External"/><Relationship Id="rId120" Type="http://schemas.openxmlformats.org/officeDocument/2006/relationships/hyperlink" Target="http://www.sec.gov/Archives/edgar/data/1326141/000119312519096110/d698065dex105.htm" TargetMode="External"/><Relationship Id="rId121" Type="http://schemas.openxmlformats.org/officeDocument/2006/relationships/hyperlink" Target="http://www.sec.gov/Archives/edgar/data/1311370/000089882205001180/sept9_exhibit.txt" TargetMode="External"/><Relationship Id="rId122" Type="http://schemas.openxmlformats.org/officeDocument/2006/relationships/hyperlink" Target="http://www.sec.gov/Archives/edgar/data/1311370/000119312509041325/dex1041.htm" TargetMode="External"/><Relationship Id="rId123" Type="http://schemas.openxmlformats.org/officeDocument/2006/relationships/hyperlink" Target="http://www.sec.gov/Archives/edgar/data/1311370/000119312509041325/dex1042.htm" TargetMode="External"/><Relationship Id="rId124" Type="http://schemas.openxmlformats.org/officeDocument/2006/relationships/hyperlink" Target="http://www.sec.gov/Archives/edgar/data/1311370/000119312506109044/dex1039.htm" TargetMode="External"/><Relationship Id="rId125" Type="http://schemas.openxmlformats.org/officeDocument/2006/relationships/hyperlink" Target="http://www.sec.gov/Archives/edgar/data/1326141/000119312515355050/d40575dex1025.htm" TargetMode="External"/><Relationship Id="rId126" Type="http://schemas.openxmlformats.org/officeDocument/2006/relationships/hyperlink" Target="http://www.sec.gov/Archives/edgar/data/1326141/000119312513188145/d507153dex1054.htm" TargetMode="External"/><Relationship Id="rId127" Type="http://schemas.openxmlformats.org/officeDocument/2006/relationships/hyperlink" Target="http://www.sec.gov/Archives/edgar/data/1326141/000119312514185018/d700862dex1054.htm" TargetMode="External"/><Relationship Id="rId128" Type="http://schemas.openxmlformats.org/officeDocument/2006/relationships/hyperlink" Target="http://www.sec.gov/Archives/edgar/data/1326141/000119312514185018/d700862dex1055.htm" TargetMode="External"/><Relationship Id="rId129" Type="http://schemas.openxmlformats.org/officeDocument/2006/relationships/hyperlink" Target="http://www.sec.gov/Archives/edgar/data/1326141/000119312510102282/dex1054.htm" TargetMode="External"/><Relationship Id="rId130" Type="http://schemas.openxmlformats.org/officeDocument/2006/relationships/hyperlink" Target="http://www.sec.gov/Archives/edgar/data/1326141/000119312511117049/dex1054.htm" TargetMode="External"/><Relationship Id="rId131" Type="http://schemas.openxmlformats.org/officeDocument/2006/relationships/hyperlink" Target="http://www.sec.gov/Archives/edgar/data/1326141/000156459019013925/lzd-ex1022_6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2019-12-28T02:36:07Z</dcterms:created>
  <dcterms:modified xsi:type="dcterms:W3CDTF">2019-12-28T02:36:07Z</dcterms:modified>
</cp:coreProperties>
</file>