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130810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75" w:lineRule="exact"/>
        <w:rPr>
          <w:sz w:val="24"/>
          <w:szCs w:val="24"/>
          <w:color w:val="auto"/>
        </w:rPr>
      </w:pPr>
    </w:p>
    <w:p>
      <w:pPr>
        <w:ind w:left="580" w:right="320" w:hanging="572"/>
        <w:spacing w:after="0" w:line="262" w:lineRule="auto"/>
        <w:tabs>
          <w:tab w:leader="none" w:pos="5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2013</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5" w:lineRule="exact"/>
        <w:rPr>
          <w:sz w:val="24"/>
          <w:szCs w:val="24"/>
          <w:color w:val="auto"/>
        </w:rPr>
      </w:pPr>
    </w:p>
    <w:p>
      <w:pPr>
        <w:ind w:left="580" w:right="320" w:hanging="572"/>
        <w:spacing w:after="0" w:line="262" w:lineRule="auto"/>
        <w:tabs>
          <w:tab w:leader="none" w:pos="5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301"/>
        </w:trPr>
        <w:tc>
          <w:tcPr>
            <w:tcW w:w="2320" w:type="dxa"/>
            <w:vAlign w:val="bottom"/>
          </w:tcPr>
          <w:p>
            <w:pPr>
              <w:spacing w:after="0"/>
              <w:rPr>
                <w:sz w:val="24"/>
                <w:szCs w:val="24"/>
                <w:color w:val="auto"/>
              </w:rPr>
            </w:pPr>
          </w:p>
        </w:tc>
        <w:tc>
          <w:tcPr>
            <w:tcW w:w="384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333-126751</w:t>
            </w:r>
          </w:p>
        </w:tc>
      </w:tr>
      <w:tr>
        <w:trPr>
          <w:trHeight w:val="230"/>
        </w:trPr>
        <w:tc>
          <w:tcPr>
            <w:tcW w:w="2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2"/>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7"/>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LAZARD GROUP LLC</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52" w:lineRule="exact"/>
        <w:rPr>
          <w:sz w:val="24"/>
          <w:szCs w:val="24"/>
          <w:color w:val="auto"/>
        </w:rPr>
      </w:pPr>
    </w:p>
    <w:tbl>
      <w:tblPr>
        <w:tblLayout w:type="fixed"/>
        <w:tblInd w:w="1620" w:type="dxa"/>
        <w:tblCellMar>
          <w:top w:w="0" w:type="dxa"/>
          <w:left w:w="0" w:type="dxa"/>
          <w:bottom w:w="0" w:type="dxa"/>
          <w:right w:w="0" w:type="dxa"/>
        </w:tblCellMar>
      </w:tblPr>
      <w:tr>
        <w:trPr>
          <w:trHeight w:val="216"/>
        </w:trPr>
        <w:tc>
          <w:tcPr>
            <w:tcW w:w="5960" w:type="dxa"/>
            <w:vAlign w:val="bottom"/>
            <w:gridSpan w:val="3"/>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00" w:type="dxa"/>
            <w:vAlign w:val="bottom"/>
          </w:tcPr>
          <w:p>
            <w:pPr>
              <w:jc w:val="right"/>
              <w:ind w:right="542"/>
              <w:spacing w:after="0"/>
              <w:rPr>
                <w:sz w:val="20"/>
                <w:szCs w:val="20"/>
                <w:color w:val="auto"/>
              </w:rPr>
            </w:pPr>
            <w:r>
              <w:rPr>
                <w:rFonts w:ascii="Times New Roman" w:cs="Times New Roman" w:eastAsia="Times New Roman" w:hAnsi="Times New Roman"/>
                <w:sz w:val="18"/>
                <w:szCs w:val="18"/>
                <w:b w:val="1"/>
                <w:bCs w:val="1"/>
                <w:color w:val="auto"/>
              </w:rPr>
              <w:t>51-0278097</w:t>
            </w:r>
          </w:p>
        </w:tc>
      </w:tr>
      <w:tr>
        <w:trPr>
          <w:trHeight w:val="149"/>
        </w:trPr>
        <w:tc>
          <w:tcPr>
            <w:tcW w:w="5960" w:type="dxa"/>
            <w:vAlign w:val="bottom"/>
            <w:gridSpan w:val="3"/>
          </w:tcPr>
          <w:p>
            <w:pPr>
              <w:jc w:val="center"/>
              <w:ind w:right="33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(State or Other Jurisdiction of Incorporation</w:t>
            </w:r>
          </w:p>
        </w:tc>
        <w:tc>
          <w:tcPr>
            <w:tcW w:w="2200" w:type="dxa"/>
            <w:vAlign w:val="bottom"/>
          </w:tcPr>
          <w:p>
            <w:pPr>
              <w:jc w:val="center"/>
              <w:ind w:left="42"/>
              <w:spacing w:after="0" w:line="149" w:lineRule="exact"/>
              <w:rPr>
                <w:sz w:val="20"/>
                <w:szCs w:val="20"/>
                <w:color w:val="auto"/>
              </w:rPr>
            </w:pPr>
            <w:r>
              <w:rPr>
                <w:rFonts w:ascii="Times New Roman" w:cs="Times New Roman" w:eastAsia="Times New Roman" w:hAnsi="Times New Roman"/>
                <w:sz w:val="14"/>
                <w:szCs w:val="14"/>
                <w:b w:val="1"/>
                <w:bCs w:val="1"/>
                <w:color w:val="auto"/>
                <w:w w:val="97"/>
              </w:rPr>
              <w:t>(I.R.S. Employer Identification No.)</w:t>
            </w:r>
          </w:p>
        </w:tc>
      </w:tr>
      <w:tr>
        <w:trPr>
          <w:trHeight w:val="178"/>
        </w:trPr>
        <w:tc>
          <w:tcPr>
            <w:tcW w:w="5960" w:type="dxa"/>
            <w:vAlign w:val="bottom"/>
            <w:gridSpan w:val="3"/>
          </w:tcPr>
          <w:p>
            <w:pPr>
              <w:jc w:val="center"/>
              <w:ind w:right="3360"/>
              <w:spacing w:after="0"/>
              <w:rPr>
                <w:sz w:val="20"/>
                <w:szCs w:val="20"/>
                <w:color w:val="auto"/>
              </w:rPr>
            </w:pPr>
            <w:r>
              <w:rPr>
                <w:rFonts w:ascii="Times New Roman" w:cs="Times New Roman" w:eastAsia="Times New Roman" w:hAnsi="Times New Roman"/>
                <w:sz w:val="14"/>
                <w:szCs w:val="14"/>
                <w:b w:val="1"/>
                <w:bCs w:val="1"/>
                <w:color w:val="auto"/>
                <w:w w:val="95"/>
              </w:rPr>
              <w:t>or Organization)</w:t>
            </w:r>
          </w:p>
        </w:tc>
        <w:tc>
          <w:tcPr>
            <w:tcW w:w="2200" w:type="dxa"/>
            <w:vAlign w:val="bottom"/>
          </w:tcPr>
          <w:p>
            <w:pPr>
              <w:spacing w:after="0"/>
              <w:rPr>
                <w:sz w:val="15"/>
                <w:szCs w:val="15"/>
                <w:color w:val="auto"/>
              </w:rPr>
            </w:pPr>
          </w:p>
        </w:tc>
      </w:tr>
      <w:tr>
        <w:trPr>
          <w:trHeight w:val="163"/>
        </w:trPr>
        <w:tc>
          <w:tcPr>
            <w:tcW w:w="290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274"/>
        </w:trPr>
        <w:tc>
          <w:tcPr>
            <w:tcW w:w="2900" w:type="dxa"/>
            <w:vAlign w:val="bottom"/>
          </w:tcPr>
          <w:p>
            <w:pPr>
              <w:spacing w:after="0"/>
              <w:rPr>
                <w:sz w:val="23"/>
                <w:szCs w:val="23"/>
                <w:color w:val="auto"/>
              </w:rPr>
            </w:pPr>
          </w:p>
        </w:tc>
        <w:tc>
          <w:tcPr>
            <w:tcW w:w="306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8"/>
              </w:rPr>
              <w:t>30 Rockefeller Plaza</w:t>
            </w:r>
          </w:p>
        </w:tc>
        <w:tc>
          <w:tcPr>
            <w:tcW w:w="2200" w:type="dxa"/>
            <w:vAlign w:val="bottom"/>
          </w:tcPr>
          <w:p>
            <w:pPr>
              <w:spacing w:after="0"/>
              <w:rPr>
                <w:sz w:val="23"/>
                <w:szCs w:val="23"/>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6"/>
              </w:rPr>
              <w:t>New York, NY 10020</w:t>
            </w:r>
          </w:p>
        </w:tc>
        <w:tc>
          <w:tcPr>
            <w:tcW w:w="2200" w:type="dxa"/>
            <w:vAlign w:val="bottom"/>
          </w:tcPr>
          <w:p>
            <w:pPr>
              <w:spacing w:after="0"/>
              <w:rPr>
                <w:sz w:val="18"/>
                <w:szCs w:val="18"/>
                <w:color w:val="auto"/>
              </w:rPr>
            </w:pPr>
          </w:p>
        </w:tc>
      </w:tr>
      <w:tr>
        <w:trPr>
          <w:trHeight w:val="230"/>
        </w:trPr>
        <w:tc>
          <w:tcPr>
            <w:tcW w:w="5960" w:type="dxa"/>
            <w:vAlign w:val="bottom"/>
            <w:gridSpan w:val="3"/>
          </w:tcPr>
          <w:p>
            <w:pPr>
              <w:jc w:val="center"/>
              <w:ind w:left="2140"/>
              <w:spacing w:after="0"/>
              <w:rPr>
                <w:sz w:val="20"/>
                <w:szCs w:val="20"/>
                <w:color w:val="auto"/>
              </w:rPr>
            </w:pPr>
            <w:r>
              <w:rPr>
                <w:rFonts w:ascii="Times New Roman" w:cs="Times New Roman" w:eastAsia="Times New Roman" w:hAnsi="Times New Roman"/>
                <w:sz w:val="18"/>
                <w:szCs w:val="18"/>
                <w:b w:val="1"/>
                <w:bCs w:val="1"/>
                <w:color w:val="auto"/>
                <w:w w:val="97"/>
              </w:rPr>
              <w:t>(Address of principal executive offices)</w:t>
            </w:r>
          </w:p>
        </w:tc>
        <w:tc>
          <w:tcPr>
            <w:tcW w:w="2200" w:type="dxa"/>
            <w:vAlign w:val="bottom"/>
          </w:tcPr>
          <w:p>
            <w:pPr>
              <w:spacing w:after="0"/>
              <w:rPr>
                <w:sz w:val="20"/>
                <w:szCs w:val="20"/>
                <w:color w:val="auto"/>
              </w:rPr>
            </w:pPr>
          </w:p>
        </w:tc>
      </w:tr>
      <w:tr>
        <w:trPr>
          <w:trHeight w:val="297"/>
        </w:trPr>
        <w:tc>
          <w:tcPr>
            <w:tcW w:w="5960" w:type="dxa"/>
            <w:vAlign w:val="bottom"/>
            <w:gridSpan w:val="3"/>
          </w:tcPr>
          <w:p>
            <w:pPr>
              <w:jc w:val="center"/>
              <w:ind w:left="2160"/>
              <w:spacing w:after="0"/>
              <w:rPr>
                <w:sz w:val="20"/>
                <w:szCs w:val="20"/>
                <w:color w:val="auto"/>
              </w:rPr>
            </w:pPr>
            <w:r>
              <w:rPr>
                <w:rFonts w:ascii="Times New Roman" w:cs="Times New Roman" w:eastAsia="Times New Roman" w:hAnsi="Times New Roman"/>
                <w:sz w:val="18"/>
                <w:szCs w:val="18"/>
                <w:b w:val="1"/>
                <w:bCs w:val="1"/>
                <w:color w:val="auto"/>
                <w:w w:val="97"/>
              </w:rPr>
              <w:t>Registrant’s telephone number: (212) 632-6000</w:t>
            </w:r>
          </w:p>
        </w:tc>
        <w:tc>
          <w:tcPr>
            <w:tcW w:w="22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4" w:lineRule="exact"/>
        <w:rPr>
          <w:sz w:val="24"/>
          <w:szCs w:val="24"/>
          <w:color w:val="auto"/>
        </w:rPr>
      </w:pPr>
    </w:p>
    <w:p>
      <w:pPr>
        <w:ind w:right="320" w:firstLine="342"/>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20" w:firstLine="342"/>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firstLine="342"/>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26" w:right="259" w:bottom="1440" w:gutter="0" w:footer="0" w:header="0"/>
        </w:sectPr>
      </w:pPr>
    </w:p>
    <w:p>
      <w:pPr>
        <w:spacing w:after="0" w:line="12" w:lineRule="exact"/>
        <w:rPr>
          <w:sz w:val="24"/>
          <w:szCs w:val="24"/>
          <w:color w:val="auto"/>
        </w:rPr>
      </w:pPr>
    </w:p>
    <w:p>
      <w:pPr>
        <w:ind w:left="58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99"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3">
            <w:col w:w="5420" w:space="720"/>
            <w:col w:w="1920" w:space="80"/>
            <w:col w:w="3260"/>
          </w:cols>
          <w:pgMar w:left="240" w:top="226" w:right="259" w:bottom="1440" w:gutter="0" w:footer="0" w:header="0"/>
          <w:type w:val="continuous"/>
        </w:sectPr>
      </w:pPr>
    </w:p>
    <w:p>
      <w:pPr>
        <w:ind w:left="360"/>
        <w:spacing w:after="0" w:line="207" w:lineRule="exact"/>
        <w:tabs>
          <w:tab w:leader="none" w:pos="8520" w:val="left"/>
          <w:tab w:leader="none" w:pos="92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17" w:lineRule="exact"/>
        <w:rPr>
          <w:sz w:val="24"/>
          <w:szCs w:val="24"/>
          <w:color w:val="auto"/>
        </w:rPr>
      </w:pPr>
    </w:p>
    <w:p>
      <w:pPr>
        <w:ind w:right="480" w:firstLine="342"/>
        <w:spacing w:after="0" w:line="275" w:lineRule="auto"/>
        <w:rPr>
          <w:sz w:val="20"/>
          <w:szCs w:val="20"/>
          <w:color w:val="auto"/>
        </w:rPr>
      </w:pPr>
      <w:r>
        <w:rPr>
          <w:rFonts w:ascii="Times New Roman" w:cs="Times New Roman" w:eastAsia="Times New Roman" w:hAnsi="Times New Roman"/>
          <w:sz w:val="18"/>
          <w:szCs w:val="18"/>
          <w:color w:val="auto"/>
        </w:rPr>
        <w:t>As of October 23, 2013, in addition to profit participation interests, there were 129,766,090 common membership interests and two managing member interests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9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When we use the terms “Lazard Group”, “Lazard”, “we”, “us”, “our” and “the Company”, we mean Lazard Group LLC, a Delaware limited liability company, that is the current holding company for the subsidiaries that conduct our businesses. Lazard Ltd is a Bermuda exempt company whose shares of Class A common stock (the “Class A common stock”) are publicly traded on the New York Stock Exchange under the Symbol “LAZ”. Lazard Ltd’s subsidiaries include Lazard Group and their respective subsidiaries. Lazard Ltd has no material operating assets other than indirect ownership as of September 30, 2013 of approximately 99.5% of the common membership interests in Lazard Group. Lazard Ltd controls Lazard Group through two of its indirect wholly-owned subsidiaries who are co-managing members of Lazard Group.</w:t>
      </w:r>
    </w:p>
    <w:p>
      <w:pPr>
        <w:spacing w:after="0" w:line="139" w:lineRule="exact"/>
        <w:rPr>
          <w:sz w:val="20"/>
          <w:szCs w:val="20"/>
          <w:color w:val="auto"/>
        </w:rPr>
      </w:pPr>
    </w:p>
    <w:p>
      <w:pPr>
        <w:ind w:right="40" w:firstLine="456"/>
        <w:spacing w:after="0" w:line="297" w:lineRule="auto"/>
        <w:rPr>
          <w:sz w:val="20"/>
          <w:szCs w:val="20"/>
          <w:color w:val="auto"/>
        </w:rPr>
      </w:pPr>
      <w:r>
        <w:rPr>
          <w:rFonts w:ascii="Times New Roman" w:cs="Times New Roman" w:eastAsia="Times New Roman" w:hAnsi="Times New Roman"/>
          <w:sz w:val="16"/>
          <w:szCs w:val="16"/>
          <w:i w:val="1"/>
          <w:iCs w:val="1"/>
          <w:color w:val="auto"/>
        </w:rPr>
        <w:t>Lazard Group has two primary holders of its common membership interests: Lazard Ltd and LAZ-MD Holdings LLC (“LAZ-MD Holdings”), a holding company that is owned by Lazard Group’s current and former managing directors. The Lazard Group common membership interests held by LAZ-MD Holdings are effectively exchangeable over time on a one-for-one basis with Lazard Ltd for shares of Lazard Ltd’s Class A common stock. In addition, Lazard Group has granted profit participation interests in Lazard Group to certain of its managing directors. The profit participation interests are discretionary profits interests that are intended to enable Lazard Group to compensate its managing directors in a manner consistent with historical practices.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040" w:type="dxa"/>
            <w:vAlign w:val="bottom"/>
            <w:gridSpan w:val="15"/>
            <w:vMerge w:val="restart"/>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 Financial Information</w:t>
              </w:r>
            </w:hyperlink>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56"/>
        </w:trPr>
        <w:tc>
          <w:tcPr>
            <w:tcW w:w="11040" w:type="dxa"/>
            <w:vAlign w:val="bottom"/>
            <w:gridSpan w:val="15"/>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7"/>
              </w:rPr>
            </w:pPr>
            <w:hyperlink w:anchor="page74">
              <w:r>
                <w:rPr>
                  <w:rFonts w:ascii="Times New Roman" w:cs="Times New Roman" w:eastAsia="Times New Roman" w:hAnsi="Times New Roman"/>
                  <w:sz w:val="18"/>
                  <w:szCs w:val="18"/>
                  <w:color w:val="0000EE"/>
                  <w:w w:val="97"/>
                </w:rPr>
                <w:t>Item 3. 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Item 4. Controls and Procedures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20" w:type="dxa"/>
            <w:vAlign w:val="bottom"/>
            <w:tcBorders>
              <w:bottom w:val="single" w:sz="8" w:color="0000EE"/>
            </w:tcBorders>
            <w:gridSpan w:val="5"/>
          </w:tcPr>
          <w:p>
            <w:pPr>
              <w:spacing w:after="0"/>
              <w:rPr>
                <w:rFonts w:ascii="Times New Roman" w:cs="Times New Roman" w:eastAsia="Times New Roman" w:hAnsi="Times New Roman"/>
                <w:sz w:val="18"/>
                <w:szCs w:val="18"/>
                <w:b w:val="1"/>
                <w:bCs w:val="1"/>
                <w:color w:val="0000EE"/>
                <w:w w:val="97"/>
              </w:rPr>
            </w:pPr>
            <w:hyperlink w:anchor="page75">
              <w:r>
                <w:rPr>
                  <w:rFonts w:ascii="Times New Roman" w:cs="Times New Roman" w:eastAsia="Times New Roman" w:hAnsi="Times New Roman"/>
                  <w:sz w:val="18"/>
                  <w:szCs w:val="18"/>
                  <w:b w:val="1"/>
                  <w:bCs w:val="1"/>
                  <w:color w:val="0000EE"/>
                  <w:w w:val="97"/>
                </w:rPr>
                <w:t>Part II. Other Information</w:t>
              </w:r>
            </w:hyperlink>
          </w:p>
        </w:tc>
        <w:tc>
          <w:tcPr>
            <w:tcW w:w="9020" w:type="dxa"/>
            <w:vAlign w:val="bottom"/>
            <w:gridSpan w:val="10"/>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Item 1. Legal Proceedings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6"/>
              </w:rPr>
            </w:pPr>
            <w:hyperlink w:anchor="page75">
              <w:r>
                <w:rPr>
                  <w:rFonts w:ascii="Times New Roman" w:cs="Times New Roman" w:eastAsia="Times New Roman" w:hAnsi="Times New Roman"/>
                  <w:sz w:val="18"/>
                  <w:szCs w:val="18"/>
                  <w:color w:val="0000EE"/>
                  <w:w w:val="96"/>
                </w:rPr>
                <w:t>Item 1A. Risk Factors</w:t>
              </w:r>
            </w:hyperlink>
          </w:p>
        </w:tc>
        <w:tc>
          <w:tcPr>
            <w:tcW w:w="280" w:type="dxa"/>
            <w:vAlign w:val="bottom"/>
            <w:tcBorders>
              <w:top w:val="single" w:sz="8" w:color="0000EE"/>
            </w:tcBorders>
            <w:gridSpan w:val="4"/>
          </w:tcPr>
          <w:p>
            <w:pPr>
              <w:spacing w:after="0"/>
              <w:rPr>
                <w:sz w:val="24"/>
                <w:szCs w:val="24"/>
                <w:color w:val="auto"/>
              </w:rPr>
            </w:pPr>
          </w:p>
        </w:tc>
        <w:tc>
          <w:tcPr>
            <w:tcW w:w="87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Item 3. Defaults Upon Senior Securities</w:t>
              </w:r>
            </w:hyperlink>
          </w:p>
        </w:tc>
        <w:tc>
          <w:tcPr>
            <w:tcW w:w="58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Item 4. Mine Safety Disclosures</w:t>
              </w:r>
            </w:hyperlink>
          </w:p>
        </w:tc>
        <w:tc>
          <w:tcPr>
            <w:tcW w:w="78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26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Item 5. Other Information</w:t>
              </w:r>
            </w:hyperlink>
          </w:p>
        </w:tc>
        <w:tc>
          <w:tcPr>
            <w:tcW w:w="83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Item 6. Exhibits</w:t>
              </w:r>
            </w:hyperlink>
          </w:p>
        </w:tc>
        <w:tc>
          <w:tcPr>
            <w:tcW w:w="87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8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15"/>
          </w:tcPr>
          <w:p>
            <w:pPr>
              <w:spacing w:after="0"/>
              <w:rPr>
                <w:rFonts w:ascii="Times New Roman" w:cs="Times New Roman" w:eastAsia="Times New Roman" w:hAnsi="Times New Roman"/>
                <w:sz w:val="18"/>
                <w:szCs w:val="18"/>
                <w:b w:val="1"/>
                <w:bCs w:val="1"/>
                <w:color w:val="0000EE"/>
              </w:rPr>
            </w:pPr>
            <w:hyperlink w:anchor="page82">
              <w:r>
                <w:rPr>
                  <w:rFonts w:ascii="Times New Roman" w:cs="Times New Roman" w:eastAsia="Times New Roman" w:hAnsi="Times New Roman"/>
                  <w:sz w:val="18"/>
                  <w:szCs w:val="18"/>
                  <w:b w:val="1"/>
                  <w:bCs w:val="1"/>
                  <w:color w:val="0000EE"/>
                </w:rPr>
                <w:t>Signatures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7140" w:type="dxa"/>
            <w:vAlign w:val="bottom"/>
            <w:gridSpan w:val="6"/>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6"/>
              </w:rPr>
              <w:t>PART I. FINANCIAL INFORMATION</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0260" w:type="dxa"/>
            <w:vAlign w:val="bottom"/>
            <w:gridSpan w:val="7"/>
          </w:tcPr>
          <w:p>
            <w:pPr>
              <w:ind w:left="260"/>
              <w:spacing w:after="0"/>
              <w:rPr>
                <w:sz w:val="20"/>
                <w:szCs w:val="20"/>
                <w:color w:val="auto"/>
              </w:rPr>
            </w:pPr>
            <w:r>
              <w:rPr>
                <w:rFonts w:ascii="Times New Roman" w:cs="Times New Roman" w:eastAsia="Times New Roman" w:hAnsi="Times New Roman"/>
                <w:sz w:val="18"/>
                <w:szCs w:val="18"/>
                <w:b w:val="1"/>
                <w:bCs w:val="1"/>
                <w:color w:val="auto"/>
              </w:rPr>
              <w:t>Financial Statements (Unaudited)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040" w:type="dxa"/>
            <w:vAlign w:val="bottom"/>
            <w:gridSpan w:val="8"/>
            <w:vMerge w:val="restart"/>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Financial Condition as of September 30, 2013 and December 31, 2012</w:t>
              </w:r>
            </w:hyperlink>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56"/>
        </w:trPr>
        <w:tc>
          <w:tcPr>
            <w:tcW w:w="11040" w:type="dxa"/>
            <w:vAlign w:val="bottom"/>
            <w:gridSpan w:val="8"/>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3900" w:type="dxa"/>
            <w:vAlign w:val="bottom"/>
            <w:gridSpan w:val="2"/>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Condensed Consolidated Statements of Operations for the three month and nine month periods ended September 30, 2013 and 2012</w:t>
              </w:r>
            </w:hyperlink>
          </w:p>
        </w:tc>
        <w:tc>
          <w:tcPr>
            <w:tcW w:w="17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04"/>
        </w:trPr>
        <w:tc>
          <w:tcPr>
            <w:tcW w:w="101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Condensed Consolidated Statements of Comprehensive Income for the three month and nine month periods ended September 30, 2013 and 2012</w:t>
              </w:r>
            </w:hyperlink>
          </w:p>
        </w:tc>
        <w:tc>
          <w:tcPr>
            <w:tcW w:w="8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04"/>
        </w:trPr>
        <w:tc>
          <w:tcPr>
            <w:tcW w:w="11040" w:type="dxa"/>
            <w:vAlign w:val="bottom"/>
            <w:gridSpan w:val="8"/>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Statements of Cash Flows for the nine month periods ended September 30, 2013 and 2012</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900" w:type="dxa"/>
            <w:vAlign w:val="bottom"/>
            <w:gridSpan w:val="2"/>
            <w:shd w:val="clear" w:color="auto" w:fill="0000EE"/>
          </w:tcPr>
          <w:p>
            <w:pPr>
              <w:spacing w:after="0" w:line="20" w:lineRule="exact"/>
              <w:rPr>
                <w:sz w:val="1"/>
                <w:szCs w:val="1"/>
                <w:color w:val="auto"/>
              </w:rPr>
            </w:pPr>
          </w:p>
        </w:tc>
        <w:tc>
          <w:tcPr>
            <w:tcW w:w="4240" w:type="dxa"/>
            <w:vAlign w:val="bottom"/>
            <w:gridSpan w:val="2"/>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8"/>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Condensed Consolidated Statements of Changes in Members’ Equity for the nine month periods ended September 30, 2013 and 2012</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04"/>
        </w:trPr>
        <w:tc>
          <w:tcPr>
            <w:tcW w:w="938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Notes to Condensed Consolidated Financial Statements</w:t>
              </w:r>
            </w:hyperlink>
          </w:p>
        </w:tc>
        <w:tc>
          <w:tcPr>
            <w:tcW w:w="166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83"/>
        </w:trPr>
        <w:tc>
          <w:tcPr>
            <w:tcW w:w="780" w:type="dxa"/>
            <w:vAlign w:val="bottom"/>
            <w:tcBorders>
              <w:top w:val="single" w:sz="8" w:color="0000EE"/>
            </w:tcBorders>
          </w:tcPr>
          <w:p>
            <w:pPr>
              <w:spacing w:after="0"/>
              <w:rPr>
                <w:sz w:val="24"/>
                <w:szCs w:val="24"/>
                <w:color w:val="auto"/>
              </w:rPr>
            </w:pPr>
          </w:p>
        </w:tc>
        <w:tc>
          <w:tcPr>
            <w:tcW w:w="3120" w:type="dxa"/>
            <w:vAlign w:val="bottom"/>
            <w:tcBorders>
              <w:top w:val="single" w:sz="8" w:color="0000EE"/>
            </w:tcBorders>
          </w:tcPr>
          <w:p>
            <w:pPr>
              <w:spacing w:after="0"/>
              <w:rPr>
                <w:sz w:val="24"/>
                <w:szCs w:val="24"/>
                <w:color w:val="auto"/>
              </w:rPr>
            </w:pPr>
          </w:p>
        </w:tc>
        <w:tc>
          <w:tcPr>
            <w:tcW w:w="3900" w:type="dxa"/>
            <w:vAlign w:val="bottom"/>
          </w:tcPr>
          <w:p>
            <w:pPr>
              <w:jc w:val="right"/>
              <w:ind w:right="1952"/>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FINANCIAL CONDITION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2013 AND DECEMBER 31, 2012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September 30,</w:t>
            </w:r>
          </w:p>
        </w:tc>
        <w:tc>
          <w:tcPr>
            <w:tcW w:w="440" w:type="dxa"/>
            <w:vAlign w:val="bottom"/>
          </w:tcPr>
          <w:p>
            <w:pPr>
              <w:spacing w:after="0"/>
              <w:rPr>
                <w:sz w:val="13"/>
                <w:szCs w:val="13"/>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9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682,147</w:t>
            </w:r>
          </w:p>
        </w:tc>
        <w:tc>
          <w:tcPr>
            <w:tcW w:w="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845,503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with banks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273,168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292,494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Cash deposited with clearing organizations and other segregated cash</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59,541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65,232</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8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9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w w:val="99"/>
              </w:rPr>
              <w:t>Receivables (net of allowance for doubtful accounts of $26,160 and $23,017 at September 30, 2013 and December 31, 2012,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Fees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430,197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Customers and other</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91,678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Related parties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124,890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646,765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458,343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402,514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9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w w:val="99"/>
              </w:rPr>
              <w:t>Property (net of accumulated amortization and depreciation of $244,634 and $225,861 at September 30, 2013 and December</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31, 2012, respectively)</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249,778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225,032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9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Goodwill and other intangible assets (net of accumulated amortization of $38,039 and $35,281 at September 30, 2013 and</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December 31, 2012, respectively)</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376,401</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392,822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275,337</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3,021,480</w:t>
            </w: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3,048,380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FINANCIAL CONDITION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2013 AND DECEMBER 31, 2012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9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4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Deposits and other customer payables</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289,872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382,064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Senior debt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1,076,850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1,076,850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Related party payables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206,311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209,072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498,059</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2,469,250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2,519,293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5"/>
                <w:szCs w:val="5"/>
                <w:color w:val="auto"/>
              </w:rPr>
            </w:pPr>
          </w:p>
        </w:tc>
        <w:tc>
          <w:tcPr>
            <w:tcW w:w="8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MEMBERS’ EQUITY</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8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Members’ equity (net of 4,741,550 and 10,230,729 shares of Lazard Ltd Class A common stock, at a cost of $149,384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581,238</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545,572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and $295,442 at September 30, 2013 and December 31, 2012, respectively) .</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(100,095)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(92,393)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Lazard Group LLC Members’ Equity</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481,143</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Members’ Equity</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552,230</w:t>
            </w: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529,087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3,021,480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3,048,380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 AND NINE MONTH PERIODS ENDED SEPTEMBER 30, 2013 AND 2012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236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12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Nine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Investment banking and other advisory fees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2"/>
              </w:rPr>
              <w:t>232,006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5"/>
              </w:rPr>
              <w:t>218,262</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$660,351</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$732,109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Money management fees</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2"/>
              </w:rPr>
              <w:t>241,478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214,867</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707,536</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2,964</w:t>
            </w: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3,692</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8,560</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25,554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15,529</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61,518</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502,002</w:t>
            </w: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452,350</w:t>
            </w:r>
          </w:p>
        </w:tc>
        <w:tc>
          <w:tcPr>
            <w:tcW w:w="3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1,437,965</w:t>
            </w:r>
          </w:p>
        </w:tc>
        <w:tc>
          <w:tcPr>
            <w:tcW w:w="3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1,415,624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22,033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23,039</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66,485</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Net revenue</w:t>
            </w:r>
          </w:p>
        </w:tc>
        <w:tc>
          <w:tcPr>
            <w:tcW w:w="4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479,969</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429,311</w:t>
            </w:r>
          </w:p>
        </w:tc>
        <w:tc>
          <w:tcPr>
            <w:tcW w:w="3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1,371,480</w:t>
            </w:r>
          </w:p>
        </w:tc>
        <w:tc>
          <w:tcPr>
            <w:tcW w:w="3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1,346,776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4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2"/>
              </w:rPr>
              <w:t>301,795</w:t>
            </w: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5"/>
              </w:rPr>
              <w:t>283,805</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910,638</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905,488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Occupancy and equipment</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27,388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25,676</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96,412</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Marketing and business development</w:t>
            </w:r>
          </w:p>
        </w:tc>
        <w:tc>
          <w:tcPr>
            <w:tcW w:w="4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17,076</w:t>
            </w: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19,096</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60,645</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Technology and information services</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22,216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21,474</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65,330</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Professional services</w:t>
            </w:r>
          </w:p>
        </w:tc>
        <w:tc>
          <w:tcPr>
            <w:tcW w:w="4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12,629</w:t>
            </w: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8,288</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30,646</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Fund administration and outsourced services</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14,475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13,179</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43,328</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Amortization of intangible assets related to acquisitions</w:t>
            </w:r>
          </w:p>
        </w:tc>
        <w:tc>
          <w:tcPr>
            <w:tcW w:w="4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877</w:t>
            </w: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2,494</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2,758</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2,443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7,799</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17,493</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398,899</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381,811</w:t>
            </w:r>
          </w:p>
        </w:tc>
        <w:tc>
          <w:tcPr>
            <w:tcW w:w="3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1,227,250</w:t>
            </w:r>
          </w:p>
        </w:tc>
        <w:tc>
          <w:tcPr>
            <w:tcW w:w="3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1,221,244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81,070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47,500</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144,230</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12,252</w:t>
            </w: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10,769</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22,053</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68,818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36,731</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122,177</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99,394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920" w:type="dxa"/>
            <w:vAlign w:val="bottom"/>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LESS - NET INCOME (LOSS) ATTRIBUTABLE TO NONCONTROLLING</w:t>
            </w: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42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2,100</w:t>
            </w:r>
          </w:p>
        </w:tc>
        <w:tc>
          <w:tcPr>
            <w:tcW w:w="16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(1,565)</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4,461</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92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NET INCOME ATTRIBUTABLE TO</w:t>
            </w:r>
          </w:p>
        </w:tc>
        <w:tc>
          <w:tcPr>
            <w:tcW w:w="4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LAZARD GROUP LLC</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66,718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38,296</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$ 117,716</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97,133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 AND NINE MONTH PERIODS ENDED SEPTEMBER 30, 2013 AND 2012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90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4"/>
                <w:szCs w:val="14"/>
                <w:color w:val="auto"/>
              </w:rPr>
            </w:pPr>
          </w:p>
        </w:tc>
        <w:tc>
          <w:tcPr>
            <w:tcW w:w="190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68,818</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122,177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NET OF TAX:</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1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11,407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12,464</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14,617</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7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Amortization of interest rate hedge</w:t>
            </w:r>
          </w:p>
        </w:tc>
        <w:tc>
          <w:tcPr>
            <w:tcW w:w="11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Employee benefit plans: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72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9"/>
              </w:rPr>
              <w:t>Actuarial gain (loss) (net of tax (expense) benefit of $(25) and $994 for the three months</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ended September 30, 2013 and 2012, respectively, and $1,686 and $3,719 for the</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nine months ended September 30, 2013 and 2012, respectively)</w:t>
            </w:r>
          </w:p>
        </w:tc>
        <w:tc>
          <w:tcPr>
            <w:tcW w:w="11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(1,893)</w:t>
            </w: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(2,669)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(7,947)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shd w:val="clear" w:color="auto" w:fill="CCEEFF"/>
          </w:tcPr>
          <w:p>
            <w:pPr>
              <w:ind w:left="860"/>
              <w:spacing w:after="0" w:line="201" w:lineRule="exact"/>
              <w:rPr>
                <w:sz w:val="20"/>
                <w:szCs w:val="20"/>
                <w:color w:val="auto"/>
              </w:rPr>
            </w:pPr>
            <w:r>
              <w:rPr>
                <w:rFonts w:ascii="Times New Roman" w:cs="Times New Roman" w:eastAsia="Times New Roman" w:hAnsi="Times New Roman"/>
                <w:sz w:val="18"/>
                <w:szCs w:val="18"/>
                <w:color w:val="auto"/>
              </w:rPr>
              <w:t>Adjustment for items reclassified to earnings (net of tax expense of $404 and $278 for</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the three months ended September 30, 2013 and 2012, respectively, and $1,206 and</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$856 for the nine months ended September 30, 2013 and 2012, respectively)</w:t>
            </w:r>
          </w:p>
        </w:tc>
        <w:tc>
          <w:tcPr>
            <w:tcW w:w="11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1,223</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2,444</w:t>
            </w:r>
          </w:p>
        </w:tc>
        <w:tc>
          <w:tcPr>
            <w:tcW w:w="0" w:type="dxa"/>
            <w:vAlign w:val="bottom"/>
          </w:tcPr>
          <w:p>
            <w:pPr>
              <w:spacing w:after="0"/>
              <w:rPr>
                <w:sz w:val="1"/>
                <w:szCs w:val="1"/>
                <w:color w:val="auto"/>
              </w:rPr>
            </w:pPr>
          </w:p>
        </w:tc>
      </w:tr>
      <w:tr>
        <w:trPr>
          <w:trHeight w:val="207"/>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6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NET OF TAX</w:t>
            </w:r>
          </w:p>
        </w:tc>
        <w:tc>
          <w:tcPr>
            <w:tcW w:w="160" w:type="dxa"/>
            <w:vAlign w:val="bottom"/>
          </w:tcPr>
          <w:p>
            <w:pPr>
              <w:spacing w:after="0"/>
              <w:rPr>
                <w:sz w:val="20"/>
                <w:szCs w:val="20"/>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12,944</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11,638</w:t>
            </w:r>
          </w:p>
        </w:tc>
        <w:tc>
          <w:tcPr>
            <w:tcW w:w="240" w:type="dxa"/>
            <w:vAlign w:val="bottom"/>
          </w:tcPr>
          <w:p>
            <w:pPr>
              <w:spacing w:after="0"/>
              <w:rPr>
                <w:sz w:val="20"/>
                <w:szCs w:val="20"/>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(7,782)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9,905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81,762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48,369</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114,395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109,299</w:t>
            </w:r>
          </w:p>
        </w:tc>
        <w:tc>
          <w:tcPr>
            <w:tcW w:w="0" w:type="dxa"/>
            <w:vAlign w:val="bottom"/>
          </w:tcPr>
          <w:p>
            <w:pPr>
              <w:spacing w:after="0"/>
              <w:rPr>
                <w:sz w:val="1"/>
                <w:szCs w:val="1"/>
                <w:color w:val="auto"/>
              </w:rPr>
            </w:pPr>
          </w:p>
        </w:tc>
      </w:tr>
      <w:tr>
        <w:trPr>
          <w:trHeight w:val="308"/>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LESS - COMPREHENSIVE INCOME (LOSS) ATTRIBUTABLE TO NONCONTROLLING</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1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2,086</w:t>
            </w:r>
          </w:p>
        </w:tc>
        <w:tc>
          <w:tcPr>
            <w:tcW w:w="14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(1,434)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4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COMPREHENSIVE INCOME ATTRIBUTABLE TO</w:t>
            </w:r>
          </w:p>
        </w:tc>
        <w:tc>
          <w:tcPr>
            <w:tcW w:w="16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LAZARD GROUP LLC</w:t>
            </w:r>
          </w:p>
        </w:tc>
        <w:tc>
          <w:tcPr>
            <w:tcW w:w="11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79,676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49,803</w:t>
            </w:r>
          </w:p>
        </w:tc>
        <w:tc>
          <w:tcPr>
            <w:tcW w:w="24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$ 110,014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106,969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 PERIODS ENDED SEPTEMBER 30, 2013 AND 2012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180" w:type="dxa"/>
            <w:vAlign w:val="bottom"/>
          </w:tcPr>
          <w:p>
            <w:pPr>
              <w:spacing w:after="0"/>
              <w:rPr>
                <w:sz w:val="13"/>
                <w:szCs w:val="13"/>
                <w:color w:val="auto"/>
              </w:rPr>
            </w:pPr>
          </w:p>
        </w:tc>
        <w:tc>
          <w:tcPr>
            <w:tcW w:w="222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5"/>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4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1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$ 122,177</w:t>
            </w:r>
          </w:p>
        </w:tc>
        <w:tc>
          <w:tcPr>
            <w:tcW w:w="3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99,394</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Noncash items included in net income:</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Depreciation and amortization of property</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22,472</w:t>
            </w:r>
          </w:p>
        </w:tc>
      </w:tr>
      <w:tr>
        <w:trPr>
          <w:trHeight w:val="202"/>
        </w:trPr>
        <w:tc>
          <w:tcPr>
            <w:tcW w:w="20" w:type="dxa"/>
            <w:vAlign w:val="bottom"/>
          </w:tcPr>
          <w:p>
            <w:pPr>
              <w:spacing w:after="0"/>
              <w:rPr>
                <w:sz w:val="17"/>
                <w:szCs w:val="17"/>
                <w:color w:val="auto"/>
              </w:rPr>
            </w:pPr>
          </w:p>
        </w:tc>
        <w:tc>
          <w:tcPr>
            <w:tcW w:w="9180" w:type="dxa"/>
            <w:vAlign w:val="bottom"/>
          </w:tcPr>
          <w:p>
            <w:pPr>
              <w:ind w:left="860"/>
              <w:spacing w:after="0" w:line="201" w:lineRule="exact"/>
              <w:rPr>
                <w:sz w:val="20"/>
                <w:szCs w:val="20"/>
                <w:color w:val="auto"/>
              </w:rPr>
            </w:pPr>
            <w:r>
              <w:rPr>
                <w:rFonts w:ascii="Times New Roman" w:cs="Times New Roman" w:eastAsia="Times New Roman" w:hAnsi="Times New Roman"/>
                <w:sz w:val="18"/>
                <w:szCs w:val="18"/>
                <w:color w:val="auto"/>
              </w:rPr>
              <w:t>Amortization of deferred expenses, share-based incentive compensation</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91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and interest rate hedge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238,584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252,129</w:t>
            </w: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Amortization of intangible assets related to acquisitions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6,172</w:t>
            </w: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Loss on sale of intercompany receivable</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5,638</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(Increase) decrease in operating assets:</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Deposits with banks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18,465</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Cash deposited with clearing organizations and other segregated cash</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13,614</w:t>
            </w: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Receivables-net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(61,543)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9,686</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Investments</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(55,300)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(63,338)</w:t>
            </w: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 assets</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(80,162)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(52,755)</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Increase (decrease) in operating liabilities:</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Deposits and other payables</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11,123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(22,448)</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Accrued compensation and benefits and other liabilities</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(67,327)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(56,521)</w:t>
            </w:r>
          </w:p>
        </w:tc>
      </w:tr>
      <w:tr>
        <w:trPr>
          <w:trHeight w:val="230"/>
        </w:trPr>
        <w:tc>
          <w:tcPr>
            <w:tcW w:w="20" w:type="dxa"/>
            <w:vAlign w:val="bottom"/>
          </w:tcPr>
          <w:p>
            <w:pPr>
              <w:spacing w:after="0"/>
              <w:rPr>
                <w:sz w:val="20"/>
                <w:szCs w:val="20"/>
                <w:color w:val="auto"/>
              </w:rPr>
            </w:pPr>
          </w:p>
        </w:tc>
        <w:tc>
          <w:tcPr>
            <w:tcW w:w="91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167,624</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232,508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Additions to property</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(54,344)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(71,722)</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Disposals of property</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2,158</w:t>
            </w:r>
          </w:p>
        </w:tc>
      </w:tr>
      <w:tr>
        <w:trPr>
          <w:trHeight w:val="230"/>
        </w:trPr>
        <w:tc>
          <w:tcPr>
            <w:tcW w:w="20" w:type="dxa"/>
            <w:vAlign w:val="bottom"/>
          </w:tcPr>
          <w:p>
            <w:pPr>
              <w:spacing w:after="0"/>
              <w:rPr>
                <w:sz w:val="20"/>
                <w:szCs w:val="20"/>
                <w:color w:val="auto"/>
              </w:rPr>
            </w:pPr>
          </w:p>
        </w:tc>
        <w:tc>
          <w:tcPr>
            <w:tcW w:w="91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(48,501)</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(69,564)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Contribution from noncontrolling interests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1,544</w:t>
            </w: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Sale of intercompany receivable</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81,105</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Excess tax benefits from share-based incentive compensation</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2,211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Payments for:</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(2,092)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(1,878)</w:t>
            </w: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(9,663)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(13,580)</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Purchase of Lazard Ltd Class A common stock</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(77,934)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(122,862)</w:t>
            </w:r>
          </w:p>
        </w:tc>
      </w:tr>
      <w:tr>
        <w:trPr>
          <w:trHeight w:val="229"/>
        </w:trPr>
        <w:tc>
          <w:tcPr>
            <w:tcW w:w="20" w:type="dxa"/>
            <w:vAlign w:val="bottom"/>
          </w:tcPr>
          <w:p>
            <w:pPr>
              <w:spacing w:after="0"/>
              <w:rPr>
                <w:sz w:val="19"/>
                <w:szCs w:val="19"/>
                <w:color w:val="auto"/>
              </w:rPr>
            </w:pPr>
          </w:p>
        </w:tc>
        <w:tc>
          <w:tcPr>
            <w:tcW w:w="91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Distributions to members</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(61,496)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(69,948)</w:t>
            </w: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Settlement of vested share-based incentive compensation</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(125,546)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(40,686)</w:t>
            </w: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(1,455)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(275,170)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(168,305)</w:t>
            </w:r>
          </w:p>
        </w:tc>
      </w:tr>
      <w:tr>
        <w:trPr>
          <w:trHeight w:val="230"/>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(7,309)</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(163,356)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942</w:t>
            </w: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EQUIVALENTS—January 1</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845,503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820,984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EQUIVALENTS—September 30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$ 682,147</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821,926</w:t>
            </w: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MEMBERS’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 PERIOD ENDED SEPTEMBER 30, 2012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200" w:type="dxa"/>
            <w:vAlign w:val="bottom"/>
          </w:tcPr>
          <w:p>
            <w:pPr>
              <w:spacing w:after="0"/>
              <w:rPr>
                <w:sz w:val="13"/>
                <w:szCs w:val="13"/>
                <w:color w:val="auto"/>
              </w:rPr>
            </w:pP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20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Lazard</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20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Group</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Members’</w:t>
            </w:r>
          </w:p>
        </w:tc>
        <w:tc>
          <w:tcPr>
            <w:tcW w:w="220" w:type="dxa"/>
            <w:vAlign w:val="bottom"/>
          </w:tcPr>
          <w:p>
            <w:pPr>
              <w:spacing w:after="0"/>
              <w:rPr>
                <w:sz w:val="12"/>
                <w:szCs w:val="12"/>
                <w:color w:val="auto"/>
              </w:rPr>
            </w:pPr>
          </w:p>
        </w:tc>
        <w:tc>
          <w:tcPr>
            <w:tcW w:w="11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Income (Loss),</w:t>
            </w:r>
          </w:p>
        </w:tc>
        <w:tc>
          <w:tcPr>
            <w:tcW w:w="2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Members’</w:t>
            </w:r>
          </w:p>
        </w:tc>
        <w:tc>
          <w:tcPr>
            <w:tcW w:w="13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Members’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5"/>
              </w:rPr>
              <w:t>Net of Tax</w:t>
            </w:r>
          </w:p>
        </w:tc>
        <w:tc>
          <w:tcPr>
            <w:tcW w:w="20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3"/>
              </w:rPr>
              <w:t>Equity</w:t>
            </w:r>
          </w:p>
        </w:tc>
        <w:tc>
          <w:tcPr>
            <w:tcW w:w="120" w:type="dxa"/>
            <w:vAlign w:val="bottom"/>
          </w:tcPr>
          <w:p>
            <w:pPr>
              <w:spacing w:after="0"/>
              <w:rPr>
                <w:sz w:val="14"/>
                <w:szCs w:val="14"/>
                <w:color w:val="auto"/>
              </w:rPr>
            </w:pP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3"/>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2012 (*)</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$ 693,596</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(79,252)</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$ 614,344</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103,923</w:t>
            </w:r>
          </w:p>
        </w:tc>
        <w:tc>
          <w:tcPr>
            <w:tcW w:w="4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$ 718,267</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97,133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 - net of tax:</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14,548</w:t>
            </w:r>
          </w:p>
        </w:tc>
        <w:tc>
          <w:tcPr>
            <w:tcW w:w="14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14,548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Amortization of interest rate hedge</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791</w:t>
            </w:r>
          </w:p>
        </w:tc>
        <w:tc>
          <w:tcPr>
            <w:tcW w:w="14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Employee benefit plans: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Net actuarial loss</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(7,947)</w:t>
            </w:r>
          </w:p>
        </w:tc>
        <w:tc>
          <w:tcPr>
            <w:tcW w:w="14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(7,947)</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Adjustments for items reclassified to earnings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2,444</w:t>
            </w:r>
          </w:p>
        </w:tc>
        <w:tc>
          <w:tcPr>
            <w:tcW w:w="14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2,444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Comprehensive income</w:t>
            </w: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106,969</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4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109,299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share-based incentive compensation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220,175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220,175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220,175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to members and noncontrolling interests, net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(69,948)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(69,948)</w:t>
            </w:r>
          </w:p>
        </w:tc>
        <w:tc>
          <w:tcPr>
            <w:tcW w:w="1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(12,036)</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Deconsolidation of investment companies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(10,607)</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Lazard Ltd Class A common stock</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(122,862)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(122,862)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(122,862)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Delivery of Lazard Ltd Class A common stock in connection with</w:t>
            </w: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shared-based incentive compensation and related tax expense of</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$972</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(41,658)</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(41,658)</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Business acquisitions and related equity transactions:</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00" w:type="dxa"/>
            <w:vAlign w:val="bottom"/>
            <w:shd w:val="clear" w:color="auto" w:fill="CCEEFF"/>
          </w:tcPr>
          <w:p>
            <w:pPr>
              <w:ind w:left="200"/>
              <w:spacing w:after="0" w:line="201" w:lineRule="exact"/>
              <w:rPr>
                <w:sz w:val="20"/>
                <w:szCs w:val="20"/>
                <w:color w:val="auto"/>
              </w:rPr>
            </w:pPr>
            <w:r>
              <w:rPr>
                <w:rFonts w:ascii="Times New Roman" w:cs="Times New Roman" w:eastAsia="Times New Roman" w:hAnsi="Times New Roman"/>
                <w:sz w:val="18"/>
                <w:szCs w:val="18"/>
                <w:color w:val="auto"/>
              </w:rPr>
              <w:t>Lazard Ltd Class A common stock issuable (including related</w:t>
            </w: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3,549</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(1,992)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(1,992)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September 30, 2012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$ 777,993</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(69,416)</w:t>
            </w:r>
          </w:p>
        </w:tc>
        <w:tc>
          <w:tcPr>
            <w:tcW w:w="14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$ 708,577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83,610</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$ 792,187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60" w:right="160" w:hanging="452"/>
        <w:spacing w:after="0" w:line="231" w:lineRule="auto"/>
        <w:tabs>
          <w:tab w:leader="none" w:pos="46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Includes 129,766,090 common membership interests at both January 1, 2012 and September 30, 2012. Also includes profit participation interests and two managing member interests issued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MEMBERS’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 PERIOD ENDED SEPTEMBER 30, 2013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0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Total Lazard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87"/>
              </w:rPr>
              <w:t>Total</w:t>
            </w: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780" w:type="dxa"/>
            <w:vAlign w:val="bottom"/>
          </w:tcPr>
          <w:p>
            <w:pPr>
              <w:jc w:val="right"/>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Members’</w:t>
            </w:r>
          </w:p>
        </w:tc>
        <w:tc>
          <w:tcPr>
            <w:tcW w:w="54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Income (Loss),</w:t>
            </w:r>
          </w:p>
        </w:tc>
        <w:tc>
          <w:tcPr>
            <w:tcW w:w="13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Group Members’</w:t>
            </w:r>
          </w:p>
        </w:tc>
        <w:tc>
          <w:tcPr>
            <w:tcW w:w="26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6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Members’</w:t>
            </w:r>
          </w:p>
        </w:tc>
      </w:tr>
      <w:tr>
        <w:trPr>
          <w:trHeight w:val="165"/>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7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540" w:type="dxa"/>
            <w:vAlign w:val="bottom"/>
          </w:tcPr>
          <w:p>
            <w:pPr>
              <w:spacing w:after="0"/>
              <w:rPr>
                <w:sz w:val="14"/>
                <w:szCs w:val="14"/>
                <w:color w:val="auto"/>
              </w:rPr>
            </w:pPr>
          </w:p>
        </w:tc>
        <w:tc>
          <w:tcPr>
            <w:tcW w:w="14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5"/>
              </w:rPr>
              <w:t>Net of Tax</w:t>
            </w:r>
          </w:p>
        </w:tc>
        <w:tc>
          <w:tcPr>
            <w:tcW w:w="1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6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Equity</w:t>
            </w: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2013 (*)</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545,572</w:t>
            </w:r>
          </w:p>
        </w:tc>
        <w:tc>
          <w:tcPr>
            <w:tcW w:w="5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(92,393)</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453,179</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75,908</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529,087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117,716</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117,716</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2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122,177</w:t>
            </w: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(loss)-net of tax:</w:t>
            </w: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7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(9,477)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(9,557)</w:t>
            </w:r>
          </w:p>
        </w:tc>
      </w:tr>
      <w:tr>
        <w:trPr>
          <w:trHeight w:val="216"/>
        </w:trPr>
        <w:tc>
          <w:tcPr>
            <w:tcW w:w="20" w:type="dxa"/>
            <w:vAlign w:val="bottom"/>
          </w:tcPr>
          <w:p>
            <w:pPr>
              <w:spacing w:after="0"/>
              <w:rPr>
                <w:sz w:val="18"/>
                <w:szCs w:val="18"/>
                <w:color w:val="auto"/>
              </w:rPr>
            </w:pPr>
          </w:p>
        </w:tc>
        <w:tc>
          <w:tcPr>
            <w:tcW w:w="47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Amortization of interest rate hedge</w:t>
            </w:r>
          </w:p>
        </w:tc>
        <w:tc>
          <w:tcPr>
            <w:tcW w:w="7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791</w:t>
            </w: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Employee benefit plans:</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Net actuarial loss</w:t>
            </w:r>
          </w:p>
        </w:tc>
        <w:tc>
          <w:tcPr>
            <w:tcW w:w="780" w:type="dxa"/>
            <w:vAlign w:val="bottom"/>
          </w:tcPr>
          <w:p>
            <w:pPr>
              <w:spacing w:after="0"/>
              <w:rPr>
                <w:sz w:val="18"/>
                <w:szCs w:val="18"/>
                <w:color w:val="auto"/>
              </w:rPr>
            </w:pPr>
          </w:p>
        </w:tc>
        <w:tc>
          <w:tcPr>
            <w:tcW w:w="20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(2,669)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(2,669)</w:t>
            </w: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ind w:left="1060"/>
              <w:spacing w:after="0" w:line="201" w:lineRule="exact"/>
              <w:rPr>
                <w:sz w:val="20"/>
                <w:szCs w:val="20"/>
                <w:color w:val="auto"/>
              </w:rPr>
            </w:pPr>
            <w:r>
              <w:rPr>
                <w:rFonts w:ascii="Times New Roman" w:cs="Times New Roman" w:eastAsia="Times New Roman" w:hAnsi="Times New Roman"/>
                <w:sz w:val="18"/>
                <w:szCs w:val="18"/>
                <w:color w:val="auto"/>
              </w:rPr>
              <w:t>Adjustments for items reclassified to</w:t>
            </w: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earnings</w:t>
            </w:r>
          </w:p>
        </w:tc>
        <w:tc>
          <w:tcPr>
            <w:tcW w:w="7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3,653</w:t>
            </w:r>
          </w:p>
        </w:tc>
      </w:tr>
      <w:tr>
        <w:trPr>
          <w:trHeight w:val="230"/>
        </w:trPr>
        <w:tc>
          <w:tcPr>
            <w:tcW w:w="20" w:type="dxa"/>
            <w:vAlign w:val="bottom"/>
          </w:tcPr>
          <w:p>
            <w:pPr>
              <w:spacing w:after="0"/>
              <w:rPr>
                <w:sz w:val="20"/>
                <w:szCs w:val="20"/>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Comprehensive income</w:t>
            </w: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110,014</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114,395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share-based incentive compensation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183,341</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183,341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183,341</w:t>
            </w: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to members and noncontrolling interests, net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(61,496)</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(61,496)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(8,858)</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(70,354)</w:t>
            </w: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Lazard Ltd Class A common stock</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(77,934)</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(77,934)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(77,934)</w:t>
            </w:r>
          </w:p>
        </w:tc>
      </w:tr>
      <w:tr>
        <w:trPr>
          <w:trHeight w:val="202"/>
        </w:trPr>
        <w:tc>
          <w:tcPr>
            <w:tcW w:w="20" w:type="dxa"/>
            <w:vAlign w:val="bottom"/>
          </w:tcPr>
          <w:p>
            <w:pPr>
              <w:spacing w:after="0"/>
              <w:rPr>
                <w:sz w:val="17"/>
                <w:szCs w:val="17"/>
                <w:color w:val="auto"/>
              </w:rPr>
            </w:pPr>
          </w:p>
        </w:tc>
        <w:tc>
          <w:tcPr>
            <w:tcW w:w="47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Delivery of Lazard Ltd Class A common stock in</w:t>
            </w: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connection with shared-based incentive compensation</w:t>
            </w: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awards and related tax benefit of $862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(124,684)</w:t>
            </w: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(124,684)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(124,684)</w:t>
            </w: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acquisitions and related equity transactions:</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70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Lazard Ltd Class A common stock issuable (including</w:t>
            </w: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related amortization)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834</w:t>
            </w: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related to noncontrolling interests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(344)</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5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September 30, 2013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$581,238</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(100,095)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$ 481,143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$71,087</w:t>
            </w: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$552,230</w:t>
            </w: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4" w:lineRule="exact"/>
        <w:rPr>
          <w:sz w:val="20"/>
          <w:szCs w:val="20"/>
          <w:color w:val="auto"/>
        </w:rPr>
      </w:pPr>
    </w:p>
    <w:p>
      <w:pPr>
        <w:ind w:left="460" w:right="280" w:hanging="452"/>
        <w:spacing w:after="0" w:line="231" w:lineRule="auto"/>
        <w:tabs>
          <w:tab w:leader="none" w:pos="46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Includes 129,766,090 common membership interests issued at both January 1, 2013 and September 30, 2013. Also includes profit participation interests and two managing member interests issued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95" w:lineRule="exact"/>
        <w:rPr>
          <w:sz w:val="20"/>
          <w:szCs w:val="20"/>
          <w:color w:val="auto"/>
        </w:rPr>
      </w:pPr>
    </w:p>
    <w:p>
      <w:pPr>
        <w:ind w:right="7020" w:firstLine="8"/>
        <w:spacing w:after="0" w:line="346" w:lineRule="auto"/>
        <w:tabs>
          <w:tab w:leader="none" w:pos="446"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ORGANIZATION AND BASIS OF PRESENTATION Organization</w:t>
      </w:r>
    </w:p>
    <w:p>
      <w:pPr>
        <w:spacing w:after="0" w:line="1"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those of Lazard Group LLC and its subsidiaries (collectively referred to with its subsidiaries as “Lazard Group” or the “Company”). Lazard Group is a Delaware limited liability company and is governed by an Operating Agreement dated as of May 10, 2005, as amended (the “Operating Agreement”).</w:t>
      </w:r>
    </w:p>
    <w:p>
      <w:pPr>
        <w:spacing w:after="0" w:line="132"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Lazard Ltd, a Bermuda holding company, and its subsidiaries (collectively referred to as “Lazard Ltd”), including its indirect investment in Lazard Group LLC,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36"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Lazard Ltd indirectly held approximately 99.5% and 98.8% of all outstanding Lazard Group common membership interests as of September 30, 2013 and December 31, 2012, respectively. Lazard Ltd, through its control of the managing members of Lazard Group, controls Lazard Group. LAZ-MD Holdings LLC (“LAZ-MD Holdings”), an entity owned by Lazard Group’s current and former managing directors, held approximately 0.5% and 1.2% of the outstanding Lazard Group common membership interests as of September 30, 2013 and December 31, 2012, respectively. Additionally, LAZ-MD Holdings was the sole owner of the one issued and outstanding share of Lazard Ltd’s Class B common stock (the “Class B common stock”) which provided LAZ-MD Holdings with approximately 0.5% and 1.2% of the voting power but no economic rights in Lazard Ltd as of September 30, 2013 and December 31, 2012, respectively. Subject to certain limitations, LAZ-MD Holdings’ interests in Lazard Group are exchangeable for Lazard Ltd Class A common stock, par value $0.01 per share (“Class A common stock”).</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Lazard Group’s principal operating activities are included in two business segments:</w:t>
      </w:r>
    </w:p>
    <w:p>
      <w:pPr>
        <w:spacing w:after="0" w:line="90" w:lineRule="exact"/>
        <w:rPr>
          <w:sz w:val="20"/>
          <w:szCs w:val="20"/>
          <w:color w:val="auto"/>
        </w:rPr>
      </w:pPr>
    </w:p>
    <w:p>
      <w:pPr>
        <w:jc w:val="both"/>
        <w:ind w:left="900" w:right="140" w:hanging="325"/>
        <w:spacing w:after="0" w:line="26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1" w:lineRule="exact"/>
        <w:rPr>
          <w:rFonts w:ascii="Times New Roman" w:cs="Times New Roman" w:eastAsia="Times New Roman" w:hAnsi="Times New Roman"/>
          <w:sz w:val="18"/>
          <w:szCs w:val="18"/>
          <w:color w:val="auto"/>
        </w:rPr>
      </w:pPr>
    </w:p>
    <w:p>
      <w:pPr>
        <w:jc w:val="both"/>
        <w:ind w:left="900" w:right="400" w:hanging="325"/>
        <w:spacing w:after="0" w:line="26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3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addition, we record selected other activities in our Corporate segment, including management of cash, investments and outstanding indebtedness, as well as certain commercial banking activities of Lazard Group’s Paris-based subsidiary, Lazard Frères Banque SA (“LFB”).</w:t>
      </w:r>
    </w:p>
    <w:p>
      <w:pPr>
        <w:spacing w:after="0" w:line="12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LFB is a registered bank regulated by the Autorité de Contrô1e Prudentiel et de Résolution (“ACPR”). It is engaged primarily in commercial and private banking services for clients and funds managed by Lazard Frères Gestion SAS (“LFG”) and other clients, investment banking activities, including participation in underwritten offerings of securities in France, and asset-liability management.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Lazard Group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Group’s Annual Report on Form 10-K for the year ended December 31, 2012 (the “Form 10-K”). The accompanying December 31, 2012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38"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Preparing financial statements requires management to make estimates and assumptions that affect the amounts that are reported in the financial statements and the accompanying disclosures. Discretionary compensation and benefits expense for interim periods is accrued based on the year-to-date amount of revenue earned, and an assumed annual ratio of compensation and benefits expense to revenue, with the applicable amounts adjusted for certain items. Although these estimates are based on management’s knowledge of current events and actions that Lazard may undertake in the future, actual results may differ materially from the estimates.</w:t>
      </w:r>
    </w:p>
    <w:p>
      <w:pPr>
        <w:spacing w:after="0" w:line="139"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 consolidated results of operations for the three month and nine month periods ended September 30, 2013 are not necessarily indicative of the results to be expected for any future interim or annual period.</w:t>
      </w:r>
    </w:p>
    <w:p>
      <w:pPr>
        <w:spacing w:after="0" w:line="12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include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LFG, and Maison Lazard SAS and its subsidiaries; and Lazard &amp; Co., Limited (“LCL”), through Lazard &amp; Co., Holdings Limited (“LCH”), an English private limited company, together with their jointly owned affiliates and subsidiaries.</w:t>
      </w:r>
    </w:p>
    <w:p>
      <w:pPr>
        <w:spacing w:after="0" w:line="13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Company’s policy is to consolidate (i) entities in which it has a controlling financial interest, (ii) variable interest entities (“VIEs”) where the Company has a 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such entity’s operating and financial decisions, the Company applies the equity method of accounting in which it records in earnings its share of earnings or losses of the entity. Intercompany transactions and balances have been eliminated.</w:t>
      </w:r>
    </w:p>
    <w:p>
      <w:pPr>
        <w:spacing w:after="0" w:line="256"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RECENT ACCOUNTING DEVELOPMENTS</w:t>
      </w:r>
    </w:p>
    <w:p>
      <w:pPr>
        <w:spacing w:after="0" w:line="92" w:lineRule="exact"/>
        <w:rPr>
          <w:sz w:val="20"/>
          <w:szCs w:val="20"/>
          <w:color w:val="auto"/>
        </w:rPr>
      </w:pPr>
    </w:p>
    <w:p>
      <w:pPr>
        <w:ind w:right="16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Offsetting (Netting) Assets and Liabilities</w:t>
      </w:r>
      <w:r>
        <w:rPr>
          <w:rFonts w:ascii="Times New Roman" w:cs="Times New Roman" w:eastAsia="Times New Roman" w:hAnsi="Times New Roman"/>
          <w:sz w:val="18"/>
          <w:szCs w:val="18"/>
          <w:color w:val="auto"/>
        </w:rPr>
        <w:t>—In the first quarter of 2013, the Company adopted the new disclosure requirements issued by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Standards Board (the “FASB”) regarding the nature of an entity’s rights of setoff and related arrangements associated with its financial instruments, including derivatives, repurchase agreements and reverse repurchase agreements and securities borrowing and securities lending transactions that are either (i) offset or (ii) subject to an enforceable master netting arrangement. The new</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280"/>
        <w:spacing w:after="0" w:line="301" w:lineRule="auto"/>
        <w:rPr>
          <w:sz w:val="20"/>
          <w:szCs w:val="20"/>
          <w:color w:val="auto"/>
        </w:rPr>
      </w:pPr>
      <w:r>
        <w:rPr>
          <w:rFonts w:ascii="Times New Roman" w:cs="Times New Roman" w:eastAsia="Times New Roman" w:hAnsi="Times New Roman"/>
          <w:sz w:val="16"/>
          <w:szCs w:val="16"/>
          <w:color w:val="auto"/>
        </w:rPr>
        <w:t>disclosures are designed to make financial statements prepared under U.S. GAAP more comparable to those prepared under International Financial Reporting Standards (“IFRS”) and will enable users of an entity’s financial statements to evaluate the effect or potential effect of netting arrangements on an entity’s financial position. The disclosure requirements are effective for interim and annual reporting periods beginning on or after January 1, 2013, with retrospective application required. The adoption of the new disclosure requirements did not have a material impact on the Company’s consolidated financial statements.</w:t>
      </w:r>
    </w:p>
    <w:p>
      <w:pPr>
        <w:spacing w:after="0" w:line="101" w:lineRule="exact"/>
        <w:rPr>
          <w:sz w:val="20"/>
          <w:szCs w:val="20"/>
          <w:color w:val="auto"/>
        </w:rPr>
      </w:pPr>
    </w:p>
    <w:p>
      <w:pPr>
        <w:ind w:right="60" w:firstLine="456"/>
        <w:spacing w:after="0" w:line="297" w:lineRule="auto"/>
        <w:rPr>
          <w:sz w:val="20"/>
          <w:szCs w:val="20"/>
          <w:color w:val="auto"/>
        </w:rPr>
      </w:pPr>
      <w:r>
        <w:rPr>
          <w:rFonts w:ascii="Times New Roman" w:cs="Times New Roman" w:eastAsia="Times New Roman" w:hAnsi="Times New Roman"/>
          <w:sz w:val="16"/>
          <w:szCs w:val="16"/>
          <w:i w:val="1"/>
          <w:iCs w:val="1"/>
          <w:color w:val="auto"/>
        </w:rPr>
        <w:t>Reclassifications Out of Accumulated Other Comprehensive Income</w:t>
      </w:r>
      <w:r>
        <w:rPr>
          <w:rFonts w:ascii="Times New Roman" w:cs="Times New Roman" w:eastAsia="Times New Roman" w:hAnsi="Times New Roman"/>
          <w:sz w:val="16"/>
          <w:szCs w:val="16"/>
          <w:color w:val="auto"/>
        </w:rPr>
        <w:t>—In the first quarter of 2013, the Company adopted the FASB’s amended guidance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regarding the presentation of amounts reclassified out of accumulated other comprehensive income. The amendment required that the amounts reclassified out of accumulated other comprehensive income be presented by component and disclosed where the respective line item was reported in the consolidated statement of operations. The amendment was to be applied prospectively, and is effective with interim and annual periods beginning after December 15, 2012, with early adoption permitted. The adoption of the amended guidance did not have a material impact on the Company’s consolidated financial statements.</w:t>
      </w:r>
    </w:p>
    <w:p>
      <w:pPr>
        <w:spacing w:after="0" w:line="10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Presentation of Unrecognized Tax Benefits</w:t>
      </w:r>
      <w:r>
        <w:rPr>
          <w:rFonts w:ascii="Times New Roman" w:cs="Times New Roman" w:eastAsia="Times New Roman" w:hAnsi="Times New Roman"/>
          <w:sz w:val="18"/>
          <w:szCs w:val="18"/>
          <w:color w:val="auto"/>
        </w:rPr>
        <w:t>—In July 2013, the FASB issued guidance on the presentation of unrecognized tax benefits when net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or tax credit carryforwards exist. The guidance requires that the unrecognized tax benefit, or a portion of such unrecognized tax benefit, be presented in the financial statements as a reduction to a deferred tax asset for a net operating loss carryforward, a similar tax loss, or a tax credit carryforward, except in certain situations, as defined in the guidance. The new presentation requirements are effective prospectively for interim and annual reporting periods beginning after December 15, 2013. The Company is currently evaluating this guidance, but does not anticipate its adoption will have a material impact on the Company’s consolidated financial statements.</w:t>
      </w:r>
    </w:p>
    <w:p>
      <w:pPr>
        <w:spacing w:after="0" w:line="259"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RECEIVABLES</w:t>
      </w:r>
    </w:p>
    <w:p>
      <w:pPr>
        <w:spacing w:after="0" w:line="94" w:lineRule="exact"/>
        <w:rPr>
          <w:rFonts w:ascii="Times New Roman" w:cs="Times New Roman" w:eastAsia="Times New Roman" w:hAnsi="Times New Roman"/>
          <w:sz w:val="18"/>
          <w:szCs w:val="18"/>
          <w:b w:val="1"/>
          <w:bCs w:val="1"/>
          <w:i w:val="1"/>
          <w:iCs w:val="1"/>
          <w:color w:val="auto"/>
        </w:rPr>
      </w:pP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Company’s receivables represent receivables from fees, customers and other and related parties.</w:t>
      </w:r>
    </w:p>
    <w:p>
      <w:pPr>
        <w:spacing w:after="0" w:line="171"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Receivables are stated net of an estimated allowance for doubtful accounts of $26,160 and $23,017 at September 30, 2013 and December 31, 2012, respectively, for past due amounts and for specific accounts deemed uncollectible, which may include situations where a fee is in dispute. The Company recorded bad debt expense (recoveries) of $(198) and $1,644 for the three month and nine month periods ended September 30, 2013, respectively, and $1,553 and $2,701 for the three month and nine month periods ended September 30, 2012, respectively. In addition, the Company recorded charge-offs, foreign currency translation and other adjustments, which resulted in a net increase to the allowance for doubtful accounts of $1,765 and $1,499 for the three month and nine month periods ended September 30, 2013, respectively, and $15 and $173 for the three month and nine month periods ended September 30, 2012, respectively. At September 30, 2013 and December 31, 2012, the Company had receivables past due or deemed uncollectible of $36,255 and $25,604, respectively.</w:t>
      </w:r>
    </w:p>
    <w:p>
      <w:pPr>
        <w:spacing w:after="0" w:line="113"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Of the Company’s total receivables at September 30, 2013 and December 31, 2012, $58,531 and $76,481, respectively, represented interest-bearing financing fee receivables. In addition, at September 30, 2013 and December 31, 2012, the Company had interest-bearing related party receivables of $106,569 and $101,833, respectively. Based upon our historical loss experience, the credit quality of the counterparties, and the lack of past due or uncollectible amounts, there was no allowance for doubtful accounts required at those dates related to such receivables.</w:t>
      </w:r>
    </w:p>
    <w:p>
      <w:pPr>
        <w:spacing w:after="0" w:line="136" w:lineRule="exact"/>
        <w:rPr>
          <w:sz w:val="20"/>
          <w:szCs w:val="20"/>
          <w:color w:val="auto"/>
        </w:rPr>
      </w:pPr>
    </w:p>
    <w:p>
      <w:pPr>
        <w:ind w:right="700" w:firstLine="456"/>
        <w:spacing w:after="0" w:line="275" w:lineRule="auto"/>
        <w:rPr>
          <w:sz w:val="20"/>
          <w:szCs w:val="20"/>
          <w:color w:val="auto"/>
        </w:rPr>
      </w:pPr>
      <w:r>
        <w:rPr>
          <w:rFonts w:ascii="Times New Roman" w:cs="Times New Roman" w:eastAsia="Times New Roman" w:hAnsi="Times New Roman"/>
          <w:sz w:val="18"/>
          <w:szCs w:val="18"/>
          <w:color w:val="auto"/>
        </w:rPr>
        <w:t>The aggregate carrying amount of our non-interest bearing receivables of $481,665 and $404,316 at September 30, 2013 and December 31, 2012, respectively, approximates fair value.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1"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INVESTMENTS</w:t>
      </w:r>
    </w:p>
    <w:p>
      <w:pPr>
        <w:spacing w:after="0" w:line="94" w:lineRule="exact"/>
        <w:rPr>
          <w:rFonts w:ascii="Times New Roman" w:cs="Times New Roman" w:eastAsia="Times New Roman" w:hAnsi="Times New Roman"/>
          <w:sz w:val="18"/>
          <w:szCs w:val="18"/>
          <w:b w:val="1"/>
          <w:bCs w:val="1"/>
          <w:i w:val="1"/>
          <w:iCs w:val="1"/>
          <w:color w:val="auto"/>
        </w:rPr>
      </w:pP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Company’s investments and securities sold, not yet purchased, consisted of the following at September 30, 2013 and December 31, 2012: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September 30,</w:t>
            </w:r>
          </w:p>
        </w:tc>
        <w:tc>
          <w:tcPr>
            <w:tcW w:w="660" w:type="dxa"/>
            <w:vAlign w:val="bottom"/>
          </w:tcPr>
          <w:p>
            <w:pPr>
              <w:spacing w:after="0"/>
              <w:rPr>
                <w:sz w:val="13"/>
                <w:szCs w:val="13"/>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6100" w:type="dxa"/>
            <w:vAlign w:val="bottom"/>
            <w:tcBorders>
              <w:bottom w:val="single" w:sz="8" w:color="CCEEFF"/>
            </w:tcBorders>
          </w:tcPr>
          <w:p>
            <w:pPr>
              <w:spacing w:after="0"/>
              <w:rPr>
                <w:sz w:val="14"/>
                <w:szCs w:val="14"/>
                <w:color w:val="auto"/>
              </w:rPr>
            </w:pPr>
          </w:p>
        </w:tc>
        <w:tc>
          <w:tcPr>
            <w:tcW w:w="1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6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(including interest-bearing deposits of $519 and $578, respectively)</w:t>
            </w:r>
          </w:p>
        </w:tc>
        <w:tc>
          <w:tcPr>
            <w:tcW w:w="1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100" w:type="dxa"/>
            <w:vAlign w:val="bottom"/>
            <w:shd w:val="clear" w:color="auto" w:fill="CCEEFF"/>
          </w:tcPr>
          <w:p>
            <w:pPr>
              <w:spacing w:after="0"/>
              <w:rPr>
                <w:sz w:val="18"/>
                <w:szCs w:val="18"/>
                <w:color w:val="auto"/>
              </w:rPr>
            </w:pPr>
          </w:p>
        </w:tc>
      </w:tr>
      <w:tr>
        <w:trPr>
          <w:trHeight w:val="230"/>
        </w:trPr>
        <w:tc>
          <w:tcPr>
            <w:tcW w:w="7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Equities</w:t>
            </w:r>
          </w:p>
        </w:tc>
        <w:tc>
          <w:tcPr>
            <w:tcW w:w="1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55,467</w:t>
            </w:r>
          </w:p>
        </w:tc>
        <w:tc>
          <w:tcPr>
            <w:tcW w:w="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44,992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Funds:</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Alternative investments (a)</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45,809</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Debt (a)</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47,226</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Equity (a)</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177,831</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154,310</w:t>
            </w: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2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Private equity</w:t>
            </w:r>
          </w:p>
        </w:tc>
        <w:tc>
          <w:tcPr>
            <w:tcW w:w="17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115,568</w:t>
            </w:r>
          </w:p>
        </w:tc>
        <w:tc>
          <w:tcPr>
            <w:tcW w:w="6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112,444</w:t>
            </w:r>
          </w:p>
        </w:tc>
        <w:tc>
          <w:tcPr>
            <w:tcW w:w="100" w:type="dxa"/>
            <w:vAlign w:val="bottom"/>
            <w:shd w:val="clear" w:color="auto" w:fill="CCEEFF"/>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386,434</w:t>
            </w:r>
          </w:p>
        </w:tc>
        <w:tc>
          <w:tcPr>
            <w:tcW w:w="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344,562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w:t>
            </w:r>
          </w:p>
        </w:tc>
        <w:tc>
          <w:tcPr>
            <w:tcW w:w="1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100" w:type="dxa"/>
            <w:vAlign w:val="bottom"/>
            <w:shd w:val="clear" w:color="auto" w:fill="CCEEFF"/>
          </w:tcPr>
          <w:p>
            <w:pPr>
              <w:spacing w:after="0"/>
              <w:rPr>
                <w:sz w:val="18"/>
                <w:szCs w:val="18"/>
                <w:color w:val="auto"/>
              </w:rPr>
            </w:pPr>
          </w:p>
        </w:tc>
      </w:tr>
      <w:tr>
        <w:trPr>
          <w:trHeight w:val="222"/>
        </w:trPr>
        <w:tc>
          <w:tcPr>
            <w:tcW w:w="7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458,343</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402,514</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Interest-bearing deposits</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Equity method</w:t>
            </w:r>
          </w:p>
        </w:tc>
        <w:tc>
          <w:tcPr>
            <w:tcW w:w="1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100" w:type="dxa"/>
            <w:vAlign w:val="bottom"/>
            <w:shd w:val="clear" w:color="auto" w:fill="CCEEFF"/>
          </w:tcPr>
          <w:p>
            <w:pPr>
              <w:spacing w:after="0"/>
              <w:rPr>
                <w:sz w:val="18"/>
                <w:szCs w:val="18"/>
                <w:color w:val="auto"/>
              </w:rPr>
            </w:pPr>
          </w:p>
        </w:tc>
      </w:tr>
      <w:tr>
        <w:trPr>
          <w:trHeight w:val="223"/>
        </w:trPr>
        <w:tc>
          <w:tcPr>
            <w:tcW w:w="7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7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448,883</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394,924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sold, not yet purchased, at fair value (included in “other liabilities”)</w:t>
            </w:r>
          </w:p>
        </w:tc>
        <w:tc>
          <w:tcPr>
            <w:tcW w:w="196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8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1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3" w:lineRule="exact"/>
        <w:rPr>
          <w:sz w:val="20"/>
          <w:szCs w:val="20"/>
          <w:color w:val="auto"/>
        </w:rPr>
      </w:pPr>
    </w:p>
    <w:p>
      <w:pPr>
        <w:ind w:left="460" w:right="20" w:hanging="452"/>
        <w:spacing w:after="0" w:line="256"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alternative investment funds, debt funds and equity funds include investments with fair values of $7,886, $31,029 and $125,571, respectively, at September 30, 2013 and $5,054, $18,615 and $76,907, respectively, at December 31, 2012, held in order to satisfy the Company’s liability upon vesting of previously granted Lazard Fund Interests (“Lazard Fund Interests”) and other similar deferred compensation arrangements. Lazard Fund Interests represent grants by the Company to eligible employees of actual or notional interests in a number of Lazard-managed funds (see Notes 6 and 12 of Notes to Condensed Consolidated Financial Statements).</w:t>
      </w:r>
    </w:p>
    <w:p>
      <w:pPr>
        <w:spacing w:after="0" w:line="139"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Debt securities primarily consist of seed investments invested in debt securities held within separately managed accounts related to our Asset Management business and non-U.S. government debt securities.</w:t>
      </w:r>
    </w:p>
    <w:p>
      <w:pPr>
        <w:spacing w:after="0" w:line="120"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Interests in alternative investment funds primarily consist of interests in various Lazard-managed hedge funds and funds of funds.</w:t>
      </w:r>
    </w:p>
    <w:p>
      <w:pPr>
        <w:spacing w:after="0" w:line="171"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Debt funds primarily consist of seed investments in funds related to our Asset Management business, which invest in debt securities, and amounts related to Lazard Fund Interests discussed above.</w:t>
      </w:r>
    </w:p>
    <w:p>
      <w:pPr>
        <w:spacing w:after="0" w:line="120"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Equity funds primarily consist of seed investments in funds related to our Asset Management business, which are invested in equity securities, and amounts related to Lazard Fund Interests discussed above.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20" w:firstLine="456"/>
        <w:spacing w:after="0" w:line="287" w:lineRule="auto"/>
        <w:rPr>
          <w:sz w:val="20"/>
          <w:szCs w:val="20"/>
          <w:color w:val="auto"/>
        </w:rPr>
      </w:pPr>
      <w:r>
        <w:rPr>
          <w:rFonts w:ascii="Times New Roman" w:cs="Times New Roman" w:eastAsia="Times New Roman" w:hAnsi="Times New Roman"/>
          <w:sz w:val="16"/>
          <w:szCs w:val="16"/>
          <w:color w:val="auto"/>
        </w:rPr>
        <w:t>Private equity investments include those owned by Lazard and those consolidated but not owned by Lazard. Private equity investments owned by Lazard are primarily comprised of investments in private equity funds. Such investments primarily include (i) a mezzanine fund, which invests in mezzanine debt of a diversified selection of small- to mid-cap European companies, (ii) a fund targeting significant noncontrolling-stake investments in established private companies,</w:t>
      </w:r>
    </w:p>
    <w:p>
      <w:pPr>
        <w:spacing w:after="0" w:line="1"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Edgewater Growth Capital Partners III, L.P. (“EGCP III”), a fund primarily making equity and buyout investments in middle market companies and</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Lazard Australia Corporate Opportunities Fund 2 (“COF2”), a Lazard-managed Australian fund targeting Australasian mid-market investments.</w:t>
      </w:r>
    </w:p>
    <w:p>
      <w:pPr>
        <w:spacing w:after="0" w:line="159"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Private equity investments consolidated but not owned by Lazard relate to the economic interests that are owned by the management team and other investors in the Edgewater Funds (“Edgewater”) which totaled $12,379 and $11,490 at September 30, 2013 and December 31, 2012, respectively (see Note 10 of Notes to Condensed Consolidated Financial Statements).</w:t>
      </w:r>
    </w:p>
    <w:p>
      <w:pPr>
        <w:spacing w:after="0" w:line="132"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During the three month and nine month periods ended September 30, 2013 and 2012, the Company reported in revenue-other on its condensed consolidated statements of operations gross unrealized investment gains and losses pertaining to “trading” securities as follows (including, for the three month and nine month periods ended September 30, 2012, restated amounts pertaining to certain non-broker dealer subsidiaries):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60" w:type="dxa"/>
            <w:vAlign w:val="bottom"/>
            <w:gridSpan w:val="5"/>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5"/>
              </w:rPr>
              <w:t>Three Month Period</w:t>
            </w:r>
          </w:p>
        </w:tc>
        <w:tc>
          <w:tcPr>
            <w:tcW w:w="100" w:type="dxa"/>
            <w:vAlign w:val="bottom"/>
          </w:tcPr>
          <w:p>
            <w:pPr>
              <w:spacing w:after="0"/>
              <w:rPr>
                <w:sz w:val="13"/>
                <w:szCs w:val="13"/>
                <w:color w:val="auto"/>
              </w:rPr>
            </w:pPr>
          </w:p>
        </w:tc>
        <w:tc>
          <w:tcPr>
            <w:tcW w:w="190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Nine Month Period</w:t>
            </w:r>
          </w:p>
        </w:tc>
      </w:tr>
      <w:tr>
        <w:trPr>
          <w:trHeight w:val="165"/>
        </w:trPr>
        <w:tc>
          <w:tcPr>
            <w:tcW w:w="6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5"/>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5"/>
              </w:rPr>
              <w:t>Ended September 30,</w:t>
            </w:r>
          </w:p>
        </w:tc>
        <w:tc>
          <w:tcPr>
            <w:tcW w:w="100" w:type="dxa"/>
            <w:vAlign w:val="bottom"/>
          </w:tcPr>
          <w:p>
            <w:pPr>
              <w:spacing w:after="0"/>
              <w:rPr>
                <w:sz w:val="14"/>
                <w:szCs w:val="14"/>
                <w:color w:val="auto"/>
              </w:rPr>
            </w:pPr>
          </w:p>
        </w:tc>
        <w:tc>
          <w:tcPr>
            <w:tcW w:w="190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Ended September 30,</w:t>
            </w:r>
          </w:p>
        </w:tc>
      </w:tr>
      <w:tr>
        <w:trPr>
          <w:trHeight w:val="142"/>
        </w:trPr>
        <w:tc>
          <w:tcPr>
            <w:tcW w:w="67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7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7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unrealized investment gains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10,800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11,000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12,044</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16,978</w:t>
            </w:r>
          </w:p>
        </w:tc>
        <w:tc>
          <w:tcPr>
            <w:tcW w:w="100" w:type="dxa"/>
            <w:vAlign w:val="bottom"/>
            <w:shd w:val="clear" w:color="auto" w:fill="CCEEFF"/>
          </w:tcPr>
          <w:p>
            <w:pPr>
              <w:spacing w:after="0"/>
              <w:rPr>
                <w:sz w:val="18"/>
                <w:szCs w:val="18"/>
                <w:color w:val="auto"/>
              </w:rPr>
            </w:pPr>
          </w:p>
        </w:tc>
      </w:tr>
      <w:tr>
        <w:trPr>
          <w:trHeight w:val="228"/>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Gross unrealized investment losses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3,120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r>
    </w:tbl>
    <w:p>
      <w:pPr>
        <w:spacing w:after="0" w:line="253"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Lazard categorizes its investments and certain other assets and liabilities recorded at fair value into a three-level fair value hierarchy as follows:</w:t>
      </w:r>
    </w:p>
    <w:p>
      <w:pPr>
        <w:spacing w:after="0" w:line="88" w:lineRule="exact"/>
        <w:rPr>
          <w:sz w:val="20"/>
          <w:szCs w:val="20"/>
          <w:color w:val="auto"/>
        </w:rPr>
      </w:pPr>
    </w:p>
    <w:p>
      <w:pPr>
        <w:ind w:left="920" w:right="360" w:hanging="904"/>
        <w:spacing w:after="0" w:line="275" w:lineRule="auto"/>
        <w:tabs>
          <w:tab w:leader="none" w:pos="90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8"/>
          <w:szCs w:val="18"/>
          <w:color w:val="auto"/>
        </w:rPr>
        <w:t>Assets and liabilities whose values are based on unadjusted quoted prices for identical assets or liabilities in an active market that Lazard has the ability to access.</w:t>
      </w:r>
    </w:p>
    <w:p>
      <w:pPr>
        <w:spacing w:after="0" w:line="39" w:lineRule="exact"/>
        <w:rPr>
          <w:sz w:val="20"/>
          <w:szCs w:val="20"/>
          <w:color w:val="auto"/>
        </w:rPr>
      </w:pPr>
    </w:p>
    <w:p>
      <w:pPr>
        <w:ind w:left="920" w:hanging="904"/>
        <w:spacing w:after="0" w:line="258" w:lineRule="auto"/>
        <w:tabs>
          <w:tab w:leader="none" w:pos="90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8"/>
          <w:szCs w:val="18"/>
          <w:color w:val="auto"/>
        </w:rPr>
        <w:t>Assets and liabilities whose values are based on (i) quoted prices for similar assets or liabilities in an active market, or quoted prices for identical or similar assets or liabilities in non-active markets, (ii) assets valued based on net asset value (“NAV”) or its equivalent redeemable at the measurement date or within the near term without redemption restrictions, or (iii) inputs other than quoted prices that are directly observable or derived principally from, or corroborated by, market data.</w:t>
      </w:r>
    </w:p>
    <w:p>
      <w:pPr>
        <w:spacing w:after="0" w:line="55" w:lineRule="exact"/>
        <w:rPr>
          <w:sz w:val="20"/>
          <w:szCs w:val="20"/>
          <w:color w:val="auto"/>
        </w:rPr>
      </w:pPr>
    </w:p>
    <w:p>
      <w:pPr>
        <w:ind w:left="920" w:right="20" w:hanging="904"/>
        <w:spacing w:after="0" w:line="296" w:lineRule="auto"/>
        <w:tabs>
          <w:tab w:leader="none" w:pos="90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6"/>
          <w:szCs w:val="16"/>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 as well as assets valued based on NAV or its equivalent, but not redeemable within the near term as a result of redemption restrictions.</w:t>
      </w:r>
    </w:p>
    <w:p>
      <w:pPr>
        <w:spacing w:after="0" w:line="110" w:lineRule="exact"/>
        <w:rPr>
          <w:sz w:val="20"/>
          <w:szCs w:val="20"/>
          <w:color w:val="auto"/>
        </w:rPr>
      </w:pPr>
    </w:p>
    <w:p>
      <w:pPr>
        <w:jc w:val="both"/>
        <w:ind w:right="440" w:firstLine="456"/>
        <w:spacing w:after="0" w:line="262" w:lineRule="auto"/>
        <w:rPr>
          <w:sz w:val="20"/>
          <w:szCs w:val="20"/>
          <w:color w:val="auto"/>
        </w:rPr>
      </w:pPr>
      <w:r>
        <w:rPr>
          <w:rFonts w:ascii="Times New Roman" w:cs="Times New Roman" w:eastAsia="Times New Roman" w:hAnsi="Times New Roman"/>
          <w:sz w:val="18"/>
          <w:szCs w:val="18"/>
          <w:color w:val="auto"/>
        </w:rPr>
        <w:t>The Company’s investments in non-U.S. Government and other debt securities are classified as Level 1 when their respective fair values are based on unadjusted quoted prices in active markets and are classified as Level 2 when their fair values are primarily based on prices as provided by external pricing services.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32" w:lineRule="exact"/>
        <w:rPr>
          <w:sz w:val="20"/>
          <w:szCs w:val="20"/>
          <w:color w:val="auto"/>
        </w:rPr>
      </w:pPr>
    </w:p>
    <w:p>
      <w:pPr>
        <w:ind w:right="400" w:firstLine="456"/>
        <w:spacing w:after="0" w:line="339" w:lineRule="auto"/>
        <w:rPr>
          <w:sz w:val="20"/>
          <w:szCs w:val="20"/>
          <w:color w:val="auto"/>
        </w:rPr>
      </w:pPr>
      <w:r>
        <w:rPr>
          <w:rFonts w:ascii="Times New Roman" w:cs="Times New Roman" w:eastAsia="Times New Roman" w:hAnsi="Times New Roman"/>
          <w:sz w:val="16"/>
          <w:szCs w:val="16"/>
          <w:color w:val="auto"/>
        </w:rPr>
        <w:t>The fair value of investments in alternative investment funds is classified as either Level 2 or Level 3 depending on the time frame of any applicable redemption restriction, and is valued at NAV or its equivalent, which is primarily determined based on information provided by external fund administrators.</w:t>
      </w:r>
    </w:p>
    <w:p>
      <w:pPr>
        <w:spacing w:after="0" w:line="74"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The fair value of investments in debt funds is classified as Level 1 when the fair values are primarily based on the reported closing price for the fund, and classified as Level 2 when the fair values are primarily based on NAV or its equivalent and are redeemable within the near term.</w:t>
      </w:r>
    </w:p>
    <w:p>
      <w:pPr>
        <w:spacing w:after="0" w:line="120"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fair value of investments in equity funds is classified as Level 1, 2 or 3 as follows: publicly traded asset management funds are classified as Level 1 and are valued based on the reported closing price for the fund; investments in asset management funds redeemable in the near term are classified as Level 2 and are valued at NAV or its equivalent, which is primarily determined based on information provided by external fund administrators; and funds valued based on NAV or its equivalent that are not redeemable within the near term are classified as Level 3.</w:t>
      </w:r>
    </w:p>
    <w:p>
      <w:pPr>
        <w:spacing w:after="0" w:line="136"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The fair value of investments in private equity funds is classified as Level 3, and is primarily based on NAV or its equivalent. Such investments are not redeemable within the near term.</w:t>
      </w:r>
    </w:p>
    <w:p>
      <w:pPr>
        <w:spacing w:after="0" w:line="120"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The fair values of derivatives entered into by the Company are classified as Level 2 and are based on the values of the related underlying assets, indices or reference rates as follows - the fair value of forward foreign currency exchange rate contracts is a function of the spot rate and the interest rate differential of the two currencies from the trade date to settlement date; the fair value of equity and fixed income swaps is based on the change in fair values of the related underlying equity security, financial instrument or index and a specified notional holding; the fair value of interest rate swaps is based on the interest rate yield curve; and the fair value of derivative liabilities related to Lazard Fund Interests and other similar deferred compensation arrangements is based on the value of the underlying investments, adjusted for forfeitures. See Note 6 of Notes to Condensed Consolidated Financial Statements.</w:t>
      </w:r>
    </w:p>
    <w:p>
      <w:pPr>
        <w:spacing w:after="0" w:line="139"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Where reported information regarding an investment is based on data received from external fund administrators or pricing services, the Company reviews such information and classifies the investment at the relevant level within the fair value hierarchy.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present the classification of investments and certain other assets and liabilities measured at fair value on a recurring basis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2013 and December 31, 2012 within the fair value hierarchy: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Debt (excluding interest-bearing deposits)</w:t>
            </w:r>
          </w:p>
        </w:tc>
        <w:tc>
          <w:tcPr>
            <w:tcW w:w="2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5,892</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6,982</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Equities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54,144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55,467</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Funds: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Alternative 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45,809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45,809</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Debt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47,226</w:t>
            </w: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Equity</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177,792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177,831</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Private equity</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115,568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115,568</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280,248</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52,057</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116,891</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449,196</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0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sold, not yet purchased</w:t>
            </w:r>
          </w:p>
        </w:tc>
        <w:tc>
          <w:tcPr>
            <w:tcW w:w="2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4,075</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159,267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159,267</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159,267</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163,342</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Debt (excluding interest-bearing deposits)</w:t>
            </w:r>
          </w:p>
        </w:tc>
        <w:tc>
          <w:tcPr>
            <w:tcW w:w="2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3,927</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5,370</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Equities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44,992</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Funds: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Alternative 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54,433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57,890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Debt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19,918</w:t>
            </w: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Equity</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145,231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154,310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Private equity</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112,444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112,444</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211,390</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68,366</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116,101</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395,857</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0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sold, not yet purchased</w:t>
            </w:r>
          </w:p>
        </w:tc>
        <w:tc>
          <w:tcPr>
            <w:tcW w:w="2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2,755</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102,492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102,492</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102,551</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105,247</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There were no transfers between any of the Level 1, 2 and 3 categories in the fair value measurement hierarchy during the three month and nine month periods ended September 30, 2013 and 2012.</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provide a summary of changes in fair value of the Company’s Level 3 assets for the three month and nine month periods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2013 and 2012: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w w:val="99"/>
              </w:rPr>
              <w:t>Three Months Ended September 30, 2013</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4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Realized</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Gains (Losses)</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Foreign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Included</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Currency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900" w:type="dxa"/>
            <w:vAlign w:val="bottom"/>
          </w:tcPr>
          <w:p>
            <w:pPr>
              <w:spacing w:after="0"/>
              <w:rPr>
                <w:sz w:val="12"/>
                <w:szCs w:val="12"/>
                <w:color w:val="auto"/>
              </w:rPr>
            </w:pPr>
          </w:p>
        </w:tc>
        <w:tc>
          <w:tcPr>
            <w:tcW w:w="80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Beginning</w:t>
            </w: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 Revenue-</w:t>
            </w:r>
          </w:p>
        </w:tc>
        <w:tc>
          <w:tcPr>
            <w:tcW w:w="4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Purchases/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518"/>
              <w:spacing w:after="0" w:line="149" w:lineRule="exact"/>
              <w:rPr>
                <w:sz w:val="20"/>
                <w:szCs w:val="20"/>
                <w:color w:val="auto"/>
              </w:rPr>
            </w:pPr>
            <w:r>
              <w:rPr>
                <w:rFonts w:ascii="Times New Roman" w:cs="Times New Roman" w:eastAsia="Times New Roman" w:hAnsi="Times New Roman"/>
                <w:sz w:val="14"/>
                <w:szCs w:val="14"/>
                <w:b w:val="1"/>
                <w:bCs w:val="1"/>
                <w:color w:val="auto"/>
              </w:rPr>
              <w:t>Sales/</w:t>
            </w:r>
          </w:p>
        </w:tc>
        <w:tc>
          <w:tcPr>
            <w:tcW w:w="94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Translation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r>
      <w:tr>
        <w:trPr>
          <w:trHeight w:val="165"/>
        </w:trPr>
        <w:tc>
          <w:tcPr>
            <w:tcW w:w="4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10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Other (a)</w:t>
            </w:r>
          </w:p>
        </w:tc>
        <w:tc>
          <w:tcPr>
            <w:tcW w:w="4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1"/>
              </w:rPr>
              <w:t>Acquisitions</w:t>
            </w:r>
          </w:p>
        </w:tc>
        <w:tc>
          <w:tcPr>
            <w:tcW w:w="4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Dispositions</w:t>
            </w:r>
          </w:p>
        </w:tc>
        <w:tc>
          <w:tcPr>
            <w:tcW w:w="9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Adjustments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96"/>
        </w:trPr>
        <w:tc>
          <w:tcPr>
            <w:tcW w:w="49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Investments:</w:t>
            </w: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Equities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Alternative investment funds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Private equity funds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112,833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115,568</w:t>
            </w:r>
          </w:p>
        </w:tc>
        <w:tc>
          <w:tcPr>
            <w:tcW w:w="100" w:type="dxa"/>
            <w:vAlign w:val="bottom"/>
          </w:tcPr>
          <w:p>
            <w:pPr>
              <w:spacing w:after="0"/>
              <w:rPr>
                <w:sz w:val="19"/>
                <w:szCs w:val="19"/>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Level 3 Assets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113,481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116,891</w:t>
            </w:r>
          </w:p>
        </w:tc>
        <w:tc>
          <w:tcPr>
            <w:tcW w:w="100" w:type="dxa"/>
            <w:vAlign w:val="bottom"/>
            <w:shd w:val="clear" w:color="auto" w:fill="CCEEFF"/>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49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Nine Months Ended September 30, 2013</w:t>
            </w: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5"/>
        </w:trPr>
        <w:tc>
          <w:tcPr>
            <w:tcW w:w="4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jc w:val="center"/>
              <w:ind w:right="160"/>
              <w:spacing w:after="0" w:line="125"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Realized</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Gains (Losses)</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Foreign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Included</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Currency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900" w:type="dxa"/>
            <w:vAlign w:val="bottom"/>
          </w:tcPr>
          <w:p>
            <w:pPr>
              <w:spacing w:after="0"/>
              <w:rPr>
                <w:sz w:val="12"/>
                <w:szCs w:val="12"/>
                <w:color w:val="auto"/>
              </w:rPr>
            </w:pPr>
          </w:p>
        </w:tc>
        <w:tc>
          <w:tcPr>
            <w:tcW w:w="80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Beginning</w:t>
            </w: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 Revenue-</w:t>
            </w:r>
          </w:p>
        </w:tc>
        <w:tc>
          <w:tcPr>
            <w:tcW w:w="4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Purchases/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518"/>
              <w:spacing w:after="0" w:line="149" w:lineRule="exact"/>
              <w:rPr>
                <w:sz w:val="20"/>
                <w:szCs w:val="20"/>
                <w:color w:val="auto"/>
              </w:rPr>
            </w:pPr>
            <w:r>
              <w:rPr>
                <w:rFonts w:ascii="Times New Roman" w:cs="Times New Roman" w:eastAsia="Times New Roman" w:hAnsi="Times New Roman"/>
                <w:sz w:val="14"/>
                <w:szCs w:val="14"/>
                <w:b w:val="1"/>
                <w:bCs w:val="1"/>
                <w:color w:val="auto"/>
              </w:rPr>
              <w:t>Sales/</w:t>
            </w:r>
          </w:p>
        </w:tc>
        <w:tc>
          <w:tcPr>
            <w:tcW w:w="94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Translation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r>
      <w:tr>
        <w:trPr>
          <w:trHeight w:val="165"/>
        </w:trPr>
        <w:tc>
          <w:tcPr>
            <w:tcW w:w="4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10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Other (a)</w:t>
            </w:r>
          </w:p>
        </w:tc>
        <w:tc>
          <w:tcPr>
            <w:tcW w:w="4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1"/>
              </w:rPr>
              <w:t>Acquisitions</w:t>
            </w:r>
          </w:p>
        </w:tc>
        <w:tc>
          <w:tcPr>
            <w:tcW w:w="4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Dispositions</w:t>
            </w:r>
          </w:p>
        </w:tc>
        <w:tc>
          <w:tcPr>
            <w:tcW w:w="9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Adjustments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96"/>
        </w:trPr>
        <w:tc>
          <w:tcPr>
            <w:tcW w:w="49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Investments:</w:t>
            </w: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Equities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Alternative investment funds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(3,574)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Equity funds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Private equity funds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112,444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8,912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(12,716)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762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115,568</w:t>
            </w:r>
          </w:p>
        </w:tc>
        <w:tc>
          <w:tcPr>
            <w:tcW w:w="100" w:type="dxa"/>
            <w:vAlign w:val="bottom"/>
            <w:shd w:val="clear" w:color="auto" w:fill="CCEEFF"/>
          </w:tcPr>
          <w:p>
            <w:pPr>
              <w:spacing w:after="0"/>
              <w:rPr>
                <w:sz w:val="18"/>
                <w:szCs w:val="18"/>
                <w:color w:val="auto"/>
              </w:rPr>
            </w:pPr>
          </w:p>
        </w:tc>
      </w:tr>
      <w:tr>
        <w:trPr>
          <w:trHeight w:val="223"/>
        </w:trPr>
        <w:tc>
          <w:tcPr>
            <w:tcW w:w="4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Level 3 Assets</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116,101</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9,037</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4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 (16,300</w:t>
            </w:r>
          </w:p>
        </w:tc>
        <w:tc>
          <w:tcPr>
            <w:tcW w:w="4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792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116,891</w:t>
            </w:r>
          </w:p>
        </w:tc>
        <w:tc>
          <w:tcPr>
            <w:tcW w:w="10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2012</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35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3"/>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Realized</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Gains (Losses)</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Included</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8"/>
              </w:rPr>
              <w:t>Beginning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 Revenue-</w:t>
            </w:r>
          </w:p>
        </w:tc>
        <w:tc>
          <w:tcPr>
            <w:tcW w:w="4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Purchases/</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Sales/</w:t>
            </w:r>
          </w:p>
        </w:tc>
        <w:tc>
          <w:tcPr>
            <w:tcW w:w="124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r>
      <w:tr>
        <w:trPr>
          <w:trHeight w:val="165"/>
        </w:trPr>
        <w:tc>
          <w:tcPr>
            <w:tcW w:w="3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2"/>
              </w:rPr>
              <w:t>Balance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3"/>
              </w:rPr>
              <w:t>Other (a)</w:t>
            </w:r>
          </w:p>
        </w:tc>
        <w:tc>
          <w:tcPr>
            <w:tcW w:w="4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Acquisitions</w:t>
            </w:r>
          </w:p>
        </w:tc>
        <w:tc>
          <w:tcPr>
            <w:tcW w:w="4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Dispositions</w:t>
            </w: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7"/>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96"/>
        </w:trPr>
        <w:tc>
          <w:tcPr>
            <w:tcW w:w="35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Investments:</w:t>
            </w:r>
          </w:p>
        </w:tc>
        <w:tc>
          <w:tcPr>
            <w:tcW w:w="1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Equities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8"/>
                <w:szCs w:val="18"/>
                <w:color w:val="auto"/>
              </w:rPr>
            </w:pPr>
          </w:p>
        </w:tc>
      </w:tr>
      <w:tr>
        <w:trPr>
          <w:trHeight w:val="216"/>
        </w:trPr>
        <w:tc>
          <w:tcPr>
            <w:tcW w:w="3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Alternative investment funds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100" w:type="dxa"/>
            <w:vAlign w:val="bottom"/>
            <w:shd w:val="clear" w:color="auto" w:fill="CCEEFF"/>
          </w:tcPr>
          <w:p>
            <w:pPr>
              <w:spacing w:after="0"/>
              <w:rPr>
                <w:sz w:val="18"/>
                <w:szCs w:val="18"/>
                <w:color w:val="auto"/>
              </w:rPr>
            </w:pPr>
          </w:p>
        </w:tc>
      </w:tr>
      <w:tr>
        <w:trPr>
          <w:trHeight w:val="216"/>
        </w:trPr>
        <w:tc>
          <w:tcPr>
            <w:tcW w:w="3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Private equity funds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113,991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(522)</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1,128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117,194</w:t>
            </w:r>
          </w:p>
        </w:tc>
        <w:tc>
          <w:tcPr>
            <w:tcW w:w="100" w:type="dxa"/>
            <w:vAlign w:val="bottom"/>
          </w:tcPr>
          <w:p>
            <w:pPr>
              <w:spacing w:after="0"/>
              <w:rPr>
                <w:sz w:val="18"/>
                <w:szCs w:val="18"/>
                <w:color w:val="auto"/>
              </w:rPr>
            </w:pPr>
          </w:p>
        </w:tc>
      </w:tr>
      <w:tr>
        <w:trPr>
          <w:trHeight w:val="27"/>
        </w:trPr>
        <w:tc>
          <w:tcPr>
            <w:tcW w:w="3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Level 3 Assets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118,798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(504)</w:t>
            </w:r>
          </w:p>
        </w:tc>
        <w:tc>
          <w:tcPr>
            <w:tcW w:w="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6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1,133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120,825</w:t>
            </w:r>
          </w:p>
        </w:tc>
        <w:tc>
          <w:tcPr>
            <w:tcW w:w="100" w:type="dxa"/>
            <w:vAlign w:val="bottom"/>
            <w:shd w:val="clear" w:color="auto" w:fill="CCEEFF"/>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3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441"/>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 September 30, 2012</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11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20" w:type="dxa"/>
            <w:vAlign w:val="bottom"/>
            <w:gridSpan w:val="3"/>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1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Realized</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Gains (Losses)</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Included</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8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Beginning</w:t>
            </w:r>
          </w:p>
        </w:tc>
        <w:tc>
          <w:tcPr>
            <w:tcW w:w="10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 Revenue-</w:t>
            </w:r>
          </w:p>
        </w:tc>
        <w:tc>
          <w:tcPr>
            <w:tcW w:w="420" w:type="dxa"/>
            <w:vAlign w:val="bottom"/>
          </w:tcPr>
          <w:p>
            <w:pPr>
              <w:spacing w:after="0"/>
              <w:rPr>
                <w:sz w:val="12"/>
                <w:szCs w:val="12"/>
                <w:color w:val="auto"/>
              </w:rPr>
            </w:pPr>
          </w:p>
        </w:tc>
        <w:tc>
          <w:tcPr>
            <w:tcW w:w="1300" w:type="dxa"/>
            <w:vAlign w:val="bottom"/>
            <w:gridSpan w:val="3"/>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Purchases/</w:t>
            </w:r>
          </w:p>
        </w:tc>
        <w:tc>
          <w:tcPr>
            <w:tcW w:w="120" w:type="dxa"/>
            <w:vAlign w:val="bottom"/>
          </w:tcPr>
          <w:p>
            <w:pPr>
              <w:spacing w:after="0"/>
              <w:rPr>
                <w:sz w:val="12"/>
                <w:szCs w:val="12"/>
                <w:color w:val="auto"/>
              </w:rPr>
            </w:pPr>
          </w:p>
        </w:tc>
        <w:tc>
          <w:tcPr>
            <w:tcW w:w="1200" w:type="dxa"/>
            <w:vAlign w:val="bottom"/>
            <w:gridSpan w:val="2"/>
          </w:tcPr>
          <w:p>
            <w:pPr>
              <w:jc w:val="right"/>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Sales/</w:t>
            </w:r>
          </w:p>
        </w:tc>
        <w:tc>
          <w:tcPr>
            <w:tcW w:w="134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r>
      <w:tr>
        <w:trPr>
          <w:trHeight w:val="165"/>
        </w:trPr>
        <w:tc>
          <w:tcPr>
            <w:tcW w:w="1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1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Other (a)</w:t>
            </w:r>
          </w:p>
        </w:tc>
        <w:tc>
          <w:tcPr>
            <w:tcW w:w="4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Dispositions</w:t>
            </w:r>
          </w:p>
        </w:tc>
        <w:tc>
          <w:tcPr>
            <w:tcW w:w="134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7"/>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96"/>
        </w:trPr>
        <w:tc>
          <w:tcPr>
            <w:tcW w:w="318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Investments:</w:t>
            </w: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Equities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8"/>
                <w:szCs w:val="18"/>
                <w:color w:val="auto"/>
              </w:rPr>
            </w:pPr>
          </w:p>
        </w:tc>
      </w:tr>
      <w:tr>
        <w:trPr>
          <w:trHeight w:val="216"/>
        </w:trPr>
        <w:tc>
          <w:tcPr>
            <w:tcW w:w="31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Alternative investment funds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10,171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(6,853)</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100" w:type="dxa"/>
            <w:vAlign w:val="bottom"/>
            <w:shd w:val="clear" w:color="auto" w:fill="CCEEFF"/>
          </w:tcPr>
          <w:p>
            <w:pPr>
              <w:spacing w:after="0"/>
              <w:rPr>
                <w:sz w:val="18"/>
                <w:szCs w:val="18"/>
                <w:color w:val="auto"/>
              </w:rPr>
            </w:pPr>
          </w:p>
        </w:tc>
      </w:tr>
      <w:tr>
        <w:trPr>
          <w:trHeight w:val="216"/>
        </w:trPr>
        <w:tc>
          <w:tcPr>
            <w:tcW w:w="3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Private equity funds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122,718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11,828</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5,697</w:t>
            </w:r>
          </w:p>
        </w:tc>
        <w:tc>
          <w:tcPr>
            <w:tcW w:w="12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(23,093)</w:t>
            </w:r>
          </w:p>
        </w:tc>
        <w:tc>
          <w:tcPr>
            <w:tcW w:w="8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117,194</w:t>
            </w:r>
          </w:p>
        </w:tc>
        <w:tc>
          <w:tcPr>
            <w:tcW w:w="10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1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Level 3 Assets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133,100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11,940</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5,717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(29,976)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120,825</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3" w:lineRule="exact"/>
        <w:rPr>
          <w:sz w:val="20"/>
          <w:szCs w:val="20"/>
          <w:color w:val="auto"/>
        </w:rPr>
      </w:pPr>
    </w:p>
    <w:p>
      <w:pPr>
        <w:ind w:left="460" w:right="280" w:hanging="452"/>
        <w:spacing w:after="0" w:line="275"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for the three month and nine month periods ended September 30, 2013 and the three month and nine month periods ended September 30, 2012 include net unrealized gains (losses) of $2,680, $6,007, $(460) and $9,103, respectively.</w:t>
      </w:r>
    </w:p>
    <w:p>
      <w:pPr>
        <w:spacing w:after="0" w:line="116" w:lineRule="exact"/>
        <w:rPr>
          <w:sz w:val="20"/>
          <w:szCs w:val="20"/>
          <w:color w:val="auto"/>
        </w:rPr>
      </w:pPr>
    </w:p>
    <w:p>
      <w:pPr>
        <w:ind w:right="8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Fair Value of Certain Investments Based on NAV</w:t>
      </w:r>
      <w:r>
        <w:rPr>
          <w:rFonts w:ascii="Times New Roman" w:cs="Times New Roman" w:eastAsia="Times New Roman" w:hAnsi="Times New Roman"/>
          <w:sz w:val="18"/>
          <w:szCs w:val="18"/>
          <w:color w:val="auto"/>
        </w:rPr>
        <w:t>—The Company’s Level 2 and Level 3 investments at September 30, 2013 and December 31, 2012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 certain investments that are valued using NAV or its equivalent as a practical expedient in determining fair value. Information with respect thereto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40" w:type="dxa"/>
            <w:vAlign w:val="bottom"/>
            <w:gridSpan w:val="6"/>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Estimated Liquidation Period of</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244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Investments Not Redeemable</w:t>
            </w:r>
          </w:p>
        </w:tc>
        <w:tc>
          <w:tcPr>
            <w:tcW w:w="18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Investments Redeemable</w:t>
            </w:r>
          </w:p>
        </w:tc>
      </w:tr>
      <w:tr>
        <w:trPr>
          <w:trHeight w:val="125"/>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3"/>
              </w:rPr>
              <w:t>Fair Value</w:t>
            </w:r>
          </w:p>
        </w:tc>
        <w:tc>
          <w:tcPr>
            <w:tcW w:w="540" w:type="dxa"/>
            <w:vAlign w:val="bottom"/>
            <w:tcBorders>
              <w:top w:val="single" w:sz="8" w:color="auto"/>
            </w:tcBorders>
          </w:tcPr>
          <w:p>
            <w:pPr>
              <w:jc w:val="right"/>
              <w:ind w:right="124"/>
              <w:spacing w:after="0" w:line="12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36"/>
              <w:spacing w:after="0" w:line="149" w:lineRule="exact"/>
              <w:rPr>
                <w:sz w:val="20"/>
                <w:szCs w:val="20"/>
                <w:color w:val="auto"/>
              </w:rPr>
            </w:pPr>
            <w:r>
              <w:rPr>
                <w:rFonts w:ascii="Times New Roman" w:cs="Times New Roman" w:eastAsia="Times New Roman" w:hAnsi="Times New Roman"/>
                <w:sz w:val="14"/>
                <w:szCs w:val="14"/>
                <w:b w:val="1"/>
                <w:bCs w:val="1"/>
                <w:color w:val="auto"/>
                <w:w w:val="93"/>
              </w:rPr>
              <w:t>Unfunded</w:t>
            </w:r>
          </w:p>
        </w:tc>
        <w:tc>
          <w:tcPr>
            <w:tcW w:w="3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1"/>
              </w:rPr>
              <w:t>Not</w:t>
            </w:r>
          </w:p>
        </w:tc>
        <w:tc>
          <w:tcPr>
            <w:tcW w:w="7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Next</w:t>
            </w:r>
          </w:p>
        </w:tc>
        <w:tc>
          <w:tcPr>
            <w:tcW w:w="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5-10</w:t>
            </w:r>
          </w:p>
        </w:tc>
        <w:tc>
          <w:tcPr>
            <w:tcW w:w="220" w:type="dxa"/>
            <w:vAlign w:val="bottom"/>
          </w:tcPr>
          <w:p>
            <w:pPr>
              <w:spacing w:after="0"/>
              <w:rPr>
                <w:sz w:val="12"/>
                <w:szCs w:val="12"/>
                <w:color w:val="auto"/>
              </w:rPr>
            </w:pPr>
          </w:p>
        </w:tc>
        <w:tc>
          <w:tcPr>
            <w:tcW w:w="820" w:type="dxa"/>
            <w:vAlign w:val="bottom"/>
          </w:tcPr>
          <w:p>
            <w:pPr>
              <w:jc w:val="right"/>
              <w:ind w:right="25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Redemption</w:t>
            </w: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Redemption</w:t>
            </w: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Commitments</w:t>
            </w:r>
          </w:p>
        </w:tc>
        <w:tc>
          <w:tcPr>
            <w:tcW w:w="3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2"/>
              </w:rPr>
              <w:t>5 Years</w:t>
            </w: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1"/>
              </w:rPr>
              <w:t>Years</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Thereafter</w:t>
            </w:r>
          </w:p>
        </w:tc>
        <w:tc>
          <w:tcPr>
            <w:tcW w:w="7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Notice Period</w:t>
            </w:r>
          </w:p>
        </w:tc>
      </w:tr>
      <w:tr>
        <w:trPr>
          <w:trHeight w:val="210"/>
        </w:trPr>
        <w:tc>
          <w:tcPr>
            <w:tcW w:w="20" w:type="dxa"/>
            <w:vAlign w:val="bottom"/>
          </w:tcPr>
          <w:p>
            <w:pPr>
              <w:spacing w:after="0"/>
              <w:rPr>
                <w:sz w:val="18"/>
                <w:szCs w:val="18"/>
                <w:color w:val="auto"/>
              </w:rPr>
            </w:pPr>
          </w:p>
        </w:tc>
        <w:tc>
          <w:tcPr>
            <w:tcW w:w="40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Alternative investment funds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NA</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&lt;30-90 days</w:t>
            </w: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funds</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NA</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30 days</w:t>
            </w: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funds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2"/>
              </w:rPr>
              <w:t>NA</w:t>
            </w:r>
          </w:p>
        </w:tc>
        <w:tc>
          <w:tcPr>
            <w:tcW w:w="7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6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100" w:type="dxa"/>
            <w:vAlign w:val="bottom"/>
            <w:gridSpan w:val="2"/>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8"/>
              </w:rPr>
              <w:t>&lt;30-90 days</w:t>
            </w: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Private equity funds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115,568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27,685</w:t>
            </w:r>
          </w:p>
        </w:tc>
        <w:tc>
          <w:tcPr>
            <w:tcW w:w="104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auto"/>
                <w:w w:val="95"/>
              </w:rPr>
              <w:t>100%</w:t>
            </w:r>
          </w:p>
        </w:tc>
        <w:tc>
          <w:tcPr>
            <w:tcW w:w="220" w:type="dxa"/>
            <w:vAlign w:val="bottom"/>
          </w:tcPr>
          <w:p>
            <w:pPr>
              <w:spacing w:after="0"/>
              <w:rPr>
                <w:sz w:val="19"/>
                <w:szCs w:val="19"/>
                <w:color w:val="auto"/>
              </w:rPr>
            </w:pP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36%</w:t>
            </w:r>
          </w:p>
        </w:tc>
        <w:tc>
          <w:tcPr>
            <w:tcW w:w="220" w:type="dxa"/>
            <w:vAlign w:val="bottom"/>
          </w:tcPr>
          <w:p>
            <w:pPr>
              <w:spacing w:after="0"/>
              <w:rPr>
                <w:sz w:val="19"/>
                <w:szCs w:val="19"/>
                <w:color w:val="auto"/>
              </w:rPr>
            </w:pP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19"/>
                <w:szCs w:val="19"/>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161,420</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27,685</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frequency as follows:</w:t>
      </w:r>
    </w:p>
    <w:p>
      <w:pPr>
        <w:spacing w:after="0" w:line="90"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(1%), weekly (12%), monthly (55%) and quarterly (32%)</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(100%)</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(13%), monthly (58%) and quarterly (29%)</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20" w:type="dxa"/>
            <w:vAlign w:val="bottom"/>
            <w:gridSpan w:val="5"/>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Estimated Liquidation Period of</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22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Investments Not Redeemable</w:t>
            </w:r>
          </w:p>
        </w:tc>
        <w:tc>
          <w:tcPr>
            <w:tcW w:w="220" w:type="dxa"/>
            <w:vAlign w:val="bottom"/>
          </w:tcPr>
          <w:p>
            <w:pPr>
              <w:spacing w:after="0"/>
              <w:rPr>
                <w:sz w:val="14"/>
                <w:szCs w:val="14"/>
                <w:color w:val="auto"/>
              </w:rPr>
            </w:pPr>
          </w:p>
        </w:tc>
        <w:tc>
          <w:tcPr>
            <w:tcW w:w="19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Investments Redeemable</w:t>
            </w:r>
          </w:p>
        </w:tc>
      </w:tr>
      <w:tr>
        <w:trPr>
          <w:trHeight w:val="125"/>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3"/>
              </w:rPr>
              <w:t>Fair Value</w:t>
            </w:r>
          </w:p>
        </w:tc>
        <w:tc>
          <w:tcPr>
            <w:tcW w:w="5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Pr>
          <w:p>
            <w:pPr>
              <w:spacing w:after="0"/>
              <w:rPr>
                <w:sz w:val="10"/>
                <w:szCs w:val="10"/>
                <w:color w:val="auto"/>
              </w:rPr>
            </w:pPr>
          </w:p>
        </w:tc>
        <w:tc>
          <w:tcPr>
            <w:tcW w:w="42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36"/>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Unfunded</w:t>
            </w:r>
          </w:p>
        </w:tc>
        <w:tc>
          <w:tcPr>
            <w:tcW w:w="3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1"/>
              </w:rPr>
              <w:t>Not</w:t>
            </w:r>
          </w:p>
        </w:tc>
        <w:tc>
          <w:tcPr>
            <w:tcW w:w="7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Next</w:t>
            </w:r>
          </w:p>
        </w:tc>
        <w:tc>
          <w:tcPr>
            <w:tcW w:w="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5-10</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Redemption</w:t>
            </w: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Commitments</w:t>
            </w:r>
          </w:p>
        </w:tc>
        <w:tc>
          <w:tcPr>
            <w:tcW w:w="3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Redeemable</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2"/>
              </w:rPr>
              <w:t>5 Years</w:t>
            </w: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Thereafter</w:t>
            </w:r>
          </w:p>
        </w:tc>
        <w:tc>
          <w:tcPr>
            <w:tcW w:w="22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Notice Period</w:t>
            </w:r>
          </w:p>
        </w:tc>
      </w:tr>
      <w:tr>
        <w:trPr>
          <w:trHeight w:val="223"/>
        </w:trPr>
        <w:tc>
          <w:tcPr>
            <w:tcW w:w="20" w:type="dxa"/>
            <w:vAlign w:val="bottom"/>
          </w:tcPr>
          <w:p>
            <w:pPr>
              <w:spacing w:after="0"/>
              <w:rPr>
                <w:sz w:val="19"/>
                <w:szCs w:val="19"/>
                <w:color w:val="auto"/>
              </w:rPr>
            </w:pPr>
          </w:p>
        </w:tc>
        <w:tc>
          <w:tcPr>
            <w:tcW w:w="39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Alternative investment funds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57,890</w:t>
            </w:r>
          </w:p>
        </w:tc>
        <w:tc>
          <w:tcPr>
            <w:tcW w:w="3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NA</w:t>
            </w:r>
          </w:p>
        </w:tc>
        <w:tc>
          <w:tcPr>
            <w:tcW w:w="2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2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2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2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2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&lt;30-120 days</w:t>
            </w: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NA</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30 days</w:t>
            </w: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6"/>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1"/>
              </w:rPr>
              <w:t>–%</w:t>
            </w:r>
          </w:p>
        </w:tc>
        <w:tc>
          <w:tcPr>
            <w:tcW w:w="6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1"/>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2%</w:t>
            </w:r>
          </w:p>
        </w:tc>
        <w:tc>
          <w:tcPr>
            <w:tcW w:w="11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w:t>
            </w: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30-120 days</w:t>
            </w:r>
          </w:p>
        </w:tc>
      </w:tr>
      <w:tr>
        <w:trPr>
          <w:trHeight w:val="223"/>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Private equity funds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112,444</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31,482</w:t>
            </w:r>
          </w:p>
        </w:tc>
        <w:tc>
          <w:tcPr>
            <w:tcW w:w="1040" w:type="dxa"/>
            <w:vAlign w:val="bottom"/>
            <w:gridSpan w:val="2"/>
          </w:tcPr>
          <w:p>
            <w:pPr>
              <w:jc w:val="right"/>
              <w:ind w:right="86"/>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w:t>
            </w:r>
          </w:p>
        </w:tc>
        <w:tc>
          <w:tcPr>
            <w:tcW w:w="22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48%</w:t>
            </w:r>
          </w:p>
        </w:tc>
        <w:tc>
          <w:tcPr>
            <w:tcW w:w="1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NA</w:t>
            </w: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179,417</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31,482</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frequency as follows:</w:t>
      </w:r>
    </w:p>
    <w:p>
      <w:pPr>
        <w:spacing w:after="0" w:line="90"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(10%), weekly (9%), monthly (38%) and quarterly (43%)</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(100%)</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(37%) and monthly (61%)</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See Note 4 of Notes to Condensed Consolidated Financial Statements for discussion of significant investment strategies for investments valued based 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NAV.</w:t>
      </w:r>
    </w:p>
    <w:p>
      <w:pPr>
        <w:spacing w:after="0" w:line="155"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Investment Capital Funding Commitments—</w:t>
      </w:r>
      <w:r>
        <w:rPr>
          <w:rFonts w:ascii="Times New Roman" w:cs="Times New Roman" w:eastAsia="Times New Roman" w:hAnsi="Times New Roman"/>
          <w:sz w:val="18"/>
          <w:szCs w:val="18"/>
          <w:color w:val="auto"/>
        </w:rPr>
        <w:t>At September 30, 2013, the Company’s maximum unfunded commitments for capital contributions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funds arose from (i) commitments to Corporate Partners II Limited (“CP II”), which amounted to $1,940 for potential “follow-on investments” and/or for fund expenses through the earlier of February 25, 2017 or the liquidation of the fund, (ii) commitments to EGCP III, which amounted to $18,501 through the earlier of October 12, 2016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end of the investment period) for investments and/or expenses (with a portion of the undrawn amount of such commitments as of that date remaining committed until October 12, 2023 in respect of “follow-on investments” and/or fund expenses) or the liquidation of the fund and (iii) commitments to COF2, which amounted to $7,244 through the earlier of November 11, 2016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end of the investment period) for investments and/or fund expenses (with a portion of the undrawn amount of such commitments as of that date remaining committed until November 11, 2019 in respect of “follow-on investments” and/or fund expenses) or the liquidation of the fund.</w:t>
      </w:r>
    </w:p>
    <w:p>
      <w:pPr>
        <w:spacing w:after="0" w:line="260"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DERIVATIVES</w:t>
      </w:r>
    </w:p>
    <w:p>
      <w:pPr>
        <w:spacing w:after="0" w:line="94" w:lineRule="exact"/>
        <w:rPr>
          <w:sz w:val="20"/>
          <w:szCs w:val="20"/>
          <w:color w:val="auto"/>
        </w:rPr>
      </w:pPr>
    </w:p>
    <w:p>
      <w:pPr>
        <w:ind w:right="280" w:firstLine="456"/>
        <w:spacing w:after="0" w:line="293" w:lineRule="auto"/>
        <w:rPr>
          <w:sz w:val="20"/>
          <w:szCs w:val="20"/>
          <w:color w:val="auto"/>
        </w:rPr>
      </w:pPr>
      <w:r>
        <w:rPr>
          <w:rFonts w:ascii="Times New Roman" w:cs="Times New Roman" w:eastAsia="Times New Roman" w:hAnsi="Times New Roman"/>
          <w:sz w:val="16"/>
          <w:szCs w:val="16"/>
          <w:color w:val="auto"/>
        </w:rPr>
        <w:t>The Company enters into forward foreign currency exchange rate contracts, interest rate swaps, interest rate futures, equity and fixed income swaps and other derivative contracts to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Gains and losses on the Company’s derivative instruments not designated as hedging instruments are included in “interest income” and “interest expense”, respectively, or “revenue other”, depending on the nature of the underlying item, on the consolidated statements of operations.</w:t>
      </w:r>
    </w:p>
    <w:p>
      <w:pPr>
        <w:spacing w:after="0" w:line="111"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In addition to the derivative instruments described above, the Company records derivative liabilities relating to its obligations pertaining to Lazard Fund Interests awards and other similar deferred compensation arrangements, the fair value of which is based on the value of the underlying investments, adjusted for estimated forfeitures, and is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included in “accrued compensation and benefits” in the consolidated statements of financial condition. Changes in the fair value of the derivative liabilities are included in “compensation and benefits” in the consolidated statements of operations, the impact of which equally offsets the changes in the fair value of investments which are currently expected to be delivered upon settlement of Lazard Fund Interests awards and other similar deferred compensation arrangements, which are reported in “revenue-other” in the consolidated statements of operations.</w:t>
      </w:r>
    </w:p>
    <w:p>
      <w:pPr>
        <w:spacing w:after="0" w:line="136"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The tables below present the fair values of the Company’s derivative instruments reported within “other assets” and “other liabilities” and the fair values of the Company’s derivative liabilities relating to its obligations pertaining to Lazard Fund Interests and other similar deferred compensation arrangements (see Note 12 of Notes to Condensed Consolidated Financial Statements) on the accompanying condensed consolidated statements of financial condition as of September 30, 2013 and December 31, 2012: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8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1"/>
              </w:rPr>
              <w:t>September 30,</w:t>
            </w:r>
          </w:p>
        </w:tc>
        <w:tc>
          <w:tcPr>
            <w:tcW w:w="420" w:type="dxa"/>
            <w:vAlign w:val="bottom"/>
          </w:tcPr>
          <w:p>
            <w:pPr>
              <w:spacing w:after="0"/>
              <w:rPr>
                <w:sz w:val="13"/>
                <w:szCs w:val="13"/>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1160" w:type="dxa"/>
            <w:vAlign w:val="bottom"/>
            <w:tcBorders>
              <w:bottom w:val="single" w:sz="8" w:color="CCEEFF"/>
            </w:tcBorders>
          </w:tcPr>
          <w:p>
            <w:pPr>
              <w:spacing w:after="0"/>
              <w:rPr>
                <w:sz w:val="14"/>
                <w:szCs w:val="14"/>
                <w:color w:val="auto"/>
              </w:rPr>
            </w:pPr>
          </w:p>
        </w:tc>
        <w:tc>
          <w:tcPr>
            <w:tcW w:w="8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92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Derivative Assets: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2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Forward foreign currency exchange rate contracts</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18"/>
                <w:szCs w:val="18"/>
                <w:color w:val="auto"/>
              </w:rPr>
            </w:pPr>
          </w:p>
        </w:tc>
      </w:tr>
      <w:tr>
        <w:trPr>
          <w:trHeight w:val="216"/>
        </w:trPr>
        <w:tc>
          <w:tcPr>
            <w:tcW w:w="92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Equity and fixed income swaps and other (a)</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8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Forward foreign currency exchange rate contracts</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8"/>
                <w:szCs w:val="18"/>
                <w:color w:val="auto"/>
              </w:rPr>
            </w:pPr>
          </w:p>
        </w:tc>
      </w:tr>
      <w:tr>
        <w:trPr>
          <w:trHeight w:val="216"/>
        </w:trPr>
        <w:tc>
          <w:tcPr>
            <w:tcW w:w="92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rate swaps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8"/>
                <w:szCs w:val="18"/>
                <w:color w:val="auto"/>
              </w:rPr>
            </w:pPr>
          </w:p>
        </w:tc>
      </w:tr>
      <w:tr>
        <w:trPr>
          <w:trHeight w:val="216"/>
        </w:trPr>
        <w:tc>
          <w:tcPr>
            <w:tcW w:w="92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Equity and fixed income swaps (a)</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100" w:type="dxa"/>
            <w:vAlign w:val="bottom"/>
          </w:tcPr>
          <w:p>
            <w:pPr>
              <w:spacing w:after="0"/>
              <w:rPr>
                <w:sz w:val="18"/>
                <w:szCs w:val="18"/>
                <w:color w:val="auto"/>
              </w:rPr>
            </w:pPr>
          </w:p>
        </w:tc>
      </w:tr>
      <w:tr>
        <w:trPr>
          <w:trHeight w:val="216"/>
        </w:trPr>
        <w:tc>
          <w:tcPr>
            <w:tcW w:w="92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Lazard Fund Interests and other similar deferred compensation arrangements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156,306</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97,593</w:t>
            </w:r>
          </w:p>
        </w:tc>
        <w:tc>
          <w:tcPr>
            <w:tcW w:w="100" w:type="dxa"/>
            <w:vAlign w:val="bottom"/>
            <w:shd w:val="clear" w:color="auto" w:fill="CCEEFF"/>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8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159,267</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102,492</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3" w:lineRule="exact"/>
        <w:rPr>
          <w:sz w:val="20"/>
          <w:szCs w:val="20"/>
          <w:color w:val="auto"/>
        </w:rPr>
      </w:pPr>
    </w:p>
    <w:p>
      <w:pPr>
        <w:jc w:val="both"/>
        <w:ind w:left="460" w:right="180" w:hanging="452"/>
        <w:spacing w:after="0" w:line="258"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equity and fixed income swaps, amounts represent the netting of gross derivative assets and liabilities of $480 and $2,305 as of September 30, 2013, respectively, and $0 and $4,342 as of December 31, 2012, respectively, for contracts with the same counterparty under legally enforceable master netting agreements. Such amounts are recorded “net” in “other assets”, with receivables for net cash collateral under such contracts of $14,684 and $15,304 as of September 30, 2013 and December 31, 2012, respectively.</w:t>
      </w:r>
    </w:p>
    <w:p>
      <w:pPr>
        <w:spacing w:after="0" w:line="13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Net gains (losses) with respect to derivative instruments (predominantly reflected in “revenue-other”) and the Company’s derivative liabilities relating to its obligations pertaining to Lazard Fund Interests and other similar deferred compensation arrangements (included in “compensation and benefits” expense) as reflected on the accompanying condensed consolidated statements of operations for the three month and nine month periods ended September 30, 2013 and 2012,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760" w:type="dxa"/>
            <w:vAlign w:val="bottom"/>
            <w:gridSpan w:val="5"/>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6"/>
              </w:rPr>
              <w:t>Nine Months Ended</w:t>
            </w:r>
          </w:p>
        </w:tc>
        <w:tc>
          <w:tcPr>
            <w:tcW w:w="0" w:type="dxa"/>
            <w:vAlign w:val="bottom"/>
          </w:tcPr>
          <w:p>
            <w:pPr>
              <w:spacing w:after="0"/>
              <w:rPr>
                <w:sz w:val="1"/>
                <w:szCs w:val="1"/>
                <w:color w:val="auto"/>
              </w:rPr>
            </w:pPr>
          </w:p>
        </w:tc>
      </w:tr>
      <w:tr>
        <w:trPr>
          <w:trHeight w:val="165"/>
        </w:trPr>
        <w:tc>
          <w:tcPr>
            <w:tcW w:w="55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4"/>
                <w:szCs w:val="14"/>
                <w:color w:val="auto"/>
              </w:rPr>
            </w:pPr>
          </w:p>
        </w:tc>
        <w:tc>
          <w:tcPr>
            <w:tcW w:w="1760" w:type="dxa"/>
            <w:vAlign w:val="bottom"/>
            <w:gridSpan w:val="5"/>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0" w:type="dxa"/>
            <w:vAlign w:val="bottom"/>
          </w:tcPr>
          <w:p>
            <w:pPr>
              <w:spacing w:after="0"/>
              <w:rPr>
                <w:sz w:val="1"/>
                <w:szCs w:val="1"/>
                <w:color w:val="auto"/>
              </w:rPr>
            </w:pPr>
          </w:p>
        </w:tc>
      </w:tr>
      <w:tr>
        <w:trPr>
          <w:trHeight w:val="142"/>
        </w:trPr>
        <w:tc>
          <w:tcPr>
            <w:tcW w:w="552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foreign currency exchange rate contracts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3"/>
              </w:rPr>
              <w:t>(5,310)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79"/>
              </w:rPr>
              <w:t>(3,377)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3"/>
              </w:rPr>
              <w:t>(1,705)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w w:val="99"/>
              </w:rPr>
              <w:t>Lazard Fund Interests and other similar deferred compensation arrangements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(7,519)</w:t>
            </w:r>
          </w:p>
        </w:tc>
        <w:tc>
          <w:tcPr>
            <w:tcW w:w="100" w:type="dxa"/>
            <w:vAlign w:val="bottom"/>
          </w:tcPr>
          <w:p>
            <w:pPr>
              <w:spacing w:after="0"/>
              <w:rPr>
                <w:sz w:val="18"/>
                <w:szCs w:val="18"/>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(4,728)</w:t>
            </w:r>
          </w:p>
        </w:tc>
        <w:tc>
          <w:tcPr>
            <w:tcW w:w="10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(7,767)</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and fixed income swaps and other</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(6,469)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(6,710)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(7,857)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(12,654)</w:t>
            </w:r>
          </w:p>
        </w:tc>
        <w:tc>
          <w:tcPr>
            <w:tcW w:w="0" w:type="dxa"/>
            <w:vAlign w:val="bottom"/>
          </w:tcPr>
          <w:p>
            <w:pPr>
              <w:spacing w:after="0"/>
              <w:rPr>
                <w:sz w:val="1"/>
                <w:szCs w:val="1"/>
                <w:color w:val="auto"/>
              </w:rPr>
            </w:pPr>
          </w:p>
        </w:tc>
      </w:tr>
      <w:tr>
        <w:trPr>
          <w:trHeight w:val="222"/>
        </w:trPr>
        <w:tc>
          <w:tcPr>
            <w:tcW w:w="5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(19,298</w:t>
            </w:r>
          </w:p>
        </w:tc>
        <w:tc>
          <w:tcPr>
            <w:tcW w:w="440" w:type="dxa"/>
            <w:vAlign w:val="bottom"/>
          </w:tcPr>
          <w:p>
            <w:pPr>
              <w:jc w:val="right"/>
              <w:ind w:right="36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(14,815</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3"/>
              </w:rPr>
              <w:t>(17,329</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(18,541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860" w:type="dxa"/>
            <w:vAlign w:val="bottom"/>
            <w:vMerge w:val="restart"/>
          </w:tcPr>
          <w:p>
            <w:pPr>
              <w:jc w:val="right"/>
              <w:ind w:right="149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52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1" w:lineRule="exact"/>
        <w:rPr>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PROPERTY</w:t>
      </w:r>
    </w:p>
    <w:p>
      <w:pPr>
        <w:spacing w:after="0" w:line="94" w:lineRule="exact"/>
        <w:rPr>
          <w:rFonts w:ascii="Times New Roman" w:cs="Times New Roman" w:eastAsia="Times New Roman" w:hAnsi="Times New Roman"/>
          <w:sz w:val="18"/>
          <w:szCs w:val="18"/>
          <w:b w:val="1"/>
          <w:bCs w:val="1"/>
          <w:i w:val="1"/>
          <w:iCs w:val="1"/>
          <w:color w:val="auto"/>
        </w:rPr>
      </w:pP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At September 30, 2013 and December 31, 2012, property consisted of the following:</w:t>
      </w:r>
    </w:p>
    <w:p>
      <w:pPr>
        <w:spacing w:after="0" w:line="19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2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5"/>
              </w:rPr>
              <w:t>Estimated</w:t>
            </w: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9"/>
        </w:trPr>
        <w:tc>
          <w:tcPr>
            <w:tcW w:w="502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Depreciable</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3"/>
              </w:rPr>
              <w:t>September 30,</w:t>
            </w:r>
          </w:p>
        </w:tc>
        <w:tc>
          <w:tcPr>
            <w:tcW w:w="54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5020" w:type="dxa"/>
            <w:vAlign w:val="bottom"/>
          </w:tcPr>
          <w:p>
            <w:pPr>
              <w:spacing w:after="0"/>
              <w:rPr>
                <w:sz w:val="14"/>
                <w:szCs w:val="14"/>
                <w:color w:val="auto"/>
              </w:rPr>
            </w:pPr>
          </w:p>
        </w:tc>
        <w:tc>
          <w:tcPr>
            <w:tcW w:w="12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5"/>
              </w:rPr>
              <w:t>Life in Years</w:t>
            </w:r>
          </w:p>
        </w:tc>
        <w:tc>
          <w:tcPr>
            <w:tcW w:w="82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2013</w:t>
            </w:r>
          </w:p>
        </w:tc>
        <w:tc>
          <w:tcPr>
            <w:tcW w:w="1340" w:type="dxa"/>
            <w:vAlign w:val="bottom"/>
            <w:gridSpan w:val="2"/>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Pr>
          <w:p>
            <w:pPr>
              <w:spacing w:after="0"/>
              <w:rPr>
                <w:sz w:val="14"/>
                <w:szCs w:val="14"/>
                <w:color w:val="auto"/>
              </w:rPr>
            </w:pP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5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$170,479</w:t>
            </w:r>
          </w:p>
        </w:tc>
        <w:tc>
          <w:tcPr>
            <w:tcW w:w="5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$166,560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3-20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173,303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143,408</w:t>
            </w:r>
          </w:p>
        </w:tc>
        <w:tc>
          <w:tcPr>
            <w:tcW w:w="8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3-10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146,502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122,124</w:t>
            </w:r>
          </w:p>
        </w:tc>
        <w:tc>
          <w:tcPr>
            <w:tcW w:w="80" w:type="dxa"/>
            <w:vAlign w:val="bottom"/>
            <w:shd w:val="clear" w:color="auto" w:fill="CCEEFF"/>
          </w:tcPr>
          <w:p>
            <w:pPr>
              <w:spacing w:after="0"/>
              <w:rPr>
                <w:sz w:val="18"/>
                <w:szCs w:val="18"/>
                <w:color w:val="auto"/>
              </w:rPr>
            </w:pPr>
          </w:p>
        </w:tc>
      </w:tr>
      <w:tr>
        <w:trPr>
          <w:trHeight w:val="22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5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18,801</w:t>
            </w:r>
          </w:p>
        </w:tc>
        <w:tc>
          <w:tcPr>
            <w:tcW w:w="80" w:type="dxa"/>
            <w:vAlign w:val="bottom"/>
          </w:tcPr>
          <w:p>
            <w:pPr>
              <w:spacing w:after="0"/>
              <w:rPr>
                <w:sz w:val="19"/>
                <w:szCs w:val="19"/>
                <w:color w:val="auto"/>
              </w:rPr>
            </w:pPr>
          </w:p>
        </w:tc>
      </w:tr>
      <w:tr>
        <w:trPr>
          <w:trHeight w:val="216"/>
        </w:trPr>
        <w:tc>
          <w:tcPr>
            <w:tcW w:w="5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494,412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450,893</w:t>
            </w:r>
          </w:p>
        </w:tc>
        <w:tc>
          <w:tcPr>
            <w:tcW w:w="80" w:type="dxa"/>
            <w:vAlign w:val="bottom"/>
            <w:shd w:val="clear" w:color="auto" w:fill="CCEEFF"/>
          </w:tcPr>
          <w:p>
            <w:pPr>
              <w:spacing w:after="0"/>
              <w:rPr>
                <w:sz w:val="18"/>
                <w:szCs w:val="18"/>
                <w:color w:val="auto"/>
              </w:rPr>
            </w:pPr>
          </w:p>
        </w:tc>
      </w:tr>
      <w:tr>
        <w:trPr>
          <w:trHeight w:val="22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244,634</w:t>
            </w:r>
          </w:p>
        </w:tc>
        <w:tc>
          <w:tcPr>
            <w:tcW w:w="5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225,861</w:t>
            </w:r>
          </w:p>
        </w:tc>
        <w:tc>
          <w:tcPr>
            <w:tcW w:w="80" w:type="dxa"/>
            <w:vAlign w:val="bottom"/>
          </w:tcPr>
          <w:p>
            <w:pPr>
              <w:spacing w:after="0"/>
              <w:rPr>
                <w:sz w:val="19"/>
                <w:szCs w:val="19"/>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$249,778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$225,032</w:t>
            </w:r>
          </w:p>
        </w:tc>
        <w:tc>
          <w:tcPr>
            <w:tcW w:w="80" w:type="dxa"/>
            <w:vAlign w:val="bottom"/>
            <w:shd w:val="clear" w:color="auto" w:fill="CCEEFF"/>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9" w:lineRule="exact"/>
        <w:rPr>
          <w:sz w:val="20"/>
          <w:szCs w:val="20"/>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94" w:lineRule="exact"/>
        <w:rPr>
          <w:rFonts w:ascii="Times New Roman" w:cs="Times New Roman" w:eastAsia="Times New Roman" w:hAnsi="Times New Roman"/>
          <w:sz w:val="18"/>
          <w:szCs w:val="18"/>
          <w:b w:val="1"/>
          <w:bCs w:val="1"/>
          <w:i w:val="1"/>
          <w:iCs w:val="1"/>
          <w:color w:val="auto"/>
        </w:rPr>
      </w:pP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components of goodwill and other intangible assets at September 30, 2013 and December 31, 2012 are presented below:</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70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2013</w:t>
            </w:r>
          </w:p>
        </w:tc>
        <w:tc>
          <w:tcPr>
            <w:tcW w:w="4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350,619</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364,328</w:t>
            </w:r>
          </w:p>
        </w:tc>
        <w:tc>
          <w:tcPr>
            <w:tcW w:w="100" w:type="dxa"/>
            <w:vAlign w:val="bottom"/>
            <w:shd w:val="clear" w:color="auto" w:fill="CCEEFF"/>
          </w:tcPr>
          <w:p>
            <w:pPr>
              <w:spacing w:after="0"/>
              <w:rPr>
                <w:sz w:val="18"/>
                <w:szCs w:val="18"/>
                <w:color w:val="auto"/>
              </w:rPr>
            </w:pP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 of accumulated amortization)</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25,782</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28,494</w:t>
            </w:r>
          </w:p>
        </w:tc>
        <w:tc>
          <w:tcPr>
            <w:tcW w:w="100" w:type="dxa"/>
            <w:vAlign w:val="bottom"/>
          </w:tcPr>
          <w:p>
            <w:pPr>
              <w:spacing w:after="0"/>
              <w:rPr>
                <w:sz w:val="19"/>
                <w:szCs w:val="19"/>
                <w:color w:val="auto"/>
              </w:rPr>
            </w:pPr>
          </w:p>
        </w:tc>
      </w:tr>
      <w:tr>
        <w:trPr>
          <w:trHeight w:val="216"/>
        </w:trPr>
        <w:tc>
          <w:tcPr>
            <w:tcW w:w="7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376,401</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392,822</w:t>
            </w:r>
          </w:p>
        </w:tc>
        <w:tc>
          <w:tcPr>
            <w:tcW w:w="100" w:type="dxa"/>
            <w:vAlign w:val="bottom"/>
            <w:shd w:val="clear" w:color="auto" w:fill="CCEEFF"/>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At September 30, 2013 and December 31, 2012, goodwill of $286,078 and $299,787, respectively, was attributable to the Company’s Financial Advisory segment and, at each such respective date, $64,541 of goodwill was attributable to the Company’s Asset Management segment.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Changes in the carrying amount of goodwill for the nine month periods ended September 30, 2013 and 2012 are as follows: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0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Nine Months Ended</w:t>
            </w:r>
          </w:p>
        </w:tc>
        <w:tc>
          <w:tcPr>
            <w:tcW w:w="0" w:type="dxa"/>
            <w:vAlign w:val="bottom"/>
          </w:tcPr>
          <w:p>
            <w:pPr>
              <w:spacing w:after="0"/>
              <w:rPr>
                <w:sz w:val="1"/>
                <w:szCs w:val="1"/>
                <w:color w:val="auto"/>
              </w:rPr>
            </w:pPr>
          </w:p>
        </w:tc>
      </w:tr>
      <w:tr>
        <w:trPr>
          <w:trHeight w:val="165"/>
        </w:trPr>
        <w:tc>
          <w:tcPr>
            <w:tcW w:w="38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680" w:type="dxa"/>
            <w:vAlign w:val="bottom"/>
            <w:tcBorders>
              <w:top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w:t>
            </w:r>
          </w:p>
        </w:tc>
        <w:tc>
          <w:tcPr>
            <w:tcW w:w="37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$364,328</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$356,657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Business acquisitions</w:t>
            </w:r>
          </w:p>
        </w:tc>
        <w:tc>
          <w:tcPr>
            <w:tcW w:w="4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3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7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(15,310)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30</w:t>
            </w:r>
          </w:p>
        </w:tc>
        <w:tc>
          <w:tcPr>
            <w:tcW w:w="37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350,619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364,761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760" w:type="dxa"/>
            <w:vAlign w:val="bottom"/>
            <w:vMerge w:val="restart"/>
          </w:tcPr>
          <w:p>
            <w:pPr>
              <w:jc w:val="right"/>
              <w:ind w:right="2592"/>
              <w:spacing w:after="0"/>
              <w:rPr>
                <w:sz w:val="20"/>
                <w:szCs w:val="20"/>
                <w:color w:val="auto"/>
              </w:rPr>
            </w:pPr>
            <w:r>
              <w:rPr>
                <w:rFonts w:ascii="Times New Roman" w:cs="Times New Roman" w:eastAsia="Times New Roman" w:hAnsi="Times New Roman"/>
                <w:sz w:val="18"/>
                <w:szCs w:val="18"/>
                <w:color w:val="auto"/>
              </w:rPr>
              <w:t>20</w:t>
            </w: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0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5" w:right="4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580" w:firstLine="456"/>
        <w:spacing w:after="0" w:line="275" w:lineRule="auto"/>
        <w:rPr>
          <w:sz w:val="20"/>
          <w:szCs w:val="20"/>
          <w:color w:val="auto"/>
        </w:rPr>
      </w:pPr>
      <w:r>
        <w:rPr>
          <w:rFonts w:ascii="Times New Roman" w:cs="Times New Roman" w:eastAsia="Times New Roman" w:hAnsi="Times New Roman"/>
          <w:sz w:val="18"/>
          <w:szCs w:val="18"/>
          <w:color w:val="auto"/>
        </w:rPr>
        <w:t>The gross cost and accumulated amortization of other intangible assets as of September 30, 2013 and December 31, 2012, by major intangible asset category,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4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Net</w:t>
            </w: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00" w:type="dxa"/>
            <w:vAlign w:val="bottom"/>
          </w:tcPr>
          <w:p>
            <w:pPr>
              <w:spacing w:after="0"/>
              <w:rPr>
                <w:sz w:val="10"/>
                <w:szCs w:val="10"/>
                <w:color w:val="auto"/>
              </w:rPr>
            </w:pPr>
          </w:p>
        </w:tc>
      </w:tr>
      <w:tr>
        <w:trPr>
          <w:trHeight w:val="149"/>
        </w:trPr>
        <w:tc>
          <w:tcPr>
            <w:tcW w:w="480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26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1"/>
              </w:rPr>
              <w:t>Gross</w:t>
            </w:r>
          </w:p>
        </w:tc>
        <w:tc>
          <w:tcPr>
            <w:tcW w:w="3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r>
      <w:tr>
        <w:trPr>
          <w:trHeight w:val="165"/>
        </w:trPr>
        <w:tc>
          <w:tcPr>
            <w:tcW w:w="480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40" w:type="dxa"/>
            <w:vAlign w:val="bottom"/>
          </w:tcPr>
          <w:p>
            <w:pPr>
              <w:spacing w:after="0"/>
              <w:rPr>
                <w:sz w:val="14"/>
                <w:szCs w:val="14"/>
                <w:color w:val="auto"/>
              </w:rPr>
            </w:pPr>
          </w:p>
        </w:tc>
        <w:tc>
          <w:tcPr>
            <w:tcW w:w="114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4"/>
              </w:rPr>
              <w:t>Amortization</w:t>
            </w:r>
          </w:p>
        </w:tc>
        <w:tc>
          <w:tcPr>
            <w:tcW w:w="18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26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340" w:type="dxa"/>
            <w:vAlign w:val="bottom"/>
          </w:tcPr>
          <w:p>
            <w:pPr>
              <w:spacing w:after="0"/>
              <w:rPr>
                <w:sz w:val="14"/>
                <w:szCs w:val="14"/>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4"/>
              </w:rPr>
              <w:t>Amortization</w:t>
            </w:r>
          </w:p>
        </w:tc>
        <w:tc>
          <w:tcPr>
            <w:tcW w:w="1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Amount</w:t>
            </w: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Success/performance fees</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$30,740</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10,726</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$20,014</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$30,740</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10,678</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$20,062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48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Management fees, customer relationships and non-compete</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agreements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33,081</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27,313</w:t>
            </w: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5,768</w:t>
            </w: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33,035</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24,603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8,432</w:t>
            </w:r>
          </w:p>
        </w:tc>
        <w:tc>
          <w:tcPr>
            <w:tcW w:w="100" w:type="dxa"/>
            <w:vAlign w:val="bottom"/>
          </w:tcPr>
          <w:p>
            <w:pPr>
              <w:spacing w:after="0"/>
              <w:rPr>
                <w:sz w:val="19"/>
                <w:szCs w:val="19"/>
                <w:color w:val="auto"/>
              </w:rPr>
            </w:pPr>
          </w:p>
        </w:tc>
      </w:tr>
      <w:tr>
        <w:trPr>
          <w:trHeight w:val="28"/>
        </w:trPr>
        <w:tc>
          <w:tcPr>
            <w:tcW w:w="48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63,821</w:t>
            </w:r>
          </w:p>
        </w:tc>
        <w:tc>
          <w:tcPr>
            <w:tcW w:w="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38,039</w:t>
            </w: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25,782</w:t>
            </w: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63,775</w:t>
            </w: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35,281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28,494</w:t>
            </w:r>
          </w:p>
        </w:tc>
        <w:tc>
          <w:tcPr>
            <w:tcW w:w="100" w:type="dxa"/>
            <w:vAlign w:val="bottom"/>
            <w:shd w:val="clear" w:color="auto" w:fill="CCEEFF"/>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00" w:firstLine="456"/>
        <w:spacing w:after="0" w:line="339" w:lineRule="auto"/>
        <w:rPr>
          <w:sz w:val="20"/>
          <w:szCs w:val="20"/>
          <w:color w:val="auto"/>
        </w:rPr>
      </w:pPr>
      <w:r>
        <w:rPr>
          <w:rFonts w:ascii="Times New Roman" w:cs="Times New Roman" w:eastAsia="Times New Roman" w:hAnsi="Times New Roman"/>
          <w:sz w:val="16"/>
          <w:szCs w:val="16"/>
          <w:color w:val="auto"/>
        </w:rPr>
        <w:t>Amortization expense of intangible assets for the three month and nine month periods ended September 30, 2013 was $877 and $2,758, respectively, and for the three month and nine month periods ended September 30, 2012 was $2,494 and $6,172, respectively. Estimated future amortization expense is as follows:</w:t>
      </w:r>
    </w:p>
    <w:p>
      <w:pPr>
        <w:spacing w:after="0" w:line="10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4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620" w:type="dxa"/>
            <w:vAlign w:val="bottom"/>
            <w:gridSpan w:val="4"/>
          </w:tcPr>
          <w:p>
            <w:pPr>
              <w:ind w:left="27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52"/>
        </w:trPr>
        <w:tc>
          <w:tcPr>
            <w:tcW w:w="5740" w:type="dxa"/>
            <w:vAlign w:val="bottom"/>
            <w:gridSpan w:val="4"/>
            <w:vMerge w:val="continue"/>
          </w:tcPr>
          <w:p>
            <w:pPr>
              <w:spacing w:after="0"/>
              <w:rPr>
                <w:sz w:val="13"/>
                <w:szCs w:val="13"/>
                <w:color w:val="auto"/>
              </w:rPr>
            </w:pPr>
          </w:p>
        </w:tc>
        <w:tc>
          <w:tcPr>
            <w:tcW w:w="2740" w:type="dxa"/>
            <w:vAlign w:val="bottom"/>
          </w:tcPr>
          <w:p>
            <w:pPr>
              <w:spacing w:after="0"/>
              <w:rPr>
                <w:sz w:val="13"/>
                <w:szCs w:val="13"/>
                <w:color w:val="auto"/>
              </w:rPr>
            </w:pPr>
          </w:p>
        </w:tc>
        <w:tc>
          <w:tcPr>
            <w:tcW w:w="880" w:type="dxa"/>
            <w:vAlign w:val="bottom"/>
            <w:gridSpan w:val="3"/>
          </w:tcPr>
          <w:p>
            <w:pPr>
              <w:ind w:left="60"/>
              <w:spacing w:after="0" w:line="152" w:lineRule="exact"/>
              <w:rPr>
                <w:sz w:val="20"/>
                <w:szCs w:val="20"/>
                <w:color w:val="auto"/>
              </w:rPr>
            </w:pPr>
            <w:r>
              <w:rPr>
                <w:rFonts w:ascii="Times New Roman" w:cs="Times New Roman" w:eastAsia="Times New Roman" w:hAnsi="Times New Roman"/>
                <w:sz w:val="14"/>
                <w:szCs w:val="14"/>
                <w:b w:val="1"/>
                <w:bCs w:val="1"/>
                <w:color w:val="auto"/>
              </w:rPr>
              <w:t>Expense (a)</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0" w:type="dxa"/>
            <w:vAlign w:val="bottom"/>
          </w:tcPr>
          <w:p>
            <w:pPr>
              <w:spacing w:after="0"/>
              <w:rPr>
                <w:sz w:val="17"/>
                <w:szCs w:val="17"/>
                <w:color w:val="auto"/>
              </w:rPr>
            </w:pPr>
          </w:p>
        </w:tc>
        <w:tc>
          <w:tcPr>
            <w:tcW w:w="550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2013 (October 1 through December 31)</w:t>
            </w:r>
          </w:p>
        </w:tc>
        <w:tc>
          <w:tcPr>
            <w:tcW w:w="2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2,589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7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7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7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2940" w:type="dxa"/>
            <w:vAlign w:val="bottom"/>
            <w:gridSpan w:val="2"/>
            <w:shd w:val="clear" w:color="auto" w:fill="CCEEFF"/>
          </w:tcPr>
          <w:p>
            <w:pPr>
              <w:ind w:left="27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480" w:hanging="567"/>
        <w:spacing w:after="0"/>
        <w:tabs>
          <w:tab w:leader="none" w:pos="14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45% of intangible asset amortization is attributable to a noncontrolling interest.</w:t>
      </w:r>
    </w:p>
    <w:p>
      <w:pPr>
        <w:spacing w:after="0" w:line="28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SENIOR DEBT</w:t>
      </w:r>
    </w:p>
    <w:p>
      <w:pPr>
        <w:spacing w:after="0" w:line="94" w:lineRule="exact"/>
        <w:rPr>
          <w:rFonts w:ascii="Times New Roman" w:cs="Times New Roman" w:eastAsia="Times New Roman" w:hAnsi="Times New Roman"/>
          <w:sz w:val="18"/>
          <w:szCs w:val="18"/>
          <w:b w:val="1"/>
          <w:bCs w:val="1"/>
          <w:i w:val="1"/>
          <w:iCs w:val="1"/>
          <w:color w:val="auto"/>
        </w:rPr>
      </w:pP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Senior debt was comprised of the following as of September 30, 2013 and December 31, 2012:</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Annual</w:t>
            </w:r>
          </w:p>
        </w:tc>
        <w:tc>
          <w:tcPr>
            <w:tcW w:w="120" w:type="dxa"/>
            <w:vAlign w:val="bottom"/>
          </w:tcPr>
          <w:p>
            <w:pPr>
              <w:spacing w:after="0"/>
              <w:rPr>
                <w:sz w:val="14"/>
                <w:szCs w:val="14"/>
                <w:color w:val="auto"/>
              </w:rPr>
            </w:pPr>
          </w:p>
        </w:tc>
        <w:tc>
          <w:tcPr>
            <w:tcW w:w="214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Outstanding As Of</w:t>
            </w:r>
          </w:p>
        </w:tc>
      </w:tr>
      <w:tr>
        <w:trPr>
          <w:trHeight w:val="125"/>
        </w:trPr>
        <w:tc>
          <w:tcPr>
            <w:tcW w:w="37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20" w:type="dxa"/>
            <w:vAlign w:val="bottom"/>
            <w:gridSpan w:val="2"/>
          </w:tcPr>
          <w:p>
            <w:pPr>
              <w:jc w:val="center"/>
              <w:ind w:right="440"/>
              <w:spacing w:after="0" w:line="125" w:lineRule="exact"/>
              <w:rPr>
                <w:sz w:val="20"/>
                <w:szCs w:val="20"/>
                <w:color w:val="auto"/>
              </w:rPr>
            </w:pPr>
            <w:r>
              <w:rPr>
                <w:rFonts w:ascii="Times New Roman" w:cs="Times New Roman" w:eastAsia="Times New Roman" w:hAnsi="Times New Roman"/>
                <w:sz w:val="14"/>
                <w:szCs w:val="14"/>
                <w:b w:val="1"/>
                <w:bCs w:val="1"/>
                <w:color w:val="auto"/>
                <w:w w:val="94"/>
              </w:rPr>
              <w:t>Principal</w:t>
            </w:r>
          </w:p>
        </w:tc>
        <w:tc>
          <w:tcPr>
            <w:tcW w:w="1520" w:type="dxa"/>
            <w:vAlign w:val="bottom"/>
            <w:gridSpan w:val="2"/>
          </w:tcPr>
          <w:p>
            <w:pPr>
              <w:jc w:val="right"/>
              <w:ind w:right="720"/>
              <w:spacing w:after="0" w:line="125"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1500" w:type="dxa"/>
            <w:vAlign w:val="bottom"/>
            <w:gridSpan w:val="2"/>
          </w:tcPr>
          <w:p>
            <w:pPr>
              <w:jc w:val="center"/>
              <w:ind w:right="54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Interest</w:t>
            </w:r>
          </w:p>
        </w:tc>
        <w:tc>
          <w:tcPr>
            <w:tcW w:w="880" w:type="dxa"/>
            <w:vAlign w:val="bottom"/>
            <w:tcBorders>
              <w:top w:val="single" w:sz="8" w:color="auto"/>
            </w:tcBorders>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4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00" w:type="dxa"/>
            <w:vAlign w:val="bottom"/>
          </w:tcPr>
          <w:p>
            <w:pPr>
              <w:spacing w:after="0"/>
              <w:rPr>
                <w:sz w:val="10"/>
                <w:szCs w:val="10"/>
                <w:color w:val="auto"/>
              </w:rPr>
            </w:pPr>
          </w:p>
        </w:tc>
      </w:tr>
      <w:tr>
        <w:trPr>
          <w:trHeight w:val="165"/>
        </w:trPr>
        <w:tc>
          <w:tcPr>
            <w:tcW w:w="378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4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4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Lazard Group 7.125% Senior Notes</w:t>
            </w: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$ 550,000</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5/15/15</w:t>
            </w: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7.125%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528,500</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Lazard Group 6.85% Senior Notes</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44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6/15/17</w:t>
            </w: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548,350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548,350</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Lazard Group Credit Facility</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4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9/25/15</w:t>
            </w:r>
          </w:p>
        </w:tc>
        <w:tc>
          <w:tcPr>
            <w:tcW w:w="15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0.76%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1,076,850</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1,076,850</w:t>
            </w:r>
          </w:p>
        </w:tc>
        <w:tc>
          <w:tcPr>
            <w:tcW w:w="10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On September 25, 2012, Lazard Group entered into a $150,000, three-year senior revolving credit facility with a group of lenders (the “Credit Facility”), which expires in September 2015. The Credit Facility replaced a similar revolving credit facility which was terminated as a condition to effectiveness of the Credit Facility. Interest rates under the Credit Facility vary and are based on either a Federal Funds rate or a Eurodollar rate, in each case plus an applicable margin. As of September 30, 2013, the annual interest rate for a loan accruing interest (based on the Federal Funds overnight rate), including the applicable margin, was 0.76%. At September 30, 2013 and December 31, 2012, no amounts were outstanding under the Credit Facility.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The Credit Facility contains customary terms and conditions, including certain financial covenants. In addition, the Credit Facility, the indenture and the supplemental indentures relating to Lazard Group’s senior notes, contain certain covenants, events of default and other customary provisions, including a customary make-whole provision in the event of early redemption, where applicable. As of September 30, 2013, the Company was in compliance with such provisions. All of the Company’s senior debt obligations are unsecured.</w:t>
      </w:r>
    </w:p>
    <w:p>
      <w:pPr>
        <w:spacing w:after="0" w:line="136"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As of September 30, 2013, the Company had approximately $264,000 in unused lines of credit available to it, including the Credit Facility, and unused lines of credit available to LFB of approximately $54,000 (at September 30, 2013 exchange rates) and Edgewater of $55,000. In addition, LFB has access to the Eurosystem Covered Bond Purchase Program of the Banque de France.</w:t>
      </w:r>
    </w:p>
    <w:p>
      <w:pPr>
        <w:spacing w:after="0" w:line="13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Company’s senior debt at September 30, 2013 and December 31, 2012 is carried at historical amounts. At those dates, the fair value of such senior debt outstanding was approximately $1,197,000 and $1,207,000, respectively, and exceeded the aggregate carrying value by approximately $120,000 and $130,000, respectively. The fair value of the Company’s senior debt was based on market quotations. The Company’s senior debt would be categorized within Level 2 of the hierarchy of fair value measurements if carried at fair value.</w:t>
      </w:r>
    </w:p>
    <w:p>
      <w:pPr>
        <w:spacing w:after="0" w:line="254" w:lineRule="exact"/>
        <w:rPr>
          <w:sz w:val="20"/>
          <w:szCs w:val="20"/>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90" w:lineRule="exact"/>
        <w:rPr>
          <w:sz w:val="20"/>
          <w:szCs w:val="20"/>
          <w:color w:val="auto"/>
        </w:rPr>
      </w:pPr>
    </w:p>
    <w:p>
      <w:pPr>
        <w:ind w:right="2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Leases</w:t>
      </w:r>
      <w:r>
        <w:rPr>
          <w:rFonts w:ascii="Times New Roman" w:cs="Times New Roman" w:eastAsia="Times New Roman" w:hAnsi="Times New Roman"/>
          <w:sz w:val="18"/>
          <w:szCs w:val="18"/>
          <w:color w:val="auto"/>
        </w:rPr>
        <w:t>—The Company has various leases and other contractual commitments arising in the ordinary course of business. In the opinion of management,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fulfillment of such commitments, in accordance with their terms, will not have a material adverse effect on the Company’s consolidated financial position or results of operations.</w:t>
      </w:r>
    </w:p>
    <w:p>
      <w:pPr>
        <w:spacing w:after="0" w:line="125" w:lineRule="exact"/>
        <w:rPr>
          <w:sz w:val="20"/>
          <w:szCs w:val="20"/>
          <w:color w:val="auto"/>
        </w:rPr>
      </w:pPr>
    </w:p>
    <w:p>
      <w:pPr>
        <w:ind w:right="6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Guarantees—</w:t>
      </w:r>
      <w:r>
        <w:rPr>
          <w:rFonts w:ascii="Times New Roman" w:cs="Times New Roman" w:eastAsia="Times New Roman" w:hAnsi="Times New Roman"/>
          <w:sz w:val="18"/>
          <w:szCs w:val="18"/>
          <w:color w:val="auto"/>
        </w:rPr>
        <w:t>In the normal course of business, LFB provides indemnifications to third parties to protect them in the event of non-performance by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clients. At September 30, 2013, LFB had $4,337 of such indemnifications and held $3,572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129" w:lineRule="exact"/>
        <w:rPr>
          <w:sz w:val="20"/>
          <w:szCs w:val="20"/>
          <w:color w:val="auto"/>
        </w:rPr>
      </w:pPr>
    </w:p>
    <w:p>
      <w:pPr>
        <w:ind w:right="140" w:firstLine="456"/>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Certain Business Transactions</w:t>
      </w:r>
      <w:r>
        <w:rPr>
          <w:rFonts w:ascii="Times New Roman" w:cs="Times New Roman" w:eastAsia="Times New Roman" w:hAnsi="Times New Roman"/>
          <w:sz w:val="16"/>
          <w:szCs w:val="16"/>
          <w:color w:val="auto"/>
        </w:rPr>
        <w:t>—On July 15, 2009, the Company established a private equity business with Edgewater. Edgewater manages funds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leadership team retained a substantial economic interest in such entities.</w:t>
      </w:r>
    </w:p>
    <w:p>
      <w:pPr>
        <w:spacing w:after="0" w:line="10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(the “Earnout Shares”) that are subject to earnout criteria and payable over time. The Initial Shares are subject to forfeiture provisions that lapse only upon the achievement of certain performance thresholds and transfer restrictions during the four year period ending December 2014. The Earnout Shares will be issued only if certain performance thresholds are met. As of September 30, 2013 and December 31, 2012, 1,371,992 and 1,209,154 shares, respectively, have been earned because applicable performance thresholds have been satisfied. Such shares are no longer subject to any contingencies. As of December 31, 2012, 686,004 of such shares have been settled, and no additional shares have been settled as of September 30, 2013.</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1" w:lineRule="exact"/>
        <w:rPr>
          <w:sz w:val="20"/>
          <w:szCs w:val="20"/>
          <w:color w:val="auto"/>
        </w:rPr>
      </w:pPr>
    </w:p>
    <w:p>
      <w:pPr>
        <w:ind w:right="40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Consideration Relating To Other Business Acquisitions</w:t>
      </w:r>
      <w:r>
        <w:rPr>
          <w:rFonts w:ascii="Times New Roman" w:cs="Times New Roman" w:eastAsia="Times New Roman" w:hAnsi="Times New Roman"/>
          <w:sz w:val="18"/>
          <w:szCs w:val="18"/>
          <w:color w:val="auto"/>
        </w:rPr>
        <w:t>—For a business acquired in 2013, the Company is obligated to issue a maximum of 107,617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of Class A common stock if certain performance thresholds are achieved.</w:t>
      </w:r>
    </w:p>
    <w:p>
      <w:pPr>
        <w:spacing w:after="0" w:line="115"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For a business acquired in 2012, at December 31, 2012, 170,988 shares of Class A common stock (including dividend equivalent shares) were issuable on a non-contingent basis. Such shares were delivered in the first quarter of 2013. The Company is obligated to issue a maximum of 202,650 additional shares of Class A common stock if certain performance thresholds are achieved.</w:t>
      </w:r>
    </w:p>
    <w:p>
      <w:pPr>
        <w:spacing w:after="0" w:line="132" w:lineRule="exact"/>
        <w:rPr>
          <w:sz w:val="20"/>
          <w:szCs w:val="20"/>
          <w:color w:val="auto"/>
        </w:rPr>
      </w:pPr>
    </w:p>
    <w:p>
      <w:pPr>
        <w:ind w:right="380" w:firstLine="456"/>
        <w:spacing w:after="0" w:line="262" w:lineRule="auto"/>
        <w:rPr>
          <w:sz w:val="20"/>
          <w:szCs w:val="20"/>
          <w:color w:val="auto"/>
        </w:rPr>
      </w:pPr>
      <w:r>
        <w:rPr>
          <w:rFonts w:ascii="Times New Roman" w:cs="Times New Roman" w:eastAsia="Times New Roman" w:hAnsi="Times New Roman"/>
          <w:sz w:val="18"/>
          <w:szCs w:val="18"/>
          <w:color w:val="auto"/>
        </w:rPr>
        <w:t>For a business acquired in 2011, the Company is obligated to pay earnout consideration if certain performance thresholds are achieved. The maximum potential earnout consideration payable by the Company cannot exceed $7,000. Through September 30, 2013, no cash payments relating to the earnout consideration were required.</w:t>
      </w:r>
    </w:p>
    <w:p>
      <w:pPr>
        <w:spacing w:after="0" w:line="128" w:lineRule="exact"/>
        <w:rPr>
          <w:sz w:val="20"/>
          <w:szCs w:val="20"/>
          <w:color w:val="auto"/>
        </w:rPr>
      </w:pPr>
    </w:p>
    <w:p>
      <w:pPr>
        <w:ind w:right="4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Other Commitments</w:t>
      </w:r>
      <w:r>
        <w:rPr>
          <w:rFonts w:ascii="Times New Roman" w:cs="Times New Roman" w:eastAsia="Times New Roman" w:hAnsi="Times New Roman"/>
          <w:sz w:val="18"/>
          <w:szCs w:val="18"/>
          <w:color w:val="auto"/>
        </w:rPr>
        <w:t>—In the normal course of business, LFB enters into commitments to extend credit, predominately at variable interest rates.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commitments have varying expiration dates, are fully collateralized and generally contain requirements for the counterparty to maintain a minimum collateral level. These commitments may not represent future cash requirements as they may expire without being drawn upon. At September 30, 2013, these commitments were not material.</w:t>
      </w:r>
    </w:p>
    <w:p>
      <w:pPr>
        <w:spacing w:after="0" w:line="133"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See Notes 5 and 13 of Notes to Condensed Consolidated Financial Statements for information regarding commitments relating to investment capital funding commitments and obligations to fund our pension plans, respectively.</w:t>
      </w:r>
    </w:p>
    <w:p>
      <w:pPr>
        <w:spacing w:after="0" w:line="120"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Company has various other contractual commitments arising in the ordinary course of business. In addition, from time to time, LFB enters into underwriting commitments in which it participates as a joint underwriter. The settlement of such transactions are not expected to have a material adverse effect on the Company’s consolidated financial position or results of operations. At September 30, 2013, LFB had no such underwriting commitments.</w:t>
      </w:r>
    </w:p>
    <w:p>
      <w:pPr>
        <w:spacing w:after="0" w:line="132"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In the opinion of management, the fulfillment of the commitments described herein will not have a material adverse effect on the Company’s consolidated financial position or results of operations.</w:t>
      </w:r>
    </w:p>
    <w:p>
      <w:pPr>
        <w:spacing w:after="0" w:line="116"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Legal</w:t>
      </w:r>
      <w:r>
        <w:rPr>
          <w:rFonts w:ascii="Times New Roman" w:cs="Times New Roman" w:eastAsia="Times New Roman" w:hAnsi="Times New Roman"/>
          <w:sz w:val="18"/>
          <w:szCs w:val="18"/>
          <w:color w:val="auto"/>
        </w:rPr>
        <w:t>—The Company is involved from time to time in judicial, regulatory and arbitration proceedings and inquiries concerning matters arising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55" w:lineRule="exact"/>
        <w:rPr>
          <w:sz w:val="20"/>
          <w:szCs w:val="20"/>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MEMBERS’ EQUITY</w:t>
      </w:r>
    </w:p>
    <w:p>
      <w:pPr>
        <w:spacing w:after="0" w:line="90" w:lineRule="exact"/>
        <w:rPr>
          <w:sz w:val="20"/>
          <w:szCs w:val="20"/>
          <w:color w:val="auto"/>
        </w:rPr>
      </w:pPr>
    </w:p>
    <w:p>
      <w:pPr>
        <w:ind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Lazard Group Distributions—</w:t>
      </w:r>
      <w:r>
        <w:rPr>
          <w:rFonts w:ascii="Times New Roman" w:cs="Times New Roman" w:eastAsia="Times New Roman" w:hAnsi="Times New Roman"/>
          <w:sz w:val="18"/>
          <w:szCs w:val="18"/>
          <w:color w:val="auto"/>
        </w:rPr>
        <w:t>As previously described, Lazard Group’s common membership interests are held by subsidiaries of Lazard Ltd and by LAZ-MD Holdings. Pursuant to provisions of the Operating Agreement,</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5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200"/>
        <w:spacing w:after="0" w:line="310" w:lineRule="auto"/>
        <w:rPr>
          <w:sz w:val="20"/>
          <w:szCs w:val="20"/>
          <w:color w:val="auto"/>
        </w:rPr>
      </w:pPr>
      <w:r>
        <w:rPr>
          <w:rFonts w:ascii="Times New Roman" w:cs="Times New Roman" w:eastAsia="Times New Roman" w:hAnsi="Times New Roman"/>
          <w:sz w:val="16"/>
          <w:szCs w:val="16"/>
          <w:color w:val="auto"/>
        </w:rPr>
        <w:t>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w:t>
      </w:r>
    </w:p>
    <w:p>
      <w:pPr>
        <w:spacing w:after="0" w:line="97"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During the nine month periods ended September 30, 2013 and 2012, Lazard Group distributed the following amounts to LAZ-MD Holdings and the subsidiaries of Lazard Ltd (none of which related to tax distributions):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Nine Months Ended</w:t>
            </w:r>
          </w:p>
        </w:tc>
      </w:tr>
      <w:tr>
        <w:trPr>
          <w:trHeight w:val="165"/>
        </w:trPr>
        <w:tc>
          <w:tcPr>
            <w:tcW w:w="58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r>
      <w:tr>
        <w:trPr>
          <w:trHeight w:val="142"/>
        </w:trPr>
        <w:tc>
          <w:tcPr>
            <w:tcW w:w="5800" w:type="dxa"/>
            <w:vAlign w:val="bottom"/>
            <w:tcBorders>
              <w:bottom w:val="single" w:sz="8" w:color="CCEEFF"/>
            </w:tcBorders>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LAZ-MD Holdings</w:t>
            </w:r>
          </w:p>
        </w:tc>
        <w:tc>
          <w:tcPr>
            <w:tcW w:w="39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00" w:type="dxa"/>
            <w:vAlign w:val="bottom"/>
            <w:shd w:val="clear" w:color="auto" w:fill="CCEEFF"/>
          </w:tcPr>
          <w:p>
            <w:pPr>
              <w:spacing w:after="0"/>
              <w:rPr>
                <w:sz w:val="18"/>
                <w:szCs w:val="18"/>
                <w:color w:val="auto"/>
              </w:rPr>
            </w:pP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Subsidiaries of Lazard Ltd</w:t>
            </w:r>
          </w:p>
        </w:tc>
        <w:tc>
          <w:tcPr>
            <w:tcW w:w="39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60,931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66,219</w:t>
            </w:r>
          </w:p>
        </w:tc>
        <w:tc>
          <w:tcPr>
            <w:tcW w:w="100" w:type="dxa"/>
            <w:vAlign w:val="bottom"/>
          </w:tcPr>
          <w:p>
            <w:pPr>
              <w:spacing w:after="0"/>
              <w:rPr>
                <w:sz w:val="19"/>
                <w:szCs w:val="19"/>
                <w:color w:val="auto"/>
              </w:rPr>
            </w:pPr>
          </w:p>
        </w:tc>
      </w:tr>
      <w:tr>
        <w:trPr>
          <w:trHeight w:val="216"/>
        </w:trPr>
        <w:tc>
          <w:tcPr>
            <w:tcW w:w="580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61,496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69,948</w:t>
            </w:r>
          </w:p>
        </w:tc>
        <w:tc>
          <w:tcPr>
            <w:tcW w:w="100" w:type="dxa"/>
            <w:vAlign w:val="bottom"/>
            <w:shd w:val="clear" w:color="auto" w:fill="CCEEFF"/>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116" w:lineRule="exact"/>
        <w:rPr>
          <w:sz w:val="20"/>
          <w:szCs w:val="20"/>
          <w:color w:val="auto"/>
        </w:rPr>
      </w:pPr>
    </w:p>
    <w:p>
      <w:pPr>
        <w:jc w:val="both"/>
        <w:ind w:right="26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Exchanges of Lazard Group Common Membership Interests</w:t>
      </w:r>
      <w:r>
        <w:rPr>
          <w:rFonts w:ascii="Times New Roman" w:cs="Times New Roman" w:eastAsia="Times New Roman" w:hAnsi="Times New Roman"/>
          <w:sz w:val="18"/>
          <w:szCs w:val="18"/>
          <w:color w:val="auto"/>
        </w:rPr>
        <w:t>—During the nine month periods ended September 30, 2013 and 2012, Lazard Ltd issued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839,658 and 191,701 shares of Class A common stock, respectively, in connection with the exchanges of a like number of Lazard Group common membership interests (received from members of LAZ-MD Holdings in exchange for a like number of LAZ-MD Holdings exchangeable interests).</w:t>
      </w:r>
    </w:p>
    <w:p>
      <w:pPr>
        <w:spacing w:after="0" w:line="125"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Share Repurchase Program—</w:t>
      </w:r>
      <w:r>
        <w:rPr>
          <w:rFonts w:ascii="Times New Roman" w:cs="Times New Roman" w:eastAsia="Times New Roman" w:hAnsi="Times New Roman"/>
          <w:sz w:val="18"/>
          <w:szCs w:val="18"/>
          <w:color w:val="auto"/>
        </w:rPr>
        <w:t>In February 2011, October 2011, April 2012 and October 2012 the Board of Directors of Lazard Ltd authorized,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cumulative basis, the repurchase of up to $250,000, $125,000, $125,000 and $200,000, respectively, in aggregate cost of Class A common stock and Lazard Group common membership interests through December 31, 2012, December 31, 2013, December 31, 2013 and December 31, 2014, respectively. The Company’s prior share repurchase authorizations expired on December 31, 2009 and December 31, 2011. The Company expects that the share repurchase program, with respect to the Class A common stock, will continue to be used, among other ways, to offset a portion of the shares that have been or will be issued under the Lazard Ltd 2005 Equity Incentive Plan (the “2005 Plan”) and the Lazard Ltd 2008 Incentive Compensation Plan (the “2008 Plan”). Pursuant to such authorizations, purchases have been made in the open market or through privately negotiated transactions. During the nine month period ended September 30, 2013, the Company made purchases of 2,201,657 Class A common shares, at an aggregate cost of $77,934 (no Lazard Group common membership interests were purchased during such nine month period).</w:t>
      </w:r>
    </w:p>
    <w:p>
      <w:pPr>
        <w:spacing w:after="0" w:line="139" w:lineRule="exact"/>
        <w:rPr>
          <w:sz w:val="20"/>
          <w:szCs w:val="20"/>
          <w:color w:val="auto"/>
        </w:rPr>
      </w:pPr>
    </w:p>
    <w:p>
      <w:pPr>
        <w:ind w:right="100" w:firstLine="456"/>
        <w:spacing w:after="0" w:line="301" w:lineRule="auto"/>
        <w:rPr>
          <w:sz w:val="20"/>
          <w:szCs w:val="20"/>
          <w:color w:val="auto"/>
        </w:rPr>
      </w:pPr>
      <w:r>
        <w:rPr>
          <w:rFonts w:ascii="Times New Roman" w:cs="Times New Roman" w:eastAsia="Times New Roman" w:hAnsi="Times New Roman"/>
          <w:sz w:val="16"/>
          <w:szCs w:val="16"/>
          <w:color w:val="auto"/>
        </w:rPr>
        <w:t>As of September 30, 2013, $76,132 of the current share repurchase amount authorized as of such date remained available under the share repurchase program, all of which expires December 31, 2014. In addition, under the terms of the 2005 Plan and the 2008 Plan, upon the vesting of restricted stock units (“RSUs”), performance-based restricted stock units (“PRSUs”) and delivery of restricted Class A common stock, shares of Class A common stock may be withheld by the Company to cover its minimum statutory tax withholding requirements (see Note 12 of 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In October 2013, the Board of Directors of Lazard Ltd authorized the repurchase of up to an additional $100,000 in aggregate cost of Class A common stock and Lazard Group common membership interests through December 31, 2015.</w:t>
      </w:r>
    </w:p>
    <w:p>
      <w:pPr>
        <w:spacing w:after="0" w:line="116" w:lineRule="exact"/>
        <w:rPr>
          <w:sz w:val="20"/>
          <w:szCs w:val="20"/>
          <w:color w:val="auto"/>
        </w:rPr>
      </w:pPr>
    </w:p>
    <w:p>
      <w:pPr>
        <w:ind w:right="8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 Net of Tax (“AOCI”)</w:t>
      </w:r>
      <w:r>
        <w:rPr>
          <w:rFonts w:ascii="Times New Roman" w:cs="Times New Roman" w:eastAsia="Times New Roman" w:hAnsi="Times New Roman"/>
          <w:sz w:val="18"/>
          <w:szCs w:val="18"/>
          <w:color w:val="auto"/>
        </w:rPr>
        <w:t>—The table below reflects the components of AOCI at September 30, 2013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activity during the nine month period then ended: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Currency</w:t>
            </w:r>
          </w:p>
        </w:tc>
        <w:tc>
          <w:tcPr>
            <w:tcW w:w="180" w:type="dxa"/>
            <w:vAlign w:val="bottom"/>
          </w:tcPr>
          <w:p>
            <w:pPr>
              <w:spacing w:after="0"/>
              <w:rPr>
                <w:sz w:val="12"/>
                <w:szCs w:val="12"/>
                <w:color w:val="auto"/>
              </w:rPr>
            </w:pPr>
          </w:p>
        </w:tc>
        <w:tc>
          <w:tcPr>
            <w:tcW w:w="640" w:type="dxa"/>
            <w:vAlign w:val="bottom"/>
            <w:gridSpan w:val="3"/>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320" w:type="dxa"/>
            <w:vAlign w:val="bottom"/>
          </w:tcPr>
          <w:p>
            <w:pPr>
              <w:spacing w:after="0"/>
              <w:rPr>
                <w:sz w:val="12"/>
                <w:szCs w:val="12"/>
                <w:color w:val="auto"/>
              </w:rPr>
            </w:pPr>
          </w:p>
        </w:tc>
        <w:tc>
          <w:tcPr>
            <w:tcW w:w="1120" w:type="dxa"/>
            <w:vAlign w:val="bottom"/>
            <w:gridSpan w:val="3"/>
          </w:tcPr>
          <w:p>
            <w:pPr>
              <w:jc w:val="center"/>
              <w:ind w:right="312"/>
              <w:spacing w:after="0" w:line="149" w:lineRule="exact"/>
              <w:rPr>
                <w:sz w:val="20"/>
                <w:szCs w:val="20"/>
                <w:color w:val="auto"/>
              </w:rPr>
            </w:pPr>
            <w:r>
              <w:rPr>
                <w:rFonts w:ascii="Times New Roman" w:cs="Times New Roman" w:eastAsia="Times New Roman" w:hAnsi="Times New Roman"/>
                <w:sz w:val="14"/>
                <w:szCs w:val="14"/>
                <w:b w:val="1"/>
                <w:bCs w:val="1"/>
                <w:color w:val="auto"/>
                <w:w w:val="94"/>
              </w:rPr>
              <w:t>Employee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w w:val="96"/>
              </w:rPr>
              <w:t>Lazard</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98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80" w:type="dxa"/>
            <w:vAlign w:val="bottom"/>
          </w:tcPr>
          <w:p>
            <w:pPr>
              <w:spacing w:after="0"/>
              <w:rPr>
                <w:sz w:val="12"/>
                <w:szCs w:val="12"/>
                <w:color w:val="auto"/>
              </w:rPr>
            </w:pPr>
          </w:p>
        </w:tc>
        <w:tc>
          <w:tcPr>
            <w:tcW w:w="640" w:type="dxa"/>
            <w:vAlign w:val="bottom"/>
            <w:gridSpan w:val="3"/>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w w:val="92"/>
              </w:rPr>
              <w:t>Rate</w:t>
            </w:r>
          </w:p>
        </w:tc>
        <w:tc>
          <w:tcPr>
            <w:tcW w:w="320" w:type="dxa"/>
            <w:vAlign w:val="bottom"/>
          </w:tcPr>
          <w:p>
            <w:pPr>
              <w:spacing w:after="0"/>
              <w:rPr>
                <w:sz w:val="12"/>
                <w:szCs w:val="12"/>
                <w:color w:val="auto"/>
              </w:rPr>
            </w:pPr>
          </w:p>
        </w:tc>
        <w:tc>
          <w:tcPr>
            <w:tcW w:w="1120" w:type="dxa"/>
            <w:vAlign w:val="bottom"/>
            <w:gridSpan w:val="3"/>
          </w:tcPr>
          <w:p>
            <w:pPr>
              <w:jc w:val="center"/>
              <w:ind w:right="332"/>
              <w:spacing w:after="0" w:line="149" w:lineRule="exact"/>
              <w:rPr>
                <w:sz w:val="20"/>
                <w:szCs w:val="20"/>
                <w:color w:val="auto"/>
              </w:rPr>
            </w:pPr>
            <w:r>
              <w:rPr>
                <w:rFonts w:ascii="Times New Roman" w:cs="Times New Roman" w:eastAsia="Times New Roman" w:hAnsi="Times New Roman"/>
                <w:sz w:val="14"/>
                <w:szCs w:val="14"/>
                <w:b w:val="1"/>
                <w:bCs w:val="1"/>
                <w:color w:val="auto"/>
                <w:w w:val="98"/>
              </w:rPr>
              <w:t>Benefit</w:t>
            </w:r>
          </w:p>
        </w:tc>
        <w:tc>
          <w:tcPr>
            <w:tcW w:w="100" w:type="dxa"/>
            <w:vAlign w:val="bottom"/>
          </w:tcPr>
          <w:p>
            <w:pPr>
              <w:spacing w:after="0"/>
              <w:rPr>
                <w:sz w:val="12"/>
                <w:szCs w:val="12"/>
                <w:color w:val="auto"/>
              </w:rPr>
            </w:pPr>
          </w:p>
        </w:tc>
        <w:tc>
          <w:tcPr>
            <w:tcW w:w="860" w:type="dxa"/>
            <w:vAlign w:val="bottom"/>
            <w:gridSpan w:val="2"/>
          </w:tcPr>
          <w:p>
            <w:pPr>
              <w:jc w:val="right"/>
              <w:ind w:right="358"/>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c>
          <w:tcPr>
            <w:tcW w:w="9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w w:val="95"/>
              </w:rPr>
              <w:t>Group</w:t>
            </w: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4"/>
                <w:szCs w:val="14"/>
                <w:color w:val="auto"/>
              </w:rPr>
            </w:pPr>
          </w:p>
        </w:tc>
        <w:tc>
          <w:tcPr>
            <w:tcW w:w="640" w:type="dxa"/>
            <w:vAlign w:val="bottom"/>
            <w:gridSpan w:val="3"/>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Hedge</w:t>
            </w:r>
          </w:p>
        </w:tc>
        <w:tc>
          <w:tcPr>
            <w:tcW w:w="320" w:type="dxa"/>
            <w:vAlign w:val="bottom"/>
          </w:tcPr>
          <w:p>
            <w:pPr>
              <w:spacing w:after="0"/>
              <w:rPr>
                <w:sz w:val="14"/>
                <w:szCs w:val="14"/>
                <w:color w:val="auto"/>
              </w:rPr>
            </w:pPr>
          </w:p>
        </w:tc>
        <w:tc>
          <w:tcPr>
            <w:tcW w:w="1120" w:type="dxa"/>
            <w:vAlign w:val="bottom"/>
            <w:gridSpan w:val="3"/>
          </w:tcPr>
          <w:p>
            <w:pPr>
              <w:jc w:val="center"/>
              <w:ind w:right="312"/>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100" w:type="dxa"/>
            <w:vAlign w:val="bottom"/>
          </w:tcPr>
          <w:p>
            <w:pPr>
              <w:spacing w:after="0"/>
              <w:rPr>
                <w:sz w:val="14"/>
                <w:szCs w:val="14"/>
                <w:color w:val="auto"/>
              </w:rPr>
            </w:pPr>
          </w:p>
        </w:tc>
        <w:tc>
          <w:tcPr>
            <w:tcW w:w="860" w:type="dxa"/>
            <w:vAlign w:val="bottom"/>
            <w:gridSpan w:val="2"/>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AOCI</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2"/>
              </w:rPr>
              <w:t>Interests</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2"/>
              </w:rPr>
              <w:t>AOCI</w:t>
            </w: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2013</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38,657</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(2,502</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(128,536</w:t>
            </w:r>
          </w:p>
        </w:tc>
        <w:tc>
          <w:tcPr>
            <w:tcW w:w="400" w:type="dxa"/>
            <w:vAlign w:val="bottom"/>
            <w:tcBorders>
              <w:top w:val="single" w:sz="8" w:color="CCEEFF"/>
            </w:tcBorders>
            <w:gridSpan w:val="2"/>
            <w:shd w:val="clear" w:color="auto" w:fill="CCEEFF"/>
          </w:tcPr>
          <w:p>
            <w:pPr>
              <w:jc w:val="right"/>
              <w:ind w:right="252"/>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(92,381</w:t>
            </w:r>
          </w:p>
        </w:tc>
        <w:tc>
          <w:tcPr>
            <w:tcW w:w="220" w:type="dxa"/>
            <w:vAlign w:val="bottom"/>
            <w:tcBorders>
              <w:top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(92,393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2"/>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Activity January 1 to September 30, 2013: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comprehensive gain (loss) before reclassifications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(9,557)</w:t>
            </w:r>
          </w:p>
        </w:tc>
        <w:tc>
          <w:tcPr>
            <w:tcW w:w="1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4"/>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(12,226)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(12,146)</w:t>
            </w:r>
          </w:p>
        </w:tc>
      </w:tr>
      <w:tr>
        <w:trPr>
          <w:trHeight w:val="223"/>
        </w:trPr>
        <w:tc>
          <w:tcPr>
            <w:tcW w:w="20" w:type="dxa"/>
            <w:vAlign w:val="bottom"/>
          </w:tcPr>
          <w:p>
            <w:pPr>
              <w:spacing w:after="0"/>
              <w:rPr>
                <w:sz w:val="19"/>
                <w:szCs w:val="19"/>
                <w:color w:val="auto"/>
              </w:rPr>
            </w:pPr>
          </w:p>
        </w:tc>
        <w:tc>
          <w:tcPr>
            <w:tcW w:w="49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Adjustments for items reclassified to earnings, net of tax</w:t>
            </w:r>
          </w:p>
        </w:tc>
        <w:tc>
          <w:tcPr>
            <w:tcW w:w="100" w:type="dxa"/>
            <w:vAlign w:val="bottom"/>
          </w:tcPr>
          <w:p>
            <w:pPr>
              <w:spacing w:after="0"/>
              <w:rPr>
                <w:sz w:val="19"/>
                <w:szCs w:val="19"/>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4,444</w:t>
            </w:r>
          </w:p>
        </w:tc>
      </w:tr>
      <w:tr>
        <w:trPr>
          <w:trHeight w:val="202"/>
        </w:trPr>
        <w:tc>
          <w:tcPr>
            <w:tcW w:w="20" w:type="dxa"/>
            <w:vAlign w:val="bottom"/>
          </w:tcPr>
          <w:p>
            <w:pPr>
              <w:spacing w:after="0"/>
              <w:rPr>
                <w:sz w:val="17"/>
                <w:szCs w:val="17"/>
                <w:color w:val="auto"/>
              </w:rPr>
            </w:pPr>
          </w:p>
        </w:tc>
        <w:tc>
          <w:tcPr>
            <w:tcW w:w="4900" w:type="dxa"/>
            <w:vAlign w:val="bottom"/>
            <w:gridSpan w:val="2"/>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Net other comprehensive</w:t>
            </w: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9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income (loss)</w:t>
            </w: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(9,557)</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(7,782)</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w:t>
            </w:r>
          </w:p>
        </w:tc>
      </w:tr>
      <w:tr>
        <w:trPr>
          <w:trHeight w:val="223"/>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September 30, 2013</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29,100</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86"/>
              </w:rPr>
              <w:t>$</w:t>
            </w:r>
            <w:r>
              <w:rPr>
                <w:rFonts w:ascii="Times New Roman" w:cs="Times New Roman" w:eastAsia="Times New Roman" w:hAnsi="Times New Roman"/>
                <w:sz w:val="18"/>
                <w:szCs w:val="18"/>
                <w:color w:val="auto"/>
                <w:w w:val="86"/>
              </w:rPr>
              <w:t xml:space="preserve"> (1,711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(127,552</w:t>
            </w:r>
          </w:p>
        </w:tc>
        <w:tc>
          <w:tcPr>
            <w:tcW w:w="400" w:type="dxa"/>
            <w:vAlign w:val="bottom"/>
            <w:gridSpan w:val="2"/>
          </w:tcPr>
          <w:p>
            <w:pPr>
              <w:jc w:val="right"/>
              <w:ind w:right="252"/>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(100,163</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(100,095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1400" w:type="dxa"/>
            <w:vAlign w:val="bottom"/>
            <w:gridSpan w:val="27"/>
          </w:tcPr>
          <w:p>
            <w:pPr>
              <w:jc w:val="right"/>
              <w:ind w:right="98"/>
              <w:spacing w:after="0"/>
              <w:rPr>
                <w:sz w:val="20"/>
                <w:szCs w:val="20"/>
                <w:color w:val="auto"/>
              </w:rPr>
            </w:pPr>
            <w:r>
              <w:rPr>
                <w:rFonts w:ascii="Times New Roman" w:cs="Times New Roman" w:eastAsia="Times New Roman" w:hAnsi="Times New Roman"/>
                <w:sz w:val="18"/>
                <w:szCs w:val="18"/>
                <w:color w:val="auto"/>
              </w:rPr>
              <w:t>The table below reflects adjustments for items reclassified out of AOCI, by component, for the three month and nine month periods ended September 30,</w:t>
            </w:r>
          </w:p>
        </w:tc>
      </w:tr>
      <w:tr>
        <w:trPr>
          <w:trHeight w:val="22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2013:</w:t>
            </w:r>
          </w:p>
        </w:tc>
        <w:tc>
          <w:tcPr>
            <w:tcW w:w="3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3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gridSpan w:val="6"/>
          </w:tcPr>
          <w:p>
            <w:pPr>
              <w:jc w:val="center"/>
              <w:ind w:right="292"/>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jc w:val="center"/>
              <w:ind w:right="472"/>
              <w:spacing w:after="0" w:line="149"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37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interest rate hedge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791</w:t>
            </w: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r>
      <w:tr>
        <w:trPr>
          <w:trHeight w:val="222"/>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relating to employee benefit plans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4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w:t>
            </w:r>
          </w:p>
        </w:tc>
      </w:tr>
      <w:tr>
        <w:trPr>
          <w:trHeight w:val="217"/>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 related income taxes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of tax</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reclassifications, net of tax</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4"/>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4,444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3" w:lineRule="exact"/>
        <w:rPr>
          <w:sz w:val="20"/>
          <w:szCs w:val="20"/>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“interest expense” on the condensed consolidated statements of operations.</w:t>
      </w:r>
    </w:p>
    <w:p>
      <w:pPr>
        <w:spacing w:after="0" w:line="21" w:lineRule="exact"/>
        <w:rPr>
          <w:rFonts w:ascii="Times New Roman" w:cs="Times New Roman" w:eastAsia="Times New Roman" w:hAnsi="Times New Roman"/>
          <w:sz w:val="18"/>
          <w:szCs w:val="18"/>
          <w:color w:val="auto"/>
        </w:rPr>
      </w:pPr>
    </w:p>
    <w:p>
      <w:pPr>
        <w:ind w:left="460" w:right="120" w:hanging="452"/>
        <w:spacing w:after="0" w:line="261"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the computation of net periodic benefit cost (see Note 13 of Notes to Condensed Consolidated Financial Statements). Such amount is included in “compensation and benefits” expense on the condensed consolidated statement of operations.</w:t>
      </w:r>
    </w:p>
    <w:p>
      <w:pPr>
        <w:spacing w:after="0" w:line="128" w:lineRule="exact"/>
        <w:rPr>
          <w:sz w:val="20"/>
          <w:szCs w:val="20"/>
          <w:color w:val="auto"/>
        </w:rPr>
      </w:pPr>
    </w:p>
    <w:p>
      <w:pPr>
        <w:ind w:right="12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Noncontrolling Interests—</w:t>
      </w:r>
      <w:r>
        <w:rPr>
          <w:rFonts w:ascii="Times New Roman" w:cs="Times New Roman" w:eastAsia="Times New Roman" w:hAnsi="Times New Roman"/>
          <w:sz w:val="18"/>
          <w:szCs w:val="18"/>
          <w:color w:val="auto"/>
        </w:rPr>
        <w:t>Noncontrolling interests principally represent interests held in Edgewater’s management vehicles that the Company is deemed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control, but does not own.</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The tables below summarize net income attributable to noncontrolling interests for the three month and nine month periods ended September 30, 2013 and 2012 and noncontrolling interests as of September 30, 2013 and December 31, 2012 in the Company’s condensed consolidated financial statements: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20" w:type="dxa"/>
            <w:vAlign w:val="bottom"/>
            <w:gridSpan w:val="9"/>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Net Income (Loss) Attributable To</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8"/>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Noncontrolling Interests</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40" w:type="dxa"/>
            <w:vAlign w:val="bottom"/>
            <w:gridSpan w:val="4"/>
          </w:tcPr>
          <w:p>
            <w:pPr>
              <w:jc w:val="center"/>
              <w:ind w:left="80"/>
              <w:spacing w:after="0" w:line="125" w:lineRule="exact"/>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20" w:type="dxa"/>
            <w:vAlign w:val="bottom"/>
            <w:gridSpan w:val="6"/>
          </w:tcPr>
          <w:p>
            <w:pPr>
              <w:jc w:val="right"/>
              <w:ind w:right="315"/>
              <w:spacing w:after="0" w:line="125"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460" w:type="dxa"/>
            <w:vAlign w:val="bottom"/>
            <w:gridSpan w:val="4"/>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Edgewater</w:t>
            </w:r>
          </w:p>
        </w:tc>
        <w:tc>
          <w:tcPr>
            <w:tcW w:w="30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8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 (1,704)</w:t>
            </w: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8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99"/>
              </w:rPr>
              <w:t>$ (1,565)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3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Noncontrolling Interests As Of</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4"/>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Edgewater</w:t>
            </w:r>
          </w:p>
        </w:tc>
        <w:tc>
          <w:tcPr>
            <w:tcW w:w="30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75,262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71,087</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75,908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460" w:hanging="452"/>
        <w:spacing w:after="0"/>
        <w:tabs>
          <w:tab w:leader="none" w:pos="460"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INCENTIVE PLANS</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Share-Based Incentive Plan Awards</w:t>
      </w:r>
    </w:p>
    <w:p>
      <w:pPr>
        <w:spacing w:after="0" w:line="94"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A description of Lazard Ltd’s 2005 Plan and 2008 Plan and activity with respect thereto during the nine month periods ended September 30, 2013 and 2012, is presented below.</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Under the 2005 Plan and 2008 Plan</w:t>
      </w:r>
    </w:p>
    <w:p>
      <w:pPr>
        <w:spacing w:after="0" w:line="94"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2005 Plan authorizes the issuance of up to 25,000,000 shares of Class A common stock pursuant to the grant or exercise of stock options, stock appreciation rights, RSUs and other equity-based awards. Each stock unit or similar award granted under the 2005 Plan represents a contingent right to receive one share of Class A common stock, at no cost to the recipient. The fair value of such awards is generally determined based on the closing market price of Class A common stock at the date of grant.</w:t>
      </w:r>
    </w:p>
    <w:p>
      <w:pPr>
        <w:spacing w:after="0" w:line="13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addition to the shares available under the 2005 Plan, additional shares of Class A common stock are available under the 2008 Plan.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following reflects the amortization expense recorded with respect to share-based incentive plans within “compensation and benefits” expense (with respect to RSUs, PRSUs and restricted stock awards) and “professional services” expense (with respect to deferred stock units (“DSUs”)) within the Company’s accompanying condensed consolidated statements of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202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188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5"/>
        </w:trPr>
        <w:tc>
          <w:tcPr>
            <w:tcW w:w="7520" w:type="dxa"/>
            <w:vAlign w:val="bottom"/>
          </w:tcPr>
          <w:p>
            <w:pPr>
              <w:spacing w:after="0"/>
              <w:rPr>
                <w:sz w:val="14"/>
                <w:szCs w:val="14"/>
                <w:color w:val="auto"/>
              </w:rPr>
            </w:pPr>
          </w:p>
        </w:tc>
        <w:tc>
          <w:tcPr>
            <w:tcW w:w="202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88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7520" w:type="dxa"/>
            <w:vAlign w:val="bottom"/>
          </w:tcPr>
          <w:p>
            <w:pPr>
              <w:spacing w:after="0"/>
              <w:rPr>
                <w:sz w:val="12"/>
                <w:szCs w:val="12"/>
                <w:color w:val="auto"/>
              </w:rPr>
            </w:pPr>
          </w:p>
        </w:tc>
        <w:tc>
          <w:tcPr>
            <w:tcW w:w="580" w:type="dxa"/>
            <w:vAlign w:val="bottom"/>
            <w:tcBorders>
              <w:top w:val="single" w:sz="8" w:color="auto"/>
            </w:tcBorders>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20" w:type="dxa"/>
            <w:vAlign w:val="bottom"/>
            <w:tcBorders>
              <w:top w:val="single" w:sz="8" w:color="auto"/>
            </w:tcBorders>
            <w:gridSpan w:val="2"/>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20" w:type="dxa"/>
            <w:vAlign w:val="bottom"/>
          </w:tcPr>
          <w:p>
            <w:pPr>
              <w:spacing w:after="0"/>
              <w:rPr>
                <w:sz w:val="12"/>
                <w:szCs w:val="12"/>
                <w:color w:val="auto"/>
              </w:rPr>
            </w:pPr>
          </w:p>
        </w:tc>
        <w:tc>
          <w:tcPr>
            <w:tcW w:w="680" w:type="dxa"/>
            <w:vAlign w:val="bottom"/>
            <w:tcBorders>
              <w:top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r>
      <w:tr>
        <w:trPr>
          <w:trHeight w:val="196"/>
        </w:trPr>
        <w:tc>
          <w:tcPr>
            <w:tcW w:w="75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Share-based incentive awards:</w:t>
            </w: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RSUs (a)</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$46,095</w:t>
            </w:r>
          </w:p>
        </w:tc>
        <w:tc>
          <w:tcPr>
            <w:tcW w:w="14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$65,952</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7"/>
              </w:rPr>
              <w:t>$163,184</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$ 211,271</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PRSUs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8,900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Restricted stock (b)</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4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1,659</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9,712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7,538</w:t>
            </w:r>
          </w:p>
        </w:tc>
        <w:tc>
          <w:tcPr>
            <w:tcW w:w="100" w:type="dxa"/>
            <w:vAlign w:val="bottom"/>
          </w:tcPr>
          <w:p>
            <w:pPr>
              <w:spacing w:after="0"/>
              <w:rPr>
                <w:sz w:val="18"/>
                <w:szCs w:val="18"/>
                <w:color w:val="auto"/>
              </w:rPr>
            </w:pPr>
          </w:p>
        </w:tc>
      </w:tr>
      <w:tr>
        <w:trPr>
          <w:trHeight w:val="230"/>
        </w:trPr>
        <w:tc>
          <w:tcPr>
            <w:tcW w:w="7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DSUs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39</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772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shd w:val="clear" w:color="auto" w:fill="CCEEFF"/>
          </w:tcPr>
          <w:p>
            <w:pPr>
              <w:spacing w:after="0"/>
              <w:rPr>
                <w:sz w:val="19"/>
                <w:szCs w:val="19"/>
                <w:color w:val="auto"/>
              </w:rPr>
            </w:pPr>
          </w:p>
        </w:tc>
      </w:tr>
      <w:tr>
        <w:trPr>
          <w:trHeight w:val="223"/>
        </w:trPr>
        <w:tc>
          <w:tcPr>
            <w:tcW w:w="7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55,224</w:t>
            </w: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67,650</w:t>
            </w:r>
          </w:p>
        </w:tc>
        <w:tc>
          <w:tcPr>
            <w:tcW w:w="4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182,568</w:t>
            </w:r>
          </w:p>
        </w:tc>
        <w:tc>
          <w:tcPr>
            <w:tcW w:w="4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219,492</w:t>
            </w:r>
          </w:p>
        </w:tc>
        <w:tc>
          <w:tcPr>
            <w:tcW w:w="10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right="280" w:hanging="452"/>
        <w:spacing w:after="0" w:line="257"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$0 and $9,099 during the three month and nine month periods ended September 30, 2013 relating to the Cost Saving Initiatives (see Note 14 of Notes to Condensed Consolidated Financial Statements).</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$0 and $247 during the three month and nine month periods ended September 30, 2013 relating to the Cost Saving Initiatives.</w:t>
      </w:r>
    </w:p>
    <w:p>
      <w:pPr>
        <w:spacing w:after="0" w:line="159" w:lineRule="exact"/>
        <w:rPr>
          <w:sz w:val="20"/>
          <w:szCs w:val="20"/>
          <w:color w:val="auto"/>
        </w:rPr>
      </w:pPr>
    </w:p>
    <w:p>
      <w:pPr>
        <w:ind w:right="520" w:firstLine="456"/>
        <w:spacing w:after="0" w:line="258" w:lineRule="auto"/>
        <w:rPr>
          <w:sz w:val="20"/>
          <w:szCs w:val="20"/>
          <w:color w:val="auto"/>
        </w:rPr>
      </w:pPr>
      <w:r>
        <w:rPr>
          <w:rFonts w:ascii="Times New Roman" w:cs="Times New Roman" w:eastAsia="Times New Roman" w:hAnsi="Times New Roman"/>
          <w:sz w:val="18"/>
          <w:szCs w:val="18"/>
          <w:color w:val="auto"/>
        </w:rPr>
        <w:t>The ultimate amount of compensation and benefits expense relating to share-based awards is dependent upon the actual number of shares of Class A common stock that vest. The Company periodically assesses the forfeiture rates used for such estimates. A change in estimated forfeiture rates results in a cumulative adjustment to previously recorded compensation and benefits expense and also would cause the aggregate amount of compensation expense recognized in future periods to differ from the estimated unrecognized compensation expense described below.</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incentive plans are described below.</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RSUs and DSUs</w:t>
      </w:r>
    </w:p>
    <w:p>
      <w:pPr>
        <w:spacing w:after="0" w:line="9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RSUs generally require future service as a condition for the delivery of the underlying shares of Class A common stock (unless the recipient is then eligible for retirement under the Company’s retirement policy) and convert into Class A common stock on a one-for-one basis after the stipulated vesting periods. PRSUs, which are a form of RSUs that are also subject to service-based vesting conditions, have additional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periods.</w:t>
      </w:r>
    </w:p>
    <w:p>
      <w:pPr>
        <w:spacing w:after="0" w:line="139"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RSUs generally include a dividend participation right that provides that during vesting periods each RSU is attributed additional RSUs (or fractions thereof) equivalent to any ordinary quarterly dividends paid on Class A common stock during such period. During the nine month periods ended September 30, 2013 and 2012, dividend participation rights required the issuance of 250,834 and 479,958 RSUs, respectively.</w:t>
      </w:r>
    </w:p>
    <w:p>
      <w:pPr>
        <w:spacing w:after="0" w:line="132"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Non-executive members of the Board of Directors of Lazard Group (who are the same non-executive directors of Lazard Ltd) receive approximately 55% of their annual compensation for service on the Board of Directors and its committees in the form of DSUs, which resulted in 39,315 and 49,982 DSUs granted during the nine month periods ended September 30, 2013 and 2012, respectively. Their remaining compensation is payable in cash, which</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they may elect to receive in the form of additional DSUs under the Directors’ Fee Deferral Unit Plan described below. DSUs are convertible into Class A common stock at the time of cessation of service to the Board. DSUs include a cash dividend participation right equivalent to any ordinary quarterly dividends paid on Class A common stock, and resulted in nominal cash payments for the nine month periods ended September 30, 2013 and 2012.</w:t>
      </w:r>
    </w:p>
    <w:p>
      <w:pPr>
        <w:spacing w:after="0" w:line="13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Company’s Directors’ Fee Deferral Unit Plan permits its Non-Executive Directors to elect to receive additional DSUs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on which the foregone cash fees would otherwise have been paid. During the nine month periods ended September 30, 2013 and 2012, 5,880 and 7,988 DSUs, respectively, had been granted pursuant to such Plan.</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DSU awards are expensed at their fair value on their date of grant, inclusive of amounts related to the Directors’ Fee Deferral Unit Plan.</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activity relating to RSUs and DSUs during the nine month periods ended September 30, 2013 and 2012:</w:t>
      </w:r>
    </w:p>
    <w:p>
      <w:pPr>
        <w:spacing w:after="0" w:line="88" w:lineRule="exact"/>
        <w:rPr>
          <w:sz w:val="20"/>
          <w:szCs w:val="20"/>
          <w:color w:val="auto"/>
        </w:rPr>
      </w:pPr>
    </w:p>
    <w:tbl>
      <w:tblPr>
        <w:tblLayout w:type="fixed"/>
        <w:tblInd w:w="5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DSUs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4"/>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640" w:type="dxa"/>
            <w:vAlign w:val="bottom"/>
          </w:tcPr>
          <w:p>
            <w:pPr>
              <w:spacing w:after="0"/>
              <w:rPr>
                <w:sz w:val="12"/>
                <w:szCs w:val="12"/>
                <w:color w:val="auto"/>
              </w:rPr>
            </w:pPr>
          </w:p>
        </w:tc>
        <w:tc>
          <w:tcPr>
            <w:tcW w:w="1240" w:type="dxa"/>
            <w:vAlign w:val="bottom"/>
            <w:gridSpan w:val="4"/>
          </w:tcPr>
          <w:p>
            <w:pPr>
              <w:jc w:val="center"/>
              <w:ind w:left="278"/>
              <w:spacing w:after="0" w:line="149" w:lineRule="exact"/>
              <w:rPr>
                <w:sz w:val="20"/>
                <w:szCs w:val="20"/>
                <w:color w:val="auto"/>
              </w:rPr>
            </w:pPr>
            <w:r>
              <w:rPr>
                <w:rFonts w:ascii="Times New Roman" w:cs="Times New Roman" w:eastAsia="Times New Roman" w:hAnsi="Times New Roman"/>
                <w:sz w:val="14"/>
                <w:szCs w:val="14"/>
                <w:b w:val="1"/>
                <w:bCs w:val="1"/>
                <w:color w:val="auto"/>
                <w:w w:val="93"/>
              </w:rPr>
              <w:t>Grant Date</w:t>
            </w:r>
          </w:p>
        </w:tc>
      </w:tr>
      <w:tr>
        <w:trPr>
          <w:trHeight w:val="165"/>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4"/>
                <w:szCs w:val="14"/>
                <w:color w:val="auto"/>
              </w:rPr>
            </w:pPr>
          </w:p>
        </w:tc>
        <w:tc>
          <w:tcPr>
            <w:tcW w:w="116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3"/>
              </w:rPr>
              <w:t>Fair Value</w:t>
            </w:r>
          </w:p>
        </w:tc>
        <w:tc>
          <w:tcPr>
            <w:tcW w:w="64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8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Fair Value</w:t>
            </w: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2013</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21,481,131</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5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204,496</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Granted (including 250,834 RSUs relating to dividend participation)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4,862,379</w:t>
            </w:r>
          </w:p>
        </w:tc>
        <w:tc>
          <w:tcPr>
            <w:tcW w:w="40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45,195</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(239,117)</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(9,363,792)</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5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2013</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16,740,601</w:t>
            </w:r>
          </w:p>
        </w:tc>
        <w:tc>
          <w:tcPr>
            <w:tcW w:w="4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5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249,691</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00" w:type="dxa"/>
            <w:vAlign w:val="bottom"/>
            <w:shd w:val="clear" w:color="auto" w:fill="CCEEFF"/>
          </w:tcPr>
          <w:p>
            <w:pPr>
              <w:spacing w:after="0"/>
              <w:rPr>
                <w:sz w:val="18"/>
                <w:szCs w:val="18"/>
                <w:color w:val="auto"/>
              </w:rPr>
            </w:pPr>
          </w:p>
        </w:tc>
      </w:tr>
      <w:tr>
        <w:trPr>
          <w:trHeight w:val="20"/>
        </w:trPr>
        <w:tc>
          <w:tcPr>
            <w:tcW w:w="5900" w:type="dxa"/>
            <w:vAlign w:val="bottom"/>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January 1, 2012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20,751,829</w:t>
            </w:r>
          </w:p>
        </w:tc>
        <w:tc>
          <w:tcPr>
            <w:tcW w:w="400" w:type="dxa"/>
            <w:vAlign w:val="bottom"/>
          </w:tcPr>
          <w:p>
            <w:pPr>
              <w:spacing w:after="0"/>
              <w:rPr>
                <w:sz w:val="24"/>
                <w:szCs w:val="24"/>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5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140,660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(including 479,958 RSUs relating to dividend participation)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8,121,632</w:t>
            </w:r>
          </w:p>
        </w:tc>
        <w:tc>
          <w:tcPr>
            <w:tcW w:w="4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(401,065)</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(4,425,534)</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September 30, 2012</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24,046,862</w:t>
            </w:r>
          </w:p>
        </w:tc>
        <w:tc>
          <w:tcPr>
            <w:tcW w:w="40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5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198,630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In connection with RSUs which vested during the nine month periods ended September 30, 2013 and 2012, the Company satisfied its minimum statutory tax withholding requirements in lieu of issuing 3,471,813 and 1,331,812 shares of Class A common stock in the respective nine month periods. Accordingly, 5,891,979 and 3,093,722 shares of Class A common stock held by the Company were delivered during the nine month periods ended September 30, 2013 and 2012, respectively. In addition, during the nine month period ended September 30, 2012, 42,432 shares of previously delivered Class A common stock were forfeited by certain former employees and returned to the Company.</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During the fourth quarter of 2012, 958,213 RSUs were modified through forward purchase agreements into liability awards. Such liability awards were settled on March 1, 2013 for $28,612. During the nine month period ended September 30, 2013, compensation expense of $1,690 was recorded for such liability awards.</w:t>
      </w:r>
    </w:p>
    <w:p>
      <w:pPr>
        <w:spacing w:after="0" w:line="132" w:lineRule="exact"/>
        <w:rPr>
          <w:sz w:val="20"/>
          <w:szCs w:val="20"/>
          <w:color w:val="auto"/>
        </w:rPr>
      </w:pPr>
    </w:p>
    <w:p>
      <w:pPr>
        <w:jc w:val="center"/>
        <w:ind w:right="300"/>
        <w:spacing w:after="0" w:line="339" w:lineRule="auto"/>
        <w:rPr>
          <w:sz w:val="20"/>
          <w:szCs w:val="20"/>
          <w:color w:val="auto"/>
        </w:rPr>
      </w:pPr>
      <w:r>
        <w:rPr>
          <w:rFonts w:ascii="Times New Roman" w:cs="Times New Roman" w:eastAsia="Times New Roman" w:hAnsi="Times New Roman"/>
          <w:sz w:val="16"/>
          <w:szCs w:val="16"/>
          <w:color w:val="auto"/>
        </w:rPr>
        <w:t>As of September 30, 2013, unrecognized RSU compensation expense, adjusted for estimated forfeitures, was approximately $196,000, with such unrecognized compensation expense expected to be recognized over a weighted average period of approximately 1.2 years subsequent to September 30, 2013.</w:t>
      </w:r>
    </w:p>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94"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The following is a summary of activity related to shares of restricted Class A common stock associated with compensation arrangements during the nine month periods ended September 30, 2013 and 2012:</w:t>
      </w:r>
    </w:p>
    <w:p>
      <w:pPr>
        <w:spacing w:after="0" w:line="14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Weighted</w:t>
            </w:r>
          </w:p>
        </w:tc>
      </w:tr>
      <w:tr>
        <w:trPr>
          <w:trHeight w:val="149"/>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r>
      <w:tr>
        <w:trPr>
          <w:trHeight w:val="149"/>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1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40" w:type="dxa"/>
            <w:vAlign w:val="bottom"/>
            <w:gridSpan w:val="4"/>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r>
      <w:tr>
        <w:trPr>
          <w:trHeight w:val="165"/>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3"/>
              </w:rPr>
              <w:t>Fair Value</w:t>
            </w:r>
          </w:p>
        </w:tc>
      </w:tr>
      <w:tr>
        <w:trPr>
          <w:trHeight w:val="210"/>
        </w:trPr>
        <w:tc>
          <w:tcPr>
            <w:tcW w:w="20" w:type="dxa"/>
            <w:vAlign w:val="bottom"/>
          </w:tcPr>
          <w:p>
            <w:pPr>
              <w:spacing w:after="0"/>
              <w:rPr>
                <w:sz w:val="18"/>
                <w:szCs w:val="18"/>
                <w:color w:val="auto"/>
              </w:rPr>
            </w:pPr>
          </w:p>
        </w:tc>
        <w:tc>
          <w:tcPr>
            <w:tcW w:w="6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2013</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1,972,609</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368,736</w:t>
            </w:r>
          </w:p>
        </w:tc>
        <w:tc>
          <w:tcPr>
            <w:tcW w:w="34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(35,794)</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(1,728,509)</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2013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577,042</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80" w:type="dxa"/>
            <w:vAlign w:val="bottom"/>
            <w:shd w:val="clear" w:color="auto" w:fill="CCEEFF"/>
          </w:tcPr>
          <w:p>
            <w:pPr>
              <w:spacing w:after="0"/>
              <w:rPr>
                <w:sz w:val="18"/>
                <w:szCs w:val="18"/>
                <w:color w:val="auto"/>
              </w:rPr>
            </w:pPr>
          </w:p>
        </w:tc>
      </w:tr>
      <w:tr>
        <w:trPr>
          <w:trHeight w:val="20"/>
        </w:trPr>
        <w:tc>
          <w:tcPr>
            <w:tcW w:w="6940" w:type="dxa"/>
            <w:vAlign w:val="bottom"/>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January 1, 2012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95,332</w:t>
            </w:r>
          </w:p>
        </w:tc>
        <w:tc>
          <w:tcPr>
            <w:tcW w:w="340" w:type="dxa"/>
            <w:vAlign w:val="bottom"/>
          </w:tcPr>
          <w:p>
            <w:pPr>
              <w:spacing w:after="0"/>
              <w:rPr>
                <w:sz w:val="24"/>
                <w:szCs w:val="24"/>
                <w:color w:val="auto"/>
              </w:rPr>
            </w:pP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8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Granted/Exchanged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577,323</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(21,178)</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(186,180)</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80" w:type="dxa"/>
            <w:vAlign w:val="bottom"/>
            <w:shd w:val="clear" w:color="auto" w:fill="CCEEFF"/>
          </w:tcPr>
          <w:p>
            <w:pPr>
              <w:spacing w:after="0"/>
              <w:rPr>
                <w:sz w:val="18"/>
                <w:szCs w:val="18"/>
                <w:color w:val="auto"/>
              </w:rPr>
            </w:pPr>
          </w:p>
        </w:tc>
      </w:tr>
      <w:tr>
        <w:trPr>
          <w:trHeight w:val="223"/>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September 30, 2012</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465,297</w:t>
            </w:r>
          </w:p>
        </w:tc>
        <w:tc>
          <w:tcPr>
            <w:tcW w:w="34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shares of restricted Class A common stock that vested during the nine month periods ended September 30, 2013 and 2012, the Company satisfied its minimum statutory tax withholding requirements in lieu of delivering 18,631 and 28,129 shares of Class A common stock during the respective periods. Accordingly, 1,709,878 and 158,051 shares of Class A common stock held by the Company were delivered during the nine month periods ended September 30, 2013 and 2012, respectively.</w:t>
      </w:r>
    </w:p>
    <w:p>
      <w:pPr>
        <w:spacing w:after="0" w:line="136" w:lineRule="exact"/>
        <w:rPr>
          <w:sz w:val="20"/>
          <w:szCs w:val="20"/>
          <w:color w:val="auto"/>
        </w:rPr>
      </w:pPr>
    </w:p>
    <w:p>
      <w:pPr>
        <w:ind w:right="320" w:firstLine="456"/>
        <w:spacing w:after="0" w:line="262" w:lineRule="auto"/>
        <w:rPr>
          <w:sz w:val="20"/>
          <w:szCs w:val="20"/>
          <w:color w:val="auto"/>
        </w:rPr>
      </w:pPr>
      <w:r>
        <w:rPr>
          <w:rFonts w:ascii="Times New Roman" w:cs="Times New Roman" w:eastAsia="Times New Roman" w:hAnsi="Times New Roman"/>
          <w:sz w:val="18"/>
          <w:szCs w:val="18"/>
          <w:color w:val="auto"/>
        </w:rPr>
        <w:t>The awards include a cash dividend participation right equivalent to any ordinary quarterly dividends paid on Class A common stock during the period, which will vest concurrently with the underlying restricted stock award. At September 30, 2013, unrecognized restricted stock expense was approximately $9,000, with such expense to be recognized over a weighted average period of approximately 1.5 years subsequent to September 30, 2013.</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PRSUs</w:t>
      </w:r>
    </w:p>
    <w:p>
      <w:pPr>
        <w:spacing w:after="0" w:line="94"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During the nine month period ended September 30, 2013, the Company granted 448,128 PRSUs. The PRSUs are subject to both performance-based and service-based vesting conditions. The number of shares of Class A common stock that a recipient will receive upon vesting of a PRSU will be calculated by reference to certain performance metrics that relate to the Company’s performance over the three-year period beginning on January 1, 2012 and ending on December 31, 2014. The target number of shares of Class A common stock subject to each</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PRSU is one; however, based on the achievement of the performance criteria, the number of shares of Class A common stock that may be received in connection with each PRSU can range from zero to three times the target number. The PRSUs granted in 2013 will vest 33% in March 2015 and 67% in March 2016, provided the applicable service and performance conditions are satisfied. In addition, the performance metrics applicable to each PRSU will be evaluated on an annual basis at the end of each fiscal year during the performance period and, if the Company has achieved a threshold level of performance with respect to the fiscal year, 25% of the target number of shares of Class A common stock subject to each PRSU will no longer be at risk of forfeiture based on the achievement of performance criteria. PRSUs generally include dividend participation rights.</w:t>
      </w:r>
    </w:p>
    <w:p>
      <w:pPr>
        <w:spacing w:after="0" w:line="13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of $36.11 per share. As of September 30, 2013, the total estimated unrecognized compensation expense for PRSUs granted in 2013 was approximately $23,000, and the Company expects to amortize such expense over a weighted-average period of approximately 1.7 years.</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Lazard Fund Interests and Other Similar Deferred Compensation Arrangements</w:t>
      </w:r>
    </w:p>
    <w:p>
      <w:pPr>
        <w:spacing w:after="0" w:line="94"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Commencing in February 2011, the Company granted Lazard Fund Interests to eligible employees. In connection with the Lazard Fund Interests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consolidated statement of operations. Lazard Fund Interests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13"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The following is a summary of activity relating to Lazard Fund Interests and other similar deferred compensation arrangements during the nine month periods ended September 30, 2013 and 2012:</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Prepaid</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6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8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65"/>
        </w:trPr>
        <w:tc>
          <w:tcPr>
            <w:tcW w:w="45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6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2013</w:t>
            </w:r>
          </w:p>
        </w:tc>
        <w:tc>
          <w:tcPr>
            <w:tcW w:w="3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47,445</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Granted</w:t>
            </w: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72,217</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72,217</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Settled</w:t>
            </w:r>
          </w:p>
        </w:tc>
        <w:tc>
          <w:tcPr>
            <w:tcW w:w="3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(22,903)</w:t>
            </w:r>
          </w:p>
        </w:tc>
        <w:tc>
          <w:tcPr>
            <w:tcW w:w="0" w:type="dxa"/>
            <w:vAlign w:val="bottom"/>
          </w:tcPr>
          <w:p>
            <w:pPr>
              <w:spacing w:after="0"/>
              <w:rPr>
                <w:sz w:val="1"/>
                <w:szCs w:val="1"/>
                <w:color w:val="auto"/>
              </w:rPr>
            </w:pPr>
          </w:p>
        </w:tc>
      </w:tr>
      <w:tr>
        <w:trPr>
          <w:trHeight w:val="229"/>
        </w:trPr>
        <w:tc>
          <w:tcPr>
            <w:tcW w:w="4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Forfeited</w:t>
            </w:r>
          </w:p>
        </w:tc>
        <w:tc>
          <w:tcPr>
            <w:tcW w:w="3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(765)</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17"/>
        </w:trPr>
        <w:tc>
          <w:tcPr>
            <w:tcW w:w="4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w:t>
            </w:r>
          </w:p>
        </w:tc>
        <w:tc>
          <w:tcPr>
            <w:tcW w:w="3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(44,195)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 in fair value related to:</w:t>
            </w: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Increase in fair value of underlying investments</w:t>
            </w:r>
          </w:p>
        </w:tc>
        <w:tc>
          <w:tcPr>
            <w:tcW w:w="3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7,767</w:t>
            </w:r>
          </w:p>
        </w:tc>
        <w:tc>
          <w:tcPr>
            <w:tcW w:w="0" w:type="dxa"/>
            <w:vAlign w:val="bottom"/>
          </w:tcPr>
          <w:p>
            <w:pPr>
              <w:spacing w:after="0"/>
              <w:rPr>
                <w:sz w:val="1"/>
                <w:szCs w:val="1"/>
                <w:color w:val="auto"/>
              </w:rPr>
            </w:pPr>
          </w:p>
        </w:tc>
      </w:tr>
      <w:tr>
        <w:trPr>
          <w:trHeight w:val="216"/>
        </w:trPr>
        <w:tc>
          <w:tcPr>
            <w:tcW w:w="4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Adjustment for estimated forfeitures</w:t>
            </w: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3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22"/>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30, 2013</w:t>
            </w:r>
          </w:p>
        </w:tc>
        <w:tc>
          <w:tcPr>
            <w:tcW w:w="3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74,485</w:t>
            </w:r>
          </w:p>
        </w:tc>
        <w:tc>
          <w:tcPr>
            <w:tcW w:w="7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220" w:type="dxa"/>
            <w:vAlign w:val="bottom"/>
            <w:vMerge w:val="restart"/>
          </w:tcPr>
          <w:p>
            <w:pPr>
              <w:jc w:val="right"/>
              <w:ind w:right="2372"/>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8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3"/>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Prepaid</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7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8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r>
      <w:tr>
        <w:trPr>
          <w:trHeight w:val="165"/>
        </w:trPr>
        <w:tc>
          <w:tcPr>
            <w:tcW w:w="7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6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Liability</w:t>
            </w:r>
          </w:p>
        </w:tc>
      </w:tr>
      <w:tr>
        <w:trPr>
          <w:trHeight w:val="210"/>
        </w:trPr>
        <w:tc>
          <w:tcPr>
            <w:tcW w:w="7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17,782</w:t>
            </w: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Granted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64,658</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64,658</w:t>
            </w:r>
          </w:p>
        </w:tc>
      </w:tr>
      <w:tr>
        <w:trPr>
          <w:trHeight w:val="230"/>
        </w:trPr>
        <w:tc>
          <w:tcPr>
            <w:tcW w:w="7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Settled</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(8,640)</w:t>
            </w:r>
          </w:p>
        </w:tc>
      </w:tr>
      <w:tr>
        <w:trPr>
          <w:trHeight w:val="216"/>
        </w:trPr>
        <w:tc>
          <w:tcPr>
            <w:tcW w:w="7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Forfeited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(1,607)</w:t>
            </w: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(1,706)</w:t>
            </w:r>
          </w:p>
        </w:tc>
      </w:tr>
      <w:tr>
        <w:trPr>
          <w:trHeight w:val="216"/>
        </w:trPr>
        <w:tc>
          <w:tcPr>
            <w:tcW w:w="7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(24,508)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 in fair value related 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Increase in fair value of underlying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4,639</w:t>
            </w:r>
          </w:p>
        </w:tc>
      </w:tr>
      <w:tr>
        <w:trPr>
          <w:trHeight w:val="216"/>
        </w:trPr>
        <w:tc>
          <w:tcPr>
            <w:tcW w:w="7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Adjustment for estimated forfeitures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2,202</w:t>
            </w:r>
          </w:p>
        </w:tc>
      </w:tr>
      <w:tr>
        <w:trPr>
          <w:trHeight w:val="230"/>
        </w:trPr>
        <w:tc>
          <w:tcPr>
            <w:tcW w:w="7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30, 2012</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56,426</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91,053</w:t>
            </w:r>
          </w:p>
        </w:tc>
        <w:tc>
          <w:tcPr>
            <w:tcW w:w="10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 amortization of the prepaid compensation asset will generally be recognized over a weighted average period of approximately 1.7 years subsequent to September 30, 2013.</w:t>
      </w:r>
    </w:p>
    <w:p>
      <w:pPr>
        <w:spacing w:after="0" w:line="12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following is a summary of the impact of Lazard Fund Interests and other similar deferred compensation arrangements on “compensation and benefits” expense within the accompanying condensed consolidated statements of operations for the three month and nine month periods ended September 30, 2013 and 2012: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2200" w:type="dxa"/>
            <w:vAlign w:val="bottom"/>
            <w:gridSpan w:val="5"/>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17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Nine Months Ended</w:t>
            </w:r>
          </w:p>
        </w:tc>
      </w:tr>
      <w:tr>
        <w:trPr>
          <w:trHeight w:val="165"/>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200" w:type="dxa"/>
            <w:vAlign w:val="bottom"/>
            <w:gridSpan w:val="5"/>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7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r>
      <w:tr>
        <w:trPr>
          <w:trHeight w:val="142"/>
        </w:trPr>
        <w:tc>
          <w:tcPr>
            <w:tcW w:w="460" w:type="dxa"/>
            <w:vAlign w:val="bottom"/>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58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460" w:type="dxa"/>
            <w:vAlign w:val="bottom"/>
          </w:tcPr>
          <w:p>
            <w:pPr>
              <w:spacing w:after="0"/>
              <w:rPr>
                <w:sz w:val="17"/>
                <w:szCs w:val="17"/>
                <w:color w:val="auto"/>
              </w:rPr>
            </w:pPr>
          </w:p>
        </w:tc>
        <w:tc>
          <w:tcPr>
            <w:tcW w:w="65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Compensation expense:</w:t>
            </w: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6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Amortization, net of forfeitures (a)</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$15,049</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9,626</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5"/>
              </w:rPr>
              <w:t>$47,150</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$26,611</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Change in fair value of underlying investments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4,728</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7,767</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100" w:type="dxa"/>
            <w:vAlign w:val="bottom"/>
            <w:shd w:val="clear" w:color="auto" w:fill="CCEEFF"/>
          </w:tcPr>
          <w:p>
            <w:pPr>
              <w:spacing w:after="0"/>
              <w:rPr>
                <w:sz w:val="18"/>
                <w:szCs w:val="18"/>
                <w:color w:val="auto"/>
              </w:rPr>
            </w:pPr>
          </w:p>
        </w:tc>
      </w:tr>
      <w:tr>
        <w:trPr>
          <w:trHeight w:val="223"/>
        </w:trPr>
        <w:tc>
          <w:tcPr>
            <w:tcW w:w="70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22,568</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14,354</w:t>
            </w:r>
          </w:p>
        </w:tc>
        <w:tc>
          <w:tcPr>
            <w:tcW w:w="5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54,917</w:t>
            </w:r>
          </w:p>
        </w:tc>
        <w:tc>
          <w:tcPr>
            <w:tcW w:w="5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31,250</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3" w:lineRule="exact"/>
        <w:rPr>
          <w:sz w:val="20"/>
          <w:szCs w:val="20"/>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$0 and $2,665 during the three month and nine month periods ended September 30, 2013 relating to the Cost Saving Initiatives.</w:t>
      </w:r>
    </w:p>
    <w:p>
      <w:pPr>
        <w:spacing w:after="0" w:line="289" w:lineRule="exact"/>
        <w:rPr>
          <w:sz w:val="20"/>
          <w:szCs w:val="20"/>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EMPLOYEE BENEFIT PLANS</w:t>
      </w:r>
    </w:p>
    <w:p>
      <w:pPr>
        <w:spacing w:after="0" w:line="94"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The Company provides retirement and other post-retirement benefits to certain of its employees through defined benefit pension plans (the “pension plans”) and, in the U.S., a partially funded contributory post-retirement plan covering qualifying U.S. employees (the “medical plan” and together with the pension plans, the “post-retirement plans”). The Company also offers defined contribution plans. The post-retirement plans generally provide benefits to participants based on average levels of compensation. Expenses related to the Company’s employee benefit plans are included in “compensation and benefits” expense on the consolidated statements of operations.</w:t>
      </w:r>
    </w:p>
    <w:p>
      <w:pPr>
        <w:spacing w:after="0" w:line="135" w:lineRule="exact"/>
        <w:rPr>
          <w:sz w:val="20"/>
          <w:szCs w:val="20"/>
          <w:color w:val="auto"/>
        </w:rPr>
      </w:pPr>
    </w:p>
    <w:p>
      <w:pPr>
        <w:ind w:right="8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Employer Contributions to Pension Plans</w:t>
      </w:r>
      <w:r>
        <w:rPr>
          <w:rFonts w:ascii="Times New Roman" w:cs="Times New Roman" w:eastAsia="Times New Roman" w:hAnsi="Times New Roman"/>
          <w:sz w:val="18"/>
          <w:szCs w:val="18"/>
          <w:color w:val="auto"/>
        </w:rPr>
        <w:t>—The Company’s funding policy for its U.S. and non-U.S. pension plans is to fund when required or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upon an agreement with the plans’ Trustees. Management also evaluates from time to time whether to make voluntary contributions to the plans. The Company did not make a contribution to the U.S. pension plans during the nine month period ended September 30, 2013.</w:t>
      </w:r>
    </w:p>
    <w:p>
      <w:pPr>
        <w:spacing w:after="0" w:line="129"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On April 30, 2012, the Company and the Trustees of the U.K. pension plans concluded the December 31, 2010 triennial valuations of the plans. In connection with such valuations and a previously negotiated agreement with the Trustees, the Company and the Trustees agreed upon pension funding terms (the “agreement”) (which</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40"/>
          </w:cols>
          <w:pgMar w:left="240" w:top="455" w:right="31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superseded the terms of an agreement reached in June 2009 with respect to the previous triennial valuation as of December 31, 2007) whereby the Company: (i) made a contribution in December 2011 to the plans of 2.3 million British pounds ($3,687 at December 31, 2011 exchange rates) from a previously established escrow account, (ii) agreed to make contributions of 1 million British pounds during each year from 2012 through 2020 inclusive, and (iii) amended the previous escrow arrangement into an account security arrangement covering 10.2 million British pounds, committing to make annual contributions of 1 million British pounds into such account security arrangement during each year from 2014 through 2020, inclusive. It was further agreed that, to the extent that the value of the plans’ assets falls short of the funding target for June 1, 2020 that has been agreed upon with the Trustees, the assets from the account security arrangement would be released into the plans at that date. Additionally, the Company agreed to fund the expenses of administering the plans, including certain regulator levies and the cost of other professional advisors to the plans. The terms of the agreement are subject to adjustment based on the results of subsequent triennial valuations. The aggregate amount in the account security arrangement was approximately $16,500 at both September 30, 2013 and December 31, 2012 and has been recorded in “cash deposited with clearing organizations and other segregated cash” on the accompanying condensed consolidated statements of financial condition. Income on the account security arrangement accretes to the Company and is recorded in interest income.</w:t>
      </w:r>
    </w:p>
    <w:p>
      <w:pPr>
        <w:spacing w:after="0" w:line="331"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During the nine month period ended September 30, 2013, the Company contributed 1 million British pounds ($1,545 at September 30, 2013 exchange rates) to these U.K. pension plans, and no contributions were required to be made to other non-U.S. pension plans.</w:t>
      </w:r>
    </w:p>
    <w:p>
      <w:pPr>
        <w:spacing w:after="0" w:line="120"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components of net periodic benefit cost related to the Company’s post-retirement plans for the three month and nine month periods ended September 30, 2013 and 2012: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3"/>
              </w:rPr>
              <w:t>Medical Plan</w:t>
            </w: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520" w:type="dxa"/>
            <w:vAlign w:val="bottom"/>
            <w:tcBorders>
              <w:top w:val="single" w:sz="8" w:color="auto"/>
              <w:bottom w:val="single" w:sz="8" w:color="auto"/>
            </w:tcBorders>
            <w:gridSpan w:val="7"/>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00" w:type="dxa"/>
            <w:vAlign w:val="bottom"/>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20" w:type="dxa"/>
            <w:vAlign w:val="bottom"/>
          </w:tcPr>
          <w:p>
            <w:pPr>
              <w:spacing w:after="0"/>
              <w:rPr>
                <w:sz w:val="12"/>
                <w:szCs w:val="12"/>
                <w:color w:val="auto"/>
              </w:rPr>
            </w:pPr>
          </w:p>
        </w:tc>
        <w:tc>
          <w:tcPr>
            <w:tcW w:w="6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Components of Net Benefit Cost (Credit):</w:t>
            </w:r>
          </w:p>
        </w:tc>
        <w:tc>
          <w:tcPr>
            <w:tcW w:w="3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cost</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4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$ 12</w:t>
            </w:r>
          </w:p>
        </w:tc>
        <w:tc>
          <w:tcPr>
            <w:tcW w:w="4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6,862</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(6,701)</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5"/>
              </w:rPr>
              <w:t>(6,637)</w:t>
            </w:r>
          </w:p>
        </w:tc>
        <w:tc>
          <w:tcPr>
            <w:tcW w:w="340" w:type="dxa"/>
            <w:vAlign w:val="bottom"/>
          </w:tcPr>
          <w:p>
            <w:pPr>
              <w:spacing w:after="0"/>
              <w:rPr>
                <w:sz w:val="18"/>
                <w:szCs w:val="18"/>
                <w:color w:val="auto"/>
              </w:rPr>
            </w:pPr>
          </w:p>
        </w:tc>
        <w:tc>
          <w:tcPr>
            <w:tcW w:w="72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Prior service cost</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actuarial loss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4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benefit cost</w:t>
            </w:r>
          </w:p>
        </w:tc>
        <w:tc>
          <w:tcPr>
            <w:tcW w:w="30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 xml:space="preserve"> 58</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020" w:type="dxa"/>
            <w:vAlign w:val="bottom"/>
            <w:vMerge w:val="restart"/>
          </w:tcPr>
          <w:p>
            <w:pPr>
              <w:jc w:val="right"/>
              <w:ind w:right="151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8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Medical Plan</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gridSpan w:val="8"/>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40" w:type="dxa"/>
            <w:vAlign w:val="bottom"/>
          </w:tcPr>
          <w:p>
            <w:pPr>
              <w:spacing w:after="0"/>
              <w:rPr>
                <w:sz w:val="12"/>
                <w:szCs w:val="12"/>
                <w:color w:val="auto"/>
              </w:rPr>
            </w:pPr>
          </w:p>
        </w:tc>
        <w:tc>
          <w:tcPr>
            <w:tcW w:w="6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2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r>
      <w:tr>
        <w:trPr>
          <w:trHeight w:val="196"/>
        </w:trPr>
        <w:tc>
          <w:tcPr>
            <w:tcW w:w="74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Components of Net Benefit Cost (Credit):</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cost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20,193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20,649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6"/>
              </w:rPr>
              <w:t>137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158</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(20,090)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7"/>
              </w:rPr>
              <w:t>(19,931)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Prior service cost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2,114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2,056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actuarial loss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2,745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1,243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Settlement loss (a)</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886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benefit cost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5,407</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6"/>
              </w:rPr>
              <w:t>176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203</w:t>
            </w:r>
          </w:p>
        </w:tc>
        <w:tc>
          <w:tcPr>
            <w:tcW w:w="100" w:type="dxa"/>
            <w:vAlign w:val="bottom"/>
            <w:shd w:val="clear" w:color="auto" w:fill="CCEEFF"/>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line="258"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 period ended September 30, 2012, the Company’s pension plans in the U.S. made lump sum benefit payments in excess of the plans’ annual service and interest costs, which, under U.S. GAAP, requires that the plans’ obligations and assets be remeasured. The remeasurement of the plans resulted in the recognition of actuarial losses totaling $1,935 recorded in “other comprehensive income (loss), net of tax” (“OCI”), which, combined with a settlement loss of $886 recognized in “compensation and benefits” expense, resulted in a net charge to OCI of $1,049.</w:t>
      </w:r>
    </w:p>
    <w:p>
      <w:pPr>
        <w:spacing w:after="0" w:line="254" w:lineRule="exact"/>
        <w:rPr>
          <w:sz w:val="20"/>
          <w:szCs w:val="20"/>
          <w:color w:val="auto"/>
        </w:rPr>
      </w:pPr>
    </w:p>
    <w:p>
      <w:pPr>
        <w:ind w:left="460" w:hanging="452"/>
        <w:spacing w:after="0"/>
        <w:tabs>
          <w:tab w:leader="none" w:pos="46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COST SAVING INITIATIVES</w:t>
      </w:r>
    </w:p>
    <w:p>
      <w:pPr>
        <w:spacing w:after="0" w:line="9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 October 2012, the Company announced cost saving initiatives (the “Cost Saving Initiatives”) relating to the Company’s operations. These initiatives include streamlining our corporate structure and consolidating support functions; realigning our investments into areas with potential for the greatest long-term return; the settlement of certain contractual obligations; occupancy cost reduction; and creating greater flexibility to retain and attract the best people and invest in new growth areas.</w:t>
      </w:r>
    </w:p>
    <w:p>
      <w:pPr>
        <w:spacing w:after="0" w:line="136"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Expenses associated with the implementation of the Cost Saving Initiatives were completed during the second quarter of 2013. The Company incurred these expenses, by segment, as reflected in the tables below:</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Advisory</w:t>
            </w:r>
          </w:p>
        </w:tc>
        <w:tc>
          <w:tcPr>
            <w:tcW w:w="280" w:type="dxa"/>
            <w:vAlign w:val="bottom"/>
          </w:tcPr>
          <w:p>
            <w:pPr>
              <w:spacing w:after="0"/>
              <w:rPr>
                <w:sz w:val="14"/>
                <w:szCs w:val="14"/>
                <w:color w:val="auto"/>
              </w:rPr>
            </w:pP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3"/>
              </w:rPr>
              <w:t>Corporate</w:t>
            </w:r>
          </w:p>
        </w:tc>
        <w:tc>
          <w:tcPr>
            <w:tcW w:w="80" w:type="dxa"/>
            <w:vAlign w:val="bottom"/>
          </w:tcPr>
          <w:p>
            <w:pPr>
              <w:spacing w:after="0"/>
              <w:rPr>
                <w:sz w:val="14"/>
                <w:szCs w:val="14"/>
                <w:color w:val="auto"/>
              </w:rPr>
            </w:pP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Nine Month Period Ended September 30, 2013:</w:t>
            </w:r>
          </w:p>
        </w:tc>
        <w:tc>
          <w:tcPr>
            <w:tcW w:w="1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$45,746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color w:val="auto"/>
              </w:rPr>
              <w:t>$  5,417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1500" w:type="dxa"/>
            <w:vAlign w:val="bottom"/>
            <w:gridSpan w:val="5"/>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11,272</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47,779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1"/>
              </w:rPr>
              <w:t>$ 16,689</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64,703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Advisory</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280" w:type="dxa"/>
            <w:vAlign w:val="bottom"/>
          </w:tcPr>
          <w:p>
            <w:pPr>
              <w:spacing w:after="0"/>
              <w:rPr>
                <w:sz w:val="14"/>
                <w:szCs w:val="14"/>
                <w:color w:val="auto"/>
              </w:rPr>
            </w:pPr>
          </w:p>
        </w:tc>
        <w:tc>
          <w:tcPr>
            <w:tcW w:w="122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6"/>
              </w:rPr>
              <w:t>Corporate</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Cumulative October 2012 Through September 30, 2013:</w:t>
            </w:r>
          </w:p>
        </w:tc>
        <w:tc>
          <w:tcPr>
            <w:tcW w:w="1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16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color w:val="auto"/>
              </w:rPr>
              <w:t>$121,879</w:t>
            </w:r>
          </w:p>
        </w:tc>
        <w:tc>
          <w:tcPr>
            <w:tcW w:w="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12,292</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$ 17,215</w:t>
            </w:r>
          </w:p>
        </w:tc>
        <w:tc>
          <w:tcPr>
            <w:tcW w:w="5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$151,386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160" w:type="dxa"/>
            <w:vAlign w:val="bottom"/>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3,432</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732</w:t>
            </w:r>
          </w:p>
        </w:tc>
        <w:tc>
          <w:tcPr>
            <w:tcW w:w="9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11,729</w:t>
            </w:r>
          </w:p>
        </w:tc>
        <w:tc>
          <w:tcPr>
            <w:tcW w:w="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2"/>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1"/>
              </w:rPr>
              <w:t>$ 125,311</w:t>
            </w:r>
          </w:p>
        </w:tc>
        <w:tc>
          <w:tcPr>
            <w:tcW w:w="26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13,024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$ 28,944</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167,279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00" w:type="dxa"/>
            <w:vAlign w:val="bottom"/>
            <w:vMerge w:val="restart"/>
          </w:tcPr>
          <w:p>
            <w:pPr>
              <w:jc w:val="right"/>
              <w:ind w:right="452"/>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8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Activity related to the obligations pursuant to the Cost Saving Initiatives during the nine month period ended September 30, 2013 was as follows: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Accrued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552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right"/>
              <w:ind w:right="10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5520" w:type="dxa"/>
            <w:vAlign w:val="bottom"/>
          </w:tcPr>
          <w:p>
            <w:pPr>
              <w:spacing w:after="0"/>
              <w:rPr>
                <w:sz w:val="14"/>
                <w:szCs w:val="14"/>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and Benefits</w:t>
            </w:r>
          </w:p>
        </w:tc>
        <w:tc>
          <w:tcPr>
            <w:tcW w:w="44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2013</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46,128</w:t>
            </w:r>
          </w:p>
        </w:tc>
        <w:tc>
          <w:tcPr>
            <w:tcW w:w="5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9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$ 47,842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New charges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51,399</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w w:val="92"/>
              </w:rPr>
              <w:t>13,304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64,703</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Non-cash charges</w:t>
            </w:r>
          </w:p>
        </w:tc>
        <w:tc>
          <w:tcPr>
            <w:tcW w:w="12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(12,007)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w w:val="98"/>
              </w:rPr>
              <w:t>(3,387)</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(15,394)</w:t>
            </w:r>
          </w:p>
        </w:tc>
      </w:tr>
      <w:tr>
        <w:trPr>
          <w:trHeight w:val="216"/>
        </w:trPr>
        <w:tc>
          <w:tcPr>
            <w:tcW w:w="5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Settlements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(68,813)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w w:val="98"/>
              </w:rPr>
              <w:t>(2,299)</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(71,112)</w:t>
            </w: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30, 2013</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16,707</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9,332</w:t>
            </w:r>
          </w:p>
        </w:tc>
        <w:tc>
          <w:tcPr>
            <w:tcW w:w="9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$ 26,039</w:t>
            </w:r>
          </w:p>
        </w:tc>
        <w:tc>
          <w:tcPr>
            <w:tcW w:w="10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9" w:lineRule="exact"/>
        <w:rPr>
          <w:sz w:val="20"/>
          <w:szCs w:val="20"/>
          <w:color w:val="auto"/>
        </w:rPr>
      </w:pPr>
    </w:p>
    <w:p>
      <w:pPr>
        <w:ind w:left="460" w:hanging="452"/>
        <w:spacing w:after="0"/>
        <w:tabs>
          <w:tab w:leader="none" w:pos="460" w:val="left"/>
        </w:tabs>
        <w:numPr>
          <w:ilvl w:val="0"/>
          <w:numId w:val="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the partners. In addition, Lazard Group is subject to New York City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3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Company recorded income tax provisions of $12,252 and $22,053 for the three month and nine month periods ended September 30, 2013, respectively, and $10,769 and $26,138 for the three month and nine month periods ended September 30, 2012, respectively, representing effective tax rates of 15.1%, 15.3%, 22.7% and 20.8%, respectively. The difference between the U.S. federal statutory rate of 35.0% and the effective tax rates reflected above principally relates to (i) Lazard Group primarily operating as a limited liability company in the U.S., (ii) taxes payable to foreign jurisdictions and (iii) U.S. state and local taxes (primarily UBT), which are incremental to the U.S. federal statutory tax rate.</w:t>
      </w:r>
    </w:p>
    <w:p>
      <w:pPr>
        <w:spacing w:after="0" w:line="139"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Substantially all of Lazard’s foreign operations are conducted in “pass-through” entities for U.S. income tax purposes and the Company provides for U.S. income taxes on a current basis for substantially all of those earnings. The repatriation of prior earnings attributable to “non-pass-through” entities would not result in the recognition of a material amount of additional U.S. income taxes.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1" w:lineRule="exact"/>
        <w:rPr>
          <w:sz w:val="20"/>
          <w:szCs w:val="20"/>
          <w:color w:val="auto"/>
        </w:rPr>
      </w:pPr>
    </w:p>
    <w:p>
      <w:pPr>
        <w:ind w:left="460" w:hanging="452"/>
        <w:spacing w:after="0"/>
        <w:tabs>
          <w:tab w:leader="none" w:pos="460"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RELATED PARTIES</w:t>
      </w:r>
    </w:p>
    <w:p>
      <w:pPr>
        <w:spacing w:after="0" w:line="94" w:lineRule="exact"/>
        <w:rPr>
          <w:rFonts w:ascii="Times New Roman" w:cs="Times New Roman" w:eastAsia="Times New Roman" w:hAnsi="Times New Roman"/>
          <w:sz w:val="18"/>
          <w:szCs w:val="18"/>
          <w:b w:val="1"/>
          <w:bCs w:val="1"/>
          <w:i w:val="1"/>
          <w:iCs w:val="1"/>
          <w:color w:val="auto"/>
        </w:rPr>
      </w:pP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Amounts receivable from, and payable to, related parties are set forth below:</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86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Receivables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LFCM Holdings</w:t>
            </w:r>
          </w:p>
        </w:tc>
        <w:tc>
          <w:tcPr>
            <w:tcW w:w="2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13,015</w:t>
            </w:r>
          </w:p>
        </w:tc>
        <w:tc>
          <w:tcPr>
            <w:tcW w:w="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Lazard Ltd subsidiaries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110,614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124,890</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Payables</w:t>
            </w: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LFCM Holdings</w:t>
            </w:r>
          </w:p>
        </w:tc>
        <w:tc>
          <w:tcPr>
            <w:tcW w:w="2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Lazard Ltd subsidiaries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201,616</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206,311</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LFCM Holdings</w:t>
      </w:r>
    </w:p>
    <w:p>
      <w:pPr>
        <w:spacing w:after="0" w:line="92"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LFCM Holdings owns and operates the capital markets business and fund management activities, as well as other specified non-operating assets and liabilities, that were transferred to it by Lazard Group (referred to as the “separated businesses”) in May 2005 and is owned by various former and current working members, including certain of Lazard’s former and current managing directors (which also include the Company’s executive officers) who were or are also members of LAZ-MD Holdings. In addition to the master separation agreement, dated as of May 10, 2005, by and among Lazard Ltd, Lazard Group, LAZ-MD Holdings and LFCM Holdings (the “master separation agreement”), which effected the separation and recapitalization that occurred in May 2005, LFCM Holdings entered into certain agreements that addressed various business matters associated with the separation, including agreements related to administrative and support services (the “administrative services agreement”), employee benefits, insurance matters and licensing. In addition, LFCM Holdings and Lazard Group entered into a business alliance agreement (the “business alliance agreement”). Certain of these agreements are described in more detail in the Company’s Form 10-K.</w:t>
      </w:r>
    </w:p>
    <w:p>
      <w:pPr>
        <w:spacing w:after="0" w:line="143"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For the three month and nine month periods ended September 30, 2013, amounts recorded by Lazard Group relating to the administrative services agreement amounted to $534 and $1,466, respectively, and net referral fees for underwriting, private placement, M&amp;A and restructuring transactions under the business alliance agreement amounted to $1,633 and $1,163, respectively. For the three month and nine month periods ended September 30, 2012, amounts recorded by Lazard Group relating to the administrative services agreement amounted to $666 and $2,181, respectively, and net referral fees for underwriting, private placement, M&amp;A and restructuring transactions under the business alliance agreement amounted to $182 and $4,548,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38"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Receivables from LFCM Holdings and its subsidiaries as of September 30, 2013 and December 31, 2012 include $5,038 and $14,299, respectively, related to administrative and support services and other receivables,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which include sublease income and reimbursement of expenses incurred on behalf of LFCM Holdings, and $7,977 and $6,230, respectively, related to referral fees for underwriting and private placement transactions. Payables to LFCM Holdings and its subsidiaries at September 30, 2013 and December 31, 2012 include $4,335 and $2,943, respectively, primarily relating to referral fees for Financial Advisory transactions.</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Lazard Ltd Subsidiaries</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Lazard Group’s receivables from subsidiaries of Lazard Ltd at September 30, 2013 and December 31, 2012 included interest-bearing loans of $106,569 and $101,833, respectively, including accrued interest thereon. Interest income relating to interest-bearing loans with subsidiaries of Lazard Ltd amounted to $1,616 and $4,737 for the three month and nine month periods ended September 30, 2013, respectively, and $2,960 and $8,420 for the three month and nine month periods ended September 30, 2012, respectively.</w:t>
      </w:r>
    </w:p>
    <w:p>
      <w:pPr>
        <w:spacing w:after="0" w:line="136"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As of both September 30, 2013 and December 31, 2012, Lazard Group’s payables to subsidiaries of Lazard Ltd included $3,410 in connection with Lazard Group’s prior year business acquisitions. In addition, as of September 30, 2013 and December 31, 2012, Lazard Group’s payables to subsidiaries of Lazard Ltd included interest-bearing loans, plus accrued interest thereon, of approximately $197,200 and $202,000, respectively. Such amounts at September 30, 2013 and December 31, 2012 included approximately $79,000 and $86,000, respectively, resulting from the sale in the first quarter of 2012 of an interest-bearing intercompany receivable due from a Lazard Group subsidiary to a Lazard Ltd subsidiary, which was sold at a discount to reflect arm’s-length terms, resulting in a loss to Lazard Group of $5,638. Interest expense relating to interest-bearing loans with subsidiaries of Lazard Ltd amounted to $1,862 and $5,849 for the three month and nine month periods ended September 30, 2013, respectively, and $2,381 and $7,497 for the three month and nine month periods ended September 30, 2012, respectively.</w:t>
      </w:r>
    </w:p>
    <w:p>
      <w:pPr>
        <w:spacing w:after="0" w:line="2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92" w:lineRule="exact"/>
        <w:rPr>
          <w:sz w:val="20"/>
          <w:szCs w:val="20"/>
          <w:color w:val="auto"/>
        </w:rPr>
      </w:pPr>
    </w:p>
    <w:p>
      <w:pPr>
        <w:ind w:right="120" w:firstLine="456"/>
        <w:spacing w:after="0" w:line="339" w:lineRule="auto"/>
        <w:rPr>
          <w:sz w:val="20"/>
          <w:szCs w:val="20"/>
          <w:color w:val="auto"/>
        </w:rPr>
      </w:pPr>
      <w:r>
        <w:rPr>
          <w:rFonts w:ascii="Times New Roman" w:cs="Times New Roman" w:eastAsia="Times New Roman" w:hAnsi="Times New Roman"/>
          <w:sz w:val="16"/>
          <w:szCs w:val="16"/>
          <w:color w:val="auto"/>
        </w:rPr>
        <w:t>Other receivables and payables at September 30, 2013 and December 31, 2012 primarily relate to referral fees for M&amp;A transactions with MBA Lazard Holdings S.A. and its affiliates, an Argentina-based group in which the Company has a 50% ownership interest, and, at December 31, 2012, a related party loan.</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LAZ-MD Holdings</w:t>
      </w:r>
    </w:p>
    <w:p>
      <w:pPr>
        <w:spacing w:after="0" w:line="9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Lazard Group provides certain administrative and support services to LAZ-MD Holdings through an administrative services agreement, with such services generally to be provided until December 31, 2014 unless terminated earlier because of a change in control of either party. Lazard Group charges LAZ-MD Holdings for these services based on Lazard Group’s cost allocation methodology and, for the three month and nine month periods ended September 30, 2013, such charges amounted to $250 and $750, respectively. For the three month and nine month periods ended September 30, 2012, such charges amounted to $188 and $563, respectively.</w:t>
      </w:r>
    </w:p>
    <w:p>
      <w:pPr>
        <w:spacing w:after="0" w:line="256" w:lineRule="exact"/>
        <w:rPr>
          <w:sz w:val="20"/>
          <w:szCs w:val="20"/>
          <w:color w:val="auto"/>
        </w:rPr>
      </w:pPr>
    </w:p>
    <w:p>
      <w:pPr>
        <w:ind w:left="460" w:hanging="452"/>
        <w:spacing w:after="0"/>
        <w:tabs>
          <w:tab w:leader="none" w:pos="460"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REGULATORY AUTHORITIES</w:t>
      </w:r>
    </w:p>
    <w:p>
      <w:pPr>
        <w:spacing w:after="0" w:line="9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3</w:t>
      </w:r>
      <w:r>
        <w:rPr>
          <w:rFonts w:ascii="Times New Roman" w:cs="Times New Roman" w:eastAsia="Times New Roman" w:hAnsi="Times New Roman"/>
          <w:sz w:val="18"/>
          <w:szCs w:val="18"/>
          <w:color w:val="auto"/>
        </w:rPr>
        <w:t>%) of total aggregate indebtedness recorded in LFNY’s Financial and Operational Combined Uniform Single (“FOCUS”) report filed with the Financial Industry Regulatory Authority (“FINRA”), or $100, whichever is greater. At September 30, 2013, LFNY’s regulatory net capital was $84,678, which exceeded the minimum requirement by $81,181.</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580" w:firstLine="456"/>
        <w:spacing w:after="0" w:line="262" w:lineRule="auto"/>
        <w:rPr>
          <w:sz w:val="20"/>
          <w:szCs w:val="20"/>
          <w:color w:val="auto"/>
        </w:rPr>
      </w:pPr>
      <w:r>
        <w:rPr>
          <w:rFonts w:ascii="Times New Roman" w:cs="Times New Roman" w:eastAsia="Times New Roman" w:hAnsi="Times New Roman"/>
          <w:sz w:val="18"/>
          <w:szCs w:val="18"/>
          <w:color w:val="auto"/>
        </w:rPr>
        <w:t>Certain U.K. subsidiaries of the Company, including LCL, Lazard Fund Managers Limited and Lazard Asset Management Limited (the “U.K. Subsidiaries”) are regulated by the Financial Conduct Authority. At September 30, 2013, the aggregate regulatory net capital of the U.K. Subsidiaries was $66,007, which exceeded the minimum requirement by $51,404.</w:t>
      </w:r>
    </w:p>
    <w:p>
      <w:pPr>
        <w:spacing w:after="0" w:line="13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CFLF, under which asset management and commercial banking activities are carried out in France, is subject to regulation by the ACPR for its banking activities conducted through its subsidiary, LFB. In addition, the investment services activities of the Paris group, exercised through LFB and other subsidiaries of CFLF, primarily LFG (asset management), are subject to regulation and supervision by the Autorité des Marchés Financiers. At September 30, 2013, the consolidated regulatory net capital of CFLF was $192,042, which exceeded the minimum requirement set for regulatory capital levels by $158,224.</w:t>
      </w:r>
    </w:p>
    <w:p>
      <w:pPr>
        <w:spacing w:after="0" w:line="136"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Certain other U.S. and non-U.S. subsidiaries are subject to various capital adequacy requirements promulgated by various regulatory and exchange authorities in the countries in which they operate. At September 30, 2013, for those subsidiaries with regulatory capital requirements, their aggregate net capital was $113,317, which exceeded the minimum required capital by $75,584.</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September 30, 2013, each of these subsidiaries individually was in compliance with its regulatory capital requirements.</w:t>
      </w:r>
    </w:p>
    <w:p>
      <w:pPr>
        <w:spacing w:after="0" w:line="171" w:lineRule="exact"/>
        <w:rPr>
          <w:sz w:val="20"/>
          <w:szCs w:val="20"/>
          <w:color w:val="auto"/>
        </w:rPr>
      </w:pPr>
    </w:p>
    <w:p>
      <w:pPr>
        <w:ind w:right="80" w:firstLine="456"/>
        <w:spacing w:after="0" w:line="310" w:lineRule="auto"/>
        <w:rPr>
          <w:sz w:val="20"/>
          <w:szCs w:val="20"/>
          <w:color w:val="auto"/>
        </w:rPr>
      </w:pPr>
      <w:r>
        <w:rPr>
          <w:rFonts w:ascii="Times New Roman" w:cs="Times New Roman" w:eastAsia="Times New Roman" w:hAnsi="Times New Roman"/>
          <w:sz w:val="16"/>
          <w:szCs w:val="16"/>
          <w:color w:val="auto"/>
        </w:rPr>
        <w:t>Lazard Ltd had been subject to supervision by the SEC as a Supervised Investment Bank Holding Company (“SIBHC”). As a SIBHC, Lazard Ltd was subject to group-wide supervision, which required it to compute allowable capital and risk allowances on a consolidated basis. However, pursuant to Section 617 of the Dodd-Frank Wall Street Reform and Consumer Protection Act (the “Dodd-Frank Act”), the SEC’s SIBHC program was eliminated on July 21, 2011.</w:t>
      </w:r>
    </w:p>
    <w:p>
      <w:pPr>
        <w:spacing w:after="0" w:line="97" w:lineRule="exact"/>
        <w:rPr>
          <w:sz w:val="20"/>
          <w:szCs w:val="20"/>
          <w:color w:val="auto"/>
        </w:rPr>
      </w:pPr>
    </w:p>
    <w:p>
      <w:pPr>
        <w:ind w:right="120" w:firstLine="456"/>
        <w:spacing w:after="0" w:line="290" w:lineRule="auto"/>
        <w:rPr>
          <w:sz w:val="20"/>
          <w:szCs w:val="20"/>
          <w:color w:val="auto"/>
        </w:rPr>
      </w:pPr>
      <w:r>
        <w:rPr>
          <w:rFonts w:ascii="Times New Roman" w:cs="Times New Roman" w:eastAsia="Times New Roman" w:hAnsi="Times New Roman"/>
          <w:sz w:val="16"/>
          <w:szCs w:val="16"/>
          <w:color w:val="auto"/>
        </w:rPr>
        <w:t>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new supervision, the combined European regulated group will be required to comply with periodic financial, regulatory net capital and other reporting obligations. Additionally, the combined European regulated group, together with our European financial advisory entities, will be required to perform an annual risk assessment and provide certain other information on a periodic basis, including financial reports and information relating to financial performance, balance sheet data and capital structure (which is similar to the information that we have already been providing informally). This new supervision under, and provision of information to, the ACPR is expected to become effective on December 31, 2013.</w:t>
      </w:r>
    </w:p>
    <w:p>
      <w:pPr>
        <w:spacing w:after="0" w:line="112" w:lineRule="exact"/>
        <w:rPr>
          <w:sz w:val="20"/>
          <w:szCs w:val="20"/>
          <w:color w:val="auto"/>
        </w:rPr>
      </w:pPr>
    </w:p>
    <w:p>
      <w:pPr>
        <w:ind w:right="700" w:firstLine="456"/>
        <w:spacing w:after="0" w:line="275" w:lineRule="auto"/>
        <w:rPr>
          <w:sz w:val="20"/>
          <w:szCs w:val="20"/>
          <w:color w:val="auto"/>
        </w:rPr>
      </w:pPr>
      <w:r>
        <w:rPr>
          <w:rFonts w:ascii="Times New Roman" w:cs="Times New Roman" w:eastAsia="Times New Roman" w:hAnsi="Times New Roman"/>
          <w:sz w:val="18"/>
          <w:szCs w:val="18"/>
          <w:color w:val="auto"/>
        </w:rPr>
        <w:t>The Dodd-Frank Act and rules and regulations that may be adopted in countries in which we operate (including regulations that have not yet been proposed) could affect us in other ways.</w:t>
      </w:r>
    </w:p>
    <w:p>
      <w:pPr>
        <w:spacing w:after="0" w:line="237" w:lineRule="exact"/>
        <w:rPr>
          <w:sz w:val="20"/>
          <w:szCs w:val="20"/>
          <w:color w:val="auto"/>
        </w:rPr>
      </w:pPr>
    </w:p>
    <w:p>
      <w:pPr>
        <w:ind w:left="460" w:hanging="452"/>
        <w:spacing w:after="0"/>
        <w:tabs>
          <w:tab w:leader="none" w:pos="460" w:val="left"/>
        </w:tabs>
        <w:numPr>
          <w:ilvl w:val="0"/>
          <w:numId w:val="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SEGMENT INFORMATION</w:t>
      </w:r>
    </w:p>
    <w:p>
      <w:pPr>
        <w:spacing w:after="0" w:line="9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two business segments as described in Note 1 above - Financial</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45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Advisory and Asset Management. In addition, as described in Note 1 above, the Company records selected other activities in its Corporate segment.</w:t>
      </w:r>
    </w:p>
    <w:p>
      <w:pPr>
        <w:spacing w:after="0" w:line="171"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The Company’s segment information for the three month and nine month periods ended September 30, 2013 and 2012 was prepared using the following methodology:</w:t>
      </w:r>
    </w:p>
    <w:p>
      <w:pPr>
        <w:spacing w:after="0" w:line="39" w:lineRule="exact"/>
        <w:rPr>
          <w:sz w:val="20"/>
          <w:szCs w:val="20"/>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and expenses directly associated with each segment are included in determining operating income.</w:t>
      </w:r>
    </w:p>
    <w:p>
      <w:pPr>
        <w:spacing w:after="0" w:line="90" w:lineRule="exact"/>
        <w:rPr>
          <w:rFonts w:ascii="Times New Roman" w:cs="Times New Roman" w:eastAsia="Times New Roman" w:hAnsi="Times New Roman"/>
          <w:sz w:val="18"/>
          <w:szCs w:val="18"/>
          <w:color w:val="auto"/>
        </w:rPr>
      </w:pPr>
    </w:p>
    <w:p>
      <w:pPr>
        <w:ind w:left="900" w:right="220" w:hanging="325"/>
        <w:spacing w:after="0" w:line="275"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not directly associated with specific segments are allocated based on the most relevant measures applicable, including headcount, square footage and other factors.</w:t>
      </w:r>
    </w:p>
    <w:p>
      <w:pPr>
        <w:spacing w:after="0" w:line="38" w:lineRule="exact"/>
        <w:rPr>
          <w:rFonts w:ascii="Times New Roman" w:cs="Times New Roman" w:eastAsia="Times New Roman" w:hAnsi="Times New Roman"/>
          <w:sz w:val="18"/>
          <w:szCs w:val="18"/>
          <w:color w:val="auto"/>
        </w:rPr>
      </w:pPr>
    </w:p>
    <w:p>
      <w:pPr>
        <w:ind w:left="900" w:right="340" w:hanging="325"/>
        <w:spacing w:after="0" w:line="275"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20"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The Company allocates investment gains and losses, interest income and interest expense among the various segments based on the segment in which the underlying asset or liability is reported.</w:t>
      </w:r>
    </w:p>
    <w:p>
      <w:pPr>
        <w:spacing w:after="0" w:line="120"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39"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640"/>
              <w:spacing w:after="0" w:line="142" w:lineRule="exact"/>
              <w:rPr>
                <w:sz w:val="20"/>
                <w:szCs w:val="20"/>
                <w:color w:val="auto"/>
              </w:rPr>
            </w:pPr>
            <w:r>
              <w:rPr>
                <w:rFonts w:ascii="Times New Roman" w:cs="Times New Roman" w:eastAsia="Times New Roman" w:hAnsi="Times New Roman"/>
                <w:sz w:val="14"/>
                <w:szCs w:val="14"/>
                <w:b w:val="1"/>
                <w:bCs w:val="1"/>
                <w:color w:val="auto"/>
              </w:rPr>
              <w:t>2013(a)</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Advisory</w:t>
            </w:r>
          </w:p>
        </w:tc>
        <w:tc>
          <w:tcPr>
            <w:tcW w:w="2980" w:type="dxa"/>
            <w:vAlign w:val="bottom"/>
            <w:tcBorders>
              <w:top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Net Revenue</w:t>
            </w:r>
          </w:p>
        </w:tc>
        <w:tc>
          <w:tcPr>
            <w:tcW w:w="1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233,842</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219,973</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665,611</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9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Operating Expenses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218,015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5"/>
              </w:rPr>
              <w:t>212,449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674,689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693,546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9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Operating Income (Loss)</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15,827</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7,524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(9,078)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46,247</w:t>
            </w:r>
          </w:p>
        </w:tc>
        <w:tc>
          <w:tcPr>
            <w:tcW w:w="0" w:type="dxa"/>
            <w:vAlign w:val="bottom"/>
          </w:tcPr>
          <w:p>
            <w:pPr>
              <w:spacing w:after="0"/>
              <w:rPr>
                <w:sz w:val="1"/>
                <w:szCs w:val="1"/>
                <w:color w:val="auto"/>
              </w:rPr>
            </w:pPr>
          </w:p>
        </w:tc>
      </w:tr>
      <w:tr>
        <w:trPr>
          <w:trHeight w:val="20"/>
        </w:trPr>
        <w:tc>
          <w:tcPr>
            <w:tcW w:w="2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 Management</w:t>
            </w:r>
          </w:p>
        </w:tc>
        <w:tc>
          <w:tcPr>
            <w:tcW w:w="2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500" w:type="dxa"/>
            <w:vAlign w:val="bottom"/>
            <w:gridSpan w:val="2"/>
            <w:vMerge w:val="continue"/>
          </w:tcPr>
          <w:p>
            <w:pPr>
              <w:spacing w:after="0"/>
              <w:rPr>
                <w:sz w:val="24"/>
                <w:szCs w:val="24"/>
                <w:color w:val="auto"/>
              </w:rPr>
            </w:pPr>
          </w:p>
        </w:tc>
        <w:tc>
          <w:tcPr>
            <w:tcW w:w="29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Revenue</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252,094</w:t>
            </w:r>
          </w:p>
        </w:tc>
        <w:tc>
          <w:tcPr>
            <w:tcW w:w="2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5"/>
              </w:rPr>
              <w:t>221,516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741,618</w:t>
            </w:r>
          </w:p>
        </w:tc>
        <w:tc>
          <w:tcPr>
            <w:tcW w:w="4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647,096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9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Operating Expenses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168,895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160,883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511,526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477,989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9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Operating Income</w:t>
            </w:r>
          </w:p>
        </w:tc>
        <w:tc>
          <w:tcPr>
            <w:tcW w:w="15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83,199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60,633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230,092</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48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9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Net Revenues (Expense)</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(5,967)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(12,178)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(35,749)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9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Operating Expenses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8,479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9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Operating Income (Loss)</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(17,956)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(20,657)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(76,784)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(89,822)</w:t>
            </w:r>
          </w:p>
        </w:tc>
        <w:tc>
          <w:tcPr>
            <w:tcW w:w="0" w:type="dxa"/>
            <w:vAlign w:val="bottom"/>
          </w:tcPr>
          <w:p>
            <w:pPr>
              <w:spacing w:after="0"/>
              <w:rPr>
                <w:sz w:val="1"/>
                <w:szCs w:val="1"/>
                <w:color w:val="auto"/>
              </w:rPr>
            </w:pPr>
          </w:p>
        </w:tc>
      </w:tr>
      <w:tr>
        <w:trPr>
          <w:trHeight w:val="20"/>
        </w:trPr>
        <w:tc>
          <w:tcPr>
            <w:tcW w:w="2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500" w:type="dxa"/>
            <w:vAlign w:val="bottom"/>
            <w:gridSpan w:val="2"/>
            <w:vMerge w:val="continue"/>
          </w:tcPr>
          <w:p>
            <w:pPr>
              <w:spacing w:after="0"/>
              <w:rPr>
                <w:sz w:val="24"/>
                <w:szCs w:val="24"/>
                <w:color w:val="auto"/>
              </w:rPr>
            </w:pPr>
          </w:p>
        </w:tc>
        <w:tc>
          <w:tcPr>
            <w:tcW w:w="29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Revenue</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479,969</w:t>
            </w:r>
          </w:p>
        </w:tc>
        <w:tc>
          <w:tcPr>
            <w:tcW w:w="2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5"/>
              </w:rPr>
              <w:t>429,311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1,371,480</w:t>
            </w:r>
          </w:p>
        </w:tc>
        <w:tc>
          <w:tcPr>
            <w:tcW w:w="4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1,346,776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9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Operating Expenses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398,899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381,811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1,227,250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1,221,244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9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Operating Income</w:t>
            </w:r>
          </w:p>
        </w:tc>
        <w:tc>
          <w:tcPr>
            <w:tcW w:w="15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81,070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47,500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144,230</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560" w:type="dxa"/>
            <w:vAlign w:val="bottom"/>
            <w:vMerge w:val="restart"/>
          </w:tcPr>
          <w:p>
            <w:pPr>
              <w:jc w:val="right"/>
              <w:ind w:right="1152"/>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74" w:lineRule="exact"/>
        <w:rPr>
          <w:sz w:val="20"/>
          <w:szCs w:val="20"/>
          <w:color w:val="auto"/>
        </w:rPr>
      </w:pPr>
    </w:p>
    <w:p>
      <w:pPr>
        <w:ind w:left="460" w:hanging="452"/>
        <w:spacing w:after="0" w:line="275" w:lineRule="auto"/>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14 of Notes to Condensed Consolidated Financial Statements for information regarding the Cost Saving Initiatives, and the impact on each of the Company’s business segments during the nine month period ended September 30, 2013.</w:t>
      </w:r>
    </w:p>
    <w:p>
      <w:pPr>
        <w:spacing w:after="0" w:line="158" w:lineRule="exact"/>
        <w:rPr>
          <w:sz w:val="20"/>
          <w:szCs w:val="20"/>
          <w:color w:val="auto"/>
        </w:rPr>
      </w:pPr>
    </w:p>
    <w:tbl>
      <w:tblPr>
        <w:tblLayout w:type="fixed"/>
        <w:tblInd w:w="8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3"/>
              </w:rPr>
              <w:t>September 30,</w:t>
            </w:r>
          </w:p>
        </w:tc>
        <w:tc>
          <w:tcPr>
            <w:tcW w:w="1180" w:type="dxa"/>
            <w:vAlign w:val="bottom"/>
            <w:gridSpan w:val="3"/>
          </w:tcPr>
          <w:p>
            <w:pPr>
              <w:ind w:left="380"/>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40" w:type="dxa"/>
            <w:vAlign w:val="bottom"/>
            <w:tcBorders>
              <w:bottom w:val="single" w:sz="8" w:color="CCEEFF"/>
            </w:tcBorders>
          </w:tcPr>
          <w:p>
            <w:pPr>
              <w:spacing w:after="0"/>
              <w:rPr>
                <w:sz w:val="14"/>
                <w:szCs w:val="14"/>
                <w:color w:val="auto"/>
              </w:rPr>
            </w:pPr>
          </w:p>
        </w:tc>
        <w:tc>
          <w:tcPr>
            <w:tcW w:w="4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2013</w:t>
            </w: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4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Advisory</w:t>
            </w:r>
          </w:p>
        </w:tc>
        <w:tc>
          <w:tcPr>
            <w:tcW w:w="4560" w:type="dxa"/>
            <w:vAlign w:val="bottom"/>
            <w:gridSpan w:val="2"/>
          </w:tcPr>
          <w:p>
            <w:pPr>
              <w:ind w:left="4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697,183</w:t>
            </w:r>
          </w:p>
        </w:tc>
        <w:tc>
          <w:tcPr>
            <w:tcW w:w="4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Asset Management</w:t>
            </w:r>
          </w:p>
        </w:tc>
        <w:tc>
          <w:tcPr>
            <w:tcW w:w="4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632,526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w:t>
            </w:r>
          </w:p>
        </w:tc>
        <w:tc>
          <w:tcPr>
            <w:tcW w:w="4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1,691,771</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1,688,696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4560" w:type="dxa"/>
            <w:vAlign w:val="bottom"/>
            <w:gridSpan w:val="2"/>
            <w:shd w:val="clear" w:color="auto" w:fill="CCEEFF"/>
          </w:tcPr>
          <w:p>
            <w:pPr>
              <w:ind w:left="4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3,021,480</w:t>
            </w:r>
          </w:p>
        </w:tc>
        <w:tc>
          <w:tcPr>
            <w:tcW w:w="4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3,048,380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460" w:type="dxa"/>
            <w:vAlign w:val="bottom"/>
            <w:vMerge w:val="restart"/>
          </w:tcPr>
          <w:p>
            <w:pPr>
              <w:jc w:val="right"/>
              <w:ind w:right="2592"/>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5" w:right="31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90"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Lazard Group’s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2012 (the “Form 10-K”). All references to “2013”, “2012”, “third quarter”, “nine months” or “the period” refer to, as the context requires, the three month and nine month periods ended September 30, 2013 and September 30, 2012.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Certain Factors that May Affect Our Business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Management has included in Parts I and II of this Form 10-Q, including in its MD&amp;A, statements that are forward-looking statements. In some cases, you can identify these statements by forward-looking words such as “may,” “might,” “will,” “should,”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57" w:lineRule="exact"/>
        <w:rPr>
          <w:sz w:val="20"/>
          <w:szCs w:val="20"/>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general economic conditions or the global financial markets,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overall mergers and acquisitions (“M&amp;A”) activity, our share of the M&amp;A market or our assets under management (“AUM”),</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caused by financial or other problems experienced by third parties,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due to unidentified or unanticipated risks,</w:t>
      </w:r>
    </w:p>
    <w:p>
      <w:pPr>
        <w:spacing w:after="0" w:line="8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lack of liquidity,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ready access to funds, for use in our businesses, and</w:t>
      </w:r>
    </w:p>
    <w:p>
      <w:pPr>
        <w:spacing w:after="0" w:line="92"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 on our businesses and on our ability to retain and attract employees at current compensation levels.</w:t>
      </w:r>
    </w:p>
    <w:p>
      <w:pPr>
        <w:spacing w:after="0" w:line="171"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These risks and uncertainties are not exhaustive. Other sections of the Form 10-K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03" w:lineRule="exact"/>
        <w:rPr>
          <w:sz w:val="20"/>
          <w:szCs w:val="20"/>
          <w:color w:val="auto"/>
        </w:rPr>
      </w:pPr>
    </w:p>
    <w:p>
      <w:pPr>
        <w:ind w:right="200" w:firstLine="456"/>
        <w:spacing w:after="0" w:line="301" w:lineRule="auto"/>
        <w:rPr>
          <w:sz w:val="20"/>
          <w:szCs w:val="20"/>
          <w:color w:val="auto"/>
        </w:rPr>
      </w:pPr>
      <w:r>
        <w:rPr>
          <w:rFonts w:ascii="Times New Roman" w:cs="Times New Roman" w:eastAsia="Times New Roman" w:hAnsi="Times New Roman"/>
          <w:sz w:val="16"/>
          <w:szCs w:val="16"/>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 the:</w:t>
      </w:r>
    </w:p>
    <w:p>
      <w:pPr>
        <w:spacing w:after="0" w:line="90" w:lineRule="exact"/>
        <w:rPr>
          <w:sz w:val="20"/>
          <w:szCs w:val="20"/>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financial goals, including the ratio of awarded compensation and benefits expense to operating revenue,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ability to deploy surplus cash through distributions to members, purchases of Lazard Ltd Class A common stock and debt repurchases,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80"/>
          </w:cols>
          <w:pgMar w:left="240" w:top="455" w:right="27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ability to offset stockholder dilution through share repurchases,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possible or assumed future results of operations and operating cash flows,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strategies and investment policies,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financing plans and the availability of short-term borrowing,</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competitive position,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including the consideration to be paid and the timing of consummation,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growth opportunities available to our businesses,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and retention of our managing directors and employees,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levels of compensation expense,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potential operating performance, achievements, productivity improvements, efficiency and cost reduction efforts,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success and impact of litigation,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tax rates,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and tax rates,</w:t>
      </w:r>
    </w:p>
    <w:p>
      <w:pPr>
        <w:spacing w:after="0" w:line="90" w:lineRule="exact"/>
        <w:rPr>
          <w:rFonts w:ascii="Times New Roman" w:cs="Times New Roman" w:eastAsia="Times New Roman" w:hAnsi="Times New Roman"/>
          <w:sz w:val="18"/>
          <w:szCs w:val="18"/>
          <w:color w:val="auto"/>
        </w:rPr>
      </w:pPr>
    </w:p>
    <w:p>
      <w:pPr>
        <w:ind w:left="900" w:right="460" w:hanging="325"/>
        <w:spacing w:after="0" w:line="275"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competition on our business,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future legislation and regulation on our business.</w:t>
      </w:r>
    </w:p>
    <w:p>
      <w:pPr>
        <w:spacing w:after="0" w:line="17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Lazard Asset Management LLC and its subsidiaries (collectively referred to as “LAM”). Investors can link to Lazard Ltd, Lazard Group and their operating company websites through </w:t>
      </w:r>
      <w:r>
        <w:rPr>
          <w:rFonts w:ascii="Times New Roman" w:cs="Times New Roman" w:eastAsia="Times New Roman" w:hAnsi="Times New Roman"/>
          <w:sz w:val="18"/>
          <w:szCs w:val="18"/>
          <w:i w:val="1"/>
          <w:iCs w:val="1"/>
          <w:color w:val="auto"/>
        </w:rPr>
        <w:t>http://www.lazard.com.</w:t>
      </w:r>
      <w:r>
        <w:rPr>
          <w:rFonts w:ascii="Times New Roman" w:cs="Times New Roman" w:eastAsia="Times New Roman" w:hAnsi="Times New Roman"/>
          <w:sz w:val="18"/>
          <w:szCs w:val="18"/>
          <w:color w:val="auto"/>
        </w:rPr>
        <w:t xml:space="preserve"> Our websites and the information contained therein or connected thereto shall not be deemed to be incorporated into this Form 10-Q.</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Summary</w:t>
      </w:r>
    </w:p>
    <w:p>
      <w:pPr>
        <w:spacing w:after="0" w:line="92"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40 cities in key business and financial centers across 26 countries throughout Europe, North America, Asia, Australia, the Middle East and Central and South America.</w:t>
      </w:r>
    </w:p>
    <w:p>
      <w:pPr>
        <w:spacing w:after="0" w:line="136"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32"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We operate in cyclical businesses across multiple geographies, industries and asset classes. In recent years, we have expanded our geographic reach, bolstered our industry expertise and continued to build in growth areas.</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00"/>
          </w:cols>
          <w:pgMar w:left="240" w:top="455" w:right="3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principal sources of revenue are derived from activities in the following business segments:</w:t>
      </w:r>
    </w:p>
    <w:p>
      <w:pPr>
        <w:spacing w:after="0" w:line="90" w:lineRule="exact"/>
        <w:rPr>
          <w:sz w:val="20"/>
          <w:szCs w:val="20"/>
          <w:color w:val="auto"/>
        </w:rPr>
      </w:pPr>
    </w:p>
    <w:p>
      <w:pPr>
        <w:ind w:left="900" w:right="160" w:hanging="325"/>
        <w:spacing w:after="0" w:line="26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Advisory, which offers corporate, partnership, institutional, government, sovereign and individual clients across the globe a wide array of financial advisory services regarding M&amp;A and other strategic matters, restructurings, capital structure, capital raising and various other financial matters, and</w:t>
      </w:r>
    </w:p>
    <w:p>
      <w:pPr>
        <w:spacing w:after="0" w:line="51" w:lineRule="exact"/>
        <w:rPr>
          <w:rFonts w:ascii="Times New Roman" w:cs="Times New Roman" w:eastAsia="Times New Roman" w:hAnsi="Times New Roman"/>
          <w:sz w:val="18"/>
          <w:szCs w:val="18"/>
          <w:color w:val="auto"/>
        </w:rPr>
      </w:pPr>
    </w:p>
    <w:p>
      <w:pPr>
        <w:jc w:val="both"/>
        <w:ind w:left="900" w:right="400" w:hanging="325"/>
        <w:spacing w:after="0" w:line="26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3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addition, we record selected other activities in our Corporate segment, including management of cash, investments and outstanding indebtedness, as well as certain commercial banking activities of Lazard Group’s Paris-based subsidiary, Lazard Frères Banque SA (“LFB”).</w:t>
      </w:r>
    </w:p>
    <w:p>
      <w:pPr>
        <w:spacing w:after="0" w:line="120" w:lineRule="exact"/>
        <w:rPr>
          <w:sz w:val="20"/>
          <w:szCs w:val="20"/>
          <w:color w:val="auto"/>
        </w:rPr>
      </w:pPr>
    </w:p>
    <w:p>
      <w:pPr>
        <w:ind w:right="420" w:firstLine="456"/>
        <w:spacing w:after="0" w:line="262" w:lineRule="auto"/>
        <w:rPr>
          <w:sz w:val="20"/>
          <w:szCs w:val="20"/>
          <w:color w:val="auto"/>
        </w:rPr>
      </w:pPr>
      <w:r>
        <w:rPr>
          <w:rFonts w:ascii="Times New Roman" w:cs="Times New Roman" w:eastAsia="Times New Roman" w:hAnsi="Times New Roman"/>
          <w:sz w:val="18"/>
          <w:szCs w:val="18"/>
          <w:color w:val="auto"/>
        </w:rPr>
        <w:t>LFB is a registered bank regulated by the Autorité de Contrôle Prudentiel et de Résolution. It is engaged primarily in commercial and private banking services for clients and funds managed by Lazard Frères Gestion SAS (“LFG”) and other clients, investment banking activities, including participation in underwritten offerings of securities in France, and asset-liability management.</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consolidated net revenue was derived from the following segments: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2820" w:type="dxa"/>
            <w:vAlign w:val="bottom"/>
            <w:gridSpan w:val="4"/>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80" w:type="dxa"/>
            <w:vAlign w:val="bottom"/>
            <w:gridSpan w:val="3"/>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w w:val="96"/>
              </w:rPr>
              <w:t>Nine Months Ended</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5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540" w:type="dxa"/>
            <w:vAlign w:val="bottom"/>
            <w:tcBorders>
              <w:bottom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8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9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Advisory</w:t>
            </w:r>
          </w:p>
        </w:tc>
        <w:tc>
          <w:tcPr>
            <w:tcW w:w="1400" w:type="dxa"/>
            <w:vAlign w:val="bottom"/>
            <w:gridSpan w:val="2"/>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49%</w:t>
            </w:r>
          </w:p>
        </w:tc>
        <w:tc>
          <w:tcPr>
            <w:tcW w:w="14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51%</w:t>
            </w:r>
          </w:p>
        </w:tc>
        <w:tc>
          <w:tcPr>
            <w:tcW w:w="1440" w:type="dxa"/>
            <w:vAlign w:val="bottom"/>
            <w:gridSpan w:val="2"/>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Asset Management</w:t>
            </w:r>
          </w:p>
        </w:tc>
        <w:tc>
          <w:tcPr>
            <w:tcW w:w="1400" w:type="dxa"/>
            <w:vAlign w:val="bottom"/>
            <w:gridSpan w:val="2"/>
          </w:tcPr>
          <w:p>
            <w:pPr>
              <w:jc w:val="right"/>
              <w:ind w:right="792"/>
              <w:spacing w:after="0"/>
              <w:rPr>
                <w:sz w:val="20"/>
                <w:szCs w:val="20"/>
                <w:color w:val="auto"/>
              </w:rPr>
            </w:pPr>
            <w:r>
              <w:rPr>
                <w:rFonts w:ascii="Times New Roman" w:cs="Times New Roman" w:eastAsia="Times New Roman" w:hAnsi="Times New Roman"/>
                <w:sz w:val="18"/>
                <w:szCs w:val="18"/>
                <w:color w:val="auto"/>
              </w:rPr>
              <w:t>52</w:t>
            </w:r>
          </w:p>
        </w:tc>
        <w:tc>
          <w:tcPr>
            <w:tcW w:w="142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52</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1400" w:type="dxa"/>
            <w:vAlign w:val="bottom"/>
            <w:gridSpan w:val="2"/>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(1)</w:t>
            </w:r>
          </w:p>
        </w:tc>
        <w:tc>
          <w:tcPr>
            <w:tcW w:w="14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(3)</w:t>
            </w:r>
          </w:p>
        </w:tc>
        <w:tc>
          <w:tcPr>
            <w:tcW w:w="1440" w:type="dxa"/>
            <w:vAlign w:val="bottom"/>
            <w:gridSpan w:val="2"/>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vMerge w:val="continue"/>
          </w:tcPr>
          <w:p>
            <w:pPr>
              <w:spacing w:after="0"/>
              <w:rPr>
                <w:sz w:val="19"/>
                <w:szCs w:val="19"/>
                <w:color w:val="auto"/>
              </w:rPr>
            </w:pPr>
          </w:p>
        </w:tc>
        <w:tc>
          <w:tcPr>
            <w:tcW w:w="1400" w:type="dxa"/>
            <w:vAlign w:val="bottom"/>
            <w:gridSpan w:val="2"/>
          </w:tcPr>
          <w:p>
            <w:pPr>
              <w:jc w:val="right"/>
              <w:ind w:right="652"/>
              <w:spacing w:after="0"/>
              <w:rPr>
                <w:sz w:val="20"/>
                <w:szCs w:val="20"/>
                <w:color w:val="auto"/>
              </w:rPr>
            </w:pPr>
            <w:r>
              <w:rPr>
                <w:rFonts w:ascii="Times New Roman" w:cs="Times New Roman" w:eastAsia="Times New Roman" w:hAnsi="Times New Roman"/>
                <w:sz w:val="18"/>
                <w:szCs w:val="18"/>
                <w:color w:val="auto"/>
              </w:rPr>
              <w:t>100%</w:t>
            </w:r>
          </w:p>
        </w:tc>
        <w:tc>
          <w:tcPr>
            <w:tcW w:w="14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100%</w:t>
            </w:r>
          </w:p>
        </w:tc>
        <w:tc>
          <w:tcPr>
            <w:tcW w:w="1440" w:type="dxa"/>
            <w:vAlign w:val="bottom"/>
            <w:gridSpan w:val="2"/>
          </w:tcPr>
          <w:p>
            <w:pPr>
              <w:jc w:val="right"/>
              <w:ind w:right="672"/>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firstLine="456"/>
        <w:spacing w:after="0" w:line="289" w:lineRule="auto"/>
        <w:rPr>
          <w:sz w:val="20"/>
          <w:szCs w:val="20"/>
          <w:color w:val="auto"/>
        </w:rPr>
      </w:pPr>
      <w:r>
        <w:rPr>
          <w:rFonts w:ascii="Times New Roman" w:cs="Times New Roman" w:eastAsia="Times New Roman" w:hAnsi="Times New Roman"/>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investments through</w:t>
      </w:r>
    </w:p>
    <w:p>
      <w:pPr>
        <w:spacing w:after="0" w:line="1" w:lineRule="exact"/>
        <w:rPr>
          <w:sz w:val="20"/>
          <w:szCs w:val="20"/>
          <w:color w:val="auto"/>
        </w:rPr>
      </w:pPr>
    </w:p>
    <w:p>
      <w:pPr>
        <w:ind w:right="260" w:firstLine="8"/>
        <w:spacing w:after="0" w:line="281" w:lineRule="auto"/>
        <w:tabs>
          <w:tab w:leader="none" w:pos="21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Edgewater Funds (“Edgewater”), our Chicago-based private equity firm (see Note 10 of Notes to Condensed Consolidated Financial Statements), (ii) Lazard Australia Corporate Opportunities Fund 2 (“COF2”), a Lazard-managed Australian private equity fund targeting Australasian mid-market investments,</w:t>
      </w:r>
    </w:p>
    <w:p>
      <w:pPr>
        <w:spacing w:after="0" w:line="1" w:lineRule="exact"/>
        <w:rPr>
          <w:rFonts w:ascii="Times New Roman" w:cs="Times New Roman" w:eastAsia="Times New Roman" w:hAnsi="Times New Roman"/>
          <w:sz w:val="16"/>
          <w:szCs w:val="16"/>
          <w:color w:val="auto"/>
        </w:rPr>
      </w:pPr>
    </w:p>
    <w:p>
      <w:pPr>
        <w:ind w:firstLine="8"/>
        <w:spacing w:after="0" w:line="253" w:lineRule="auto"/>
        <w:tabs>
          <w:tab w:leader="none" w:pos="30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mezzanine fund, which invests in mezzanine debt of a diversified selection of small-to mid-cap European companies and (iv) a private equity fund targeting significant noncontrolling-stake investments in established private companies. We may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Also, consistent with any obligations to LFCM Holdings LLC (“LFCM Holdings”), we may explore discrete capital markets opportunities.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 and Outlook</w:t>
      </w:r>
    </w:p>
    <w:p>
      <w:pPr>
        <w:spacing w:after="0" w:line="92"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Economic and global financial market conditions can materially affect our financial performance. As described above, our principal sources of revenue are derived from activities in our Financial Advisory and Asset Management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455"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36"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Equity market indices for developed markets at September 30, 2013 increased when compared to such indices at September 30, 2012, December 31, 2012 and June 30, 2013. Emerging market indices at September 30, 2013 generally decreased as compared to September 30, 2012 and December 31, 2012, but have increased as compared to June 30, 2013. On an industry-wide basis, during the first nine months of 2013, the value and number of completed M&amp;A transactions decreased, as compared to the corresponding prior year period. Global restructuring activity, as measured by the number of corporate defaults, increased in the first nine months of 2013 as compared to the corresponding period last year, but the aggregate value of debt defaults remains low, consistent with the last several years.</w:t>
      </w:r>
    </w:p>
    <w:p>
      <w:pPr>
        <w:spacing w:after="0" w:line="13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Entering the fourth quarter of 2013, interest rates remain low relative to historical levels and corporate cash balances remain high. Global macroeconomic conditions appear to be improving but remain uncertain, especially with respect to Europe. The breadth of our businesses has mitigated the impact of the European financial crisis. Although the number of completed European M&amp;A transactions declined in the first nine months of 2013 and contributed to the revenue decrease in our Financial Advisory business, we believe other advisory opportunities, including opportunities for our Sovereign Advisory and Capital Advisory businesses, may offset the slowdown. In our Asset Management business, most of LAM’s European clients are invested with LAM primarily outside of Europe. Many of those who are invested in Europe are invested in European fixed income, which has not had a significant impact on our Asset Management business. Nonetheless, the business situation in Europe remains challenging. Despite volatility in emerging markets during the third quarter of 2013, we have experienced positive flows in our Emerging Markets debt and Emerging Market and Multi-Regional equity platforms.</w:t>
      </w:r>
    </w:p>
    <w:p>
      <w:pPr>
        <w:spacing w:after="0" w:line="13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intend to leverage our existing infrastructure to capitalize on any global macroeconomic recovery, any upturn in the M&amp;A cycle, and any momentum in the global equity markets. We expect to generate revenue growth by remaining adequately staffed to capitalize on any macroeconomic recovery and deploying our intellectual capital to generate new revenue streams. We also remain focused on expense management, and in October 2012 we announced a number of cost saving initiatives (the “cost saving initiatives”) relating to our operations. See “Cost Saving Initiatives” below and Note 14 of Notes to Condensed Consolidated Financial Statements.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outlook with respect to our Financial Advisory and Asset Management businesses is described below.</w:t>
      </w:r>
    </w:p>
    <w:p>
      <w:pPr>
        <w:spacing w:after="0" w:line="86" w:lineRule="exact"/>
        <w:rPr>
          <w:sz w:val="20"/>
          <w:szCs w:val="20"/>
          <w:color w:val="auto"/>
        </w:rPr>
      </w:pPr>
    </w:p>
    <w:p>
      <w:pPr>
        <w:ind w:left="920" w:right="20" w:hanging="345"/>
        <w:spacing w:after="0" w:line="254" w:lineRule="auto"/>
        <w:tabs>
          <w:tab w:leader="none" w:pos="9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Financial Advisory </w:t>
      </w:r>
      <w:r>
        <w:rPr>
          <w:rFonts w:ascii="Times New Roman" w:cs="Times New Roman" w:eastAsia="Times New Roman" w:hAnsi="Times New Roman"/>
          <w:sz w:val="18"/>
          <w:szCs w:val="18"/>
          <w:color w:val="auto"/>
        </w:rPr>
        <w:t>– In the near- to mid-term, we expect that the U.S. macroeconomic environment will likely be the strongest of the developed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economies. Certain legal decisions in the U.S. reinforce the importance of independent advice, and the global scale and breadth of our Financial Advisory business allows us to advise on large, complex cross-border transactions across a variety of industries. We continue to develop our range of advisory capabilities, in particular in Europe, with our Sovereign Advisory, Restructuring and Capital Advisory businesses. In addition, we believe our businesses throughout the emerging markets, Japan and Australia position us for growth in these markets, while strengthening and distinguishing our relationships with clients in developed economies. We recently integrated our Brazilian operations based in São Paulo. We also established the Lazard Africa initiative, to leverage our sovereign and corporate expertise in this rapidly growing region, for our clients in both developed and developing countries.</w:t>
      </w:r>
    </w:p>
    <w:p>
      <w:pPr>
        <w:spacing w:after="0" w:line="57" w:lineRule="exact"/>
        <w:rPr>
          <w:rFonts w:ascii="Times New Roman" w:cs="Times New Roman" w:eastAsia="Times New Roman" w:hAnsi="Times New Roman"/>
          <w:sz w:val="18"/>
          <w:szCs w:val="18"/>
          <w:color w:val="auto"/>
        </w:rPr>
      </w:pPr>
    </w:p>
    <w:p>
      <w:pPr>
        <w:ind w:left="920" w:hanging="345"/>
        <w:spacing w:after="0" w:line="260" w:lineRule="auto"/>
        <w:tabs>
          <w:tab w:leader="none" w:pos="9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Asset Management </w:t>
      </w:r>
      <w:r>
        <w:rPr>
          <w:rFonts w:ascii="Times New Roman" w:cs="Times New Roman" w:eastAsia="Times New Roman" w:hAnsi="Times New Roman"/>
          <w:sz w:val="18"/>
          <w:szCs w:val="18"/>
          <w:color w:val="auto"/>
        </w:rPr>
        <w:t>– Generally, we have seen increased investor demand across regions and investment platforms. In the short to intermediate 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expect most of our growth will come from defined benefit and defined contribution plans in the developed economies because of their sheer scope and size. Over the longer term, we expect an increasing share of our AUM to come from the developing economies in Asia, Latin America and the Middle East, as their retirement systems evolve and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455" w:right="2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20" w:right="140"/>
        <w:spacing w:after="0" w:line="254" w:lineRule="auto"/>
        <w:rPr>
          <w:sz w:val="20"/>
          <w:szCs w:val="20"/>
          <w:color w:val="auto"/>
        </w:rPr>
      </w:pPr>
      <w:r>
        <w:rPr>
          <w:rFonts w:ascii="Times New Roman" w:cs="Times New Roman" w:eastAsia="Times New Roman" w:hAnsi="Times New Roman"/>
          <w:sz w:val="18"/>
          <w:szCs w:val="18"/>
          <w:color w:val="auto"/>
        </w:rPr>
        <w:t>individual wealth is increasingly deployed in the financial markets. Our global footprint is already well established in the developed economies and we expect our business in the developing economies will continue to expand. Given our globally diversified platform and our ability to provide investment solutions for a global mix of clients, we believe we are positioned to benefit from growth that may occur in the asset management industry. We recently extended the global footprint of our Asset Management business by opening new offices in Zurich and Singapore. We are continually developing and seeding new investment strategies that extend our existing platforms. Recent examples of growth initiatives include the following investment strategies: Emerging Markets Debt, Core Emerging Markets Equity, Emerging Markets Small Cap Equity, Real Estate, Managed Volatility Strategies and Asian Equities.</w:t>
      </w:r>
    </w:p>
    <w:p>
      <w:pPr>
        <w:spacing w:after="0" w:line="141"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the section entitled “Risk Factors” in our Form 10-K. Furthermore, net income and revenue in any period may not be indicative of full-year results or the results of any other period and may vary significantly from year to year and quarter to quarter.</w:t>
      </w:r>
    </w:p>
    <w:p>
      <w:pPr>
        <w:spacing w:after="0" w:line="139"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Overall, we continue to focus on the development of our business, including the generation of stable revenue and earnings growth, the prudent management of our costs and expenses, the efficient use of our assets and the return of equity to our members.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data with respect to our Financial Advisory and Asset Management businesses is included below.</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w:t>
      </w:r>
    </w:p>
    <w:p>
      <w:pPr>
        <w:spacing w:after="0" w:line="94" w:lineRule="exact"/>
        <w:rPr>
          <w:sz w:val="20"/>
          <w:szCs w:val="20"/>
          <w:color w:val="auto"/>
        </w:rPr>
      </w:pPr>
    </w:p>
    <w:p>
      <w:pPr>
        <w:ind w:right="340" w:firstLine="456"/>
        <w:spacing w:after="0" w:line="310" w:lineRule="auto"/>
        <w:rPr>
          <w:sz w:val="20"/>
          <w:szCs w:val="20"/>
          <w:color w:val="auto"/>
        </w:rPr>
      </w:pPr>
      <w:r>
        <w:rPr>
          <w:rFonts w:ascii="Times New Roman" w:cs="Times New Roman" w:eastAsia="Times New Roman" w:hAnsi="Times New Roman"/>
          <w:sz w:val="16"/>
          <w:szCs w:val="16"/>
          <w:color w:val="auto"/>
        </w:rPr>
        <w:t>As reflected in the following table, which sets forth global industry statistics for the third quarter and first nine months of 2013 and 2012, the value and number of completed M&amp;A transactions in the 2013 periods decreased compared to the corresponding periods in 2012. With respect to announced M&amp;A transactions, the increase in value was primarily driven by one large transaction, while the number decreased compared to the corresponding periods in 2012.</w:t>
      </w:r>
    </w:p>
    <w:p>
      <w:pPr>
        <w:spacing w:after="0" w:line="12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60" w:type="dxa"/>
            <w:vAlign w:val="bottom"/>
            <w:gridSpan w:val="4"/>
          </w:tcPr>
          <w:p>
            <w:pPr>
              <w:jc w:val="right"/>
              <w:ind w:right="12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65"/>
        </w:trPr>
        <w:tc>
          <w:tcPr>
            <w:tcW w:w="2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5"/>
        </w:trPr>
        <w:tc>
          <w:tcPr>
            <w:tcW w:w="2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20" w:type="dxa"/>
            <w:vAlign w:val="bottom"/>
          </w:tcPr>
          <w:p>
            <w:pPr>
              <w:jc w:val="right"/>
              <w:ind w:right="219"/>
              <w:spacing w:after="0" w:line="125"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jc w:val="right"/>
              <w:ind w:right="219"/>
              <w:spacing w:after="0" w:line="125"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0"/>
                <w:szCs w:val="10"/>
                <w:color w:val="auto"/>
              </w:rPr>
            </w:pPr>
          </w:p>
        </w:tc>
      </w:tr>
      <w:tr>
        <w:trPr>
          <w:trHeight w:val="165"/>
        </w:trPr>
        <w:tc>
          <w:tcPr>
            <w:tcW w:w="2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440" w:type="dxa"/>
            <w:vAlign w:val="bottom"/>
          </w:tcPr>
          <w:p>
            <w:pPr>
              <w:spacing w:after="0"/>
              <w:rPr>
                <w:sz w:val="14"/>
                <w:szCs w:val="14"/>
                <w:color w:val="auto"/>
              </w:rPr>
            </w:pPr>
          </w:p>
        </w:tc>
        <w:tc>
          <w:tcPr>
            <w:tcW w:w="7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440" w:type="dxa"/>
            <w:vAlign w:val="bottom"/>
            <w:gridSpan w:val="2"/>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Incr / (Decr)</w:t>
            </w:r>
          </w:p>
        </w:tc>
        <w:tc>
          <w:tcPr>
            <w:tcW w:w="80" w:type="dxa"/>
            <w:vAlign w:val="bottom"/>
          </w:tcPr>
          <w:p>
            <w:pPr>
              <w:spacing w:after="0"/>
              <w:rPr>
                <w:sz w:val="14"/>
                <w:szCs w:val="14"/>
                <w:color w:val="auto"/>
              </w:rPr>
            </w:pPr>
          </w:p>
        </w:tc>
        <w:tc>
          <w:tcPr>
            <w:tcW w:w="6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2013</w:t>
            </w:r>
          </w:p>
        </w:tc>
        <w:tc>
          <w:tcPr>
            <w:tcW w:w="420" w:type="dxa"/>
            <w:vAlign w:val="bottom"/>
          </w:tcPr>
          <w:p>
            <w:pPr>
              <w:spacing w:after="0"/>
              <w:rPr>
                <w:sz w:val="14"/>
                <w:szCs w:val="14"/>
                <w:color w:val="auto"/>
              </w:rPr>
            </w:pPr>
          </w:p>
        </w:tc>
        <w:tc>
          <w:tcPr>
            <w:tcW w:w="9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Incr / (Decr)</w:t>
            </w:r>
          </w:p>
        </w:tc>
      </w:tr>
      <w:tr>
        <w:trPr>
          <w:trHeight w:val="142"/>
        </w:trPr>
        <w:tc>
          <w:tcPr>
            <w:tcW w:w="2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w w:val="94"/>
              </w:rPr>
              <w:t>($ in billions)</w:t>
            </w:r>
          </w:p>
        </w:tc>
        <w:tc>
          <w:tcPr>
            <w:tcW w:w="4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Completed M&amp;A Transactions: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8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Value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364</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rPr>
              <w:t>478</w:t>
            </w:r>
          </w:p>
        </w:tc>
        <w:tc>
          <w:tcPr>
            <w:tcW w:w="144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1,425</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1,454</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8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Number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93"/>
              </w:rPr>
              <w:t>6,220</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93"/>
              </w:rPr>
              <w:t>7,201</w:t>
            </w:r>
          </w:p>
        </w:tc>
        <w:tc>
          <w:tcPr>
            <w:tcW w:w="144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96"/>
              </w:rPr>
              <w:t>19,632</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w w:val="96"/>
              </w:rPr>
              <w:t>22,304</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Announced M&amp;A Transactions: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8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Value</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709</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553</w:t>
            </w:r>
          </w:p>
        </w:tc>
        <w:tc>
          <w:tcPr>
            <w:tcW w:w="1440" w:type="dxa"/>
            <w:vAlign w:val="bottom"/>
            <w:gridSpan w:val="2"/>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1,701</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1,665</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28"/>
        </w:trPr>
        <w:tc>
          <w:tcPr>
            <w:tcW w:w="28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Number</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93"/>
              </w:rPr>
              <w:t>8,748</w:t>
            </w:r>
          </w:p>
        </w:tc>
        <w:tc>
          <w:tcPr>
            <w:tcW w:w="440" w:type="dxa"/>
            <w:vAlign w:val="bottom"/>
          </w:tcPr>
          <w:p>
            <w:pPr>
              <w:spacing w:after="0"/>
              <w:rPr>
                <w:sz w:val="19"/>
                <w:szCs w:val="19"/>
                <w:color w:val="auto"/>
              </w:rPr>
            </w:pPr>
          </w:p>
        </w:tc>
        <w:tc>
          <w:tcPr>
            <w:tcW w:w="78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w w:val="93"/>
              </w:rPr>
              <w:t>9,364</w:t>
            </w:r>
          </w:p>
        </w:tc>
        <w:tc>
          <w:tcPr>
            <w:tcW w:w="144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96"/>
              </w:rPr>
              <w:t>26,448</w:t>
            </w:r>
          </w:p>
        </w:tc>
        <w:tc>
          <w:tcPr>
            <w:tcW w:w="420" w:type="dxa"/>
            <w:vAlign w:val="bottom"/>
          </w:tcPr>
          <w:p>
            <w:pPr>
              <w:spacing w:after="0"/>
              <w:rPr>
                <w:sz w:val="19"/>
                <w:szCs w:val="19"/>
                <w:color w:val="auto"/>
              </w:rPr>
            </w:pPr>
          </w:p>
        </w:tc>
        <w:tc>
          <w:tcPr>
            <w:tcW w:w="92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w w:val="96"/>
              </w:rPr>
              <w:t>28,599</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Source:Thomson Reuters as of October 7, 2013.</w:t>
      </w:r>
    </w:p>
    <w:p>
      <w:pPr>
        <w:spacing w:after="0" w:line="171"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Global restructuring activity, as measured by the number of corporate defaults, increased in the first nine months of 2013 as compared to the corresponding period last year, but the aggregate value of debt defaults remains low, consistent with the last several years. The number of defaulting issuers increased to 51 in the first nine months of 2013, according to Moody’s Investors Service, Inc., as compared to 46 in the corresponding period of 2012.</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w:t>
      </w:r>
    </w:p>
    <w:p>
      <w:pPr>
        <w:spacing w:after="0" w:line="94"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A comparison of major equity market indices at September 30, 2013, to such indices at June 30, 2013, December 31, 2012 and September 30, 2012, is shown in the table below.</w:t>
      </w:r>
    </w:p>
    <w:p>
      <w:pPr>
        <w:spacing w:after="0" w:line="14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 Changes</w:t>
            </w: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65"/>
        </w:trPr>
        <w:tc>
          <w:tcPr>
            <w:tcW w:w="48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September 30, 2013 vs.</w:t>
            </w:r>
          </w:p>
        </w:tc>
        <w:tc>
          <w:tcPr>
            <w:tcW w:w="8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5"/>
        </w:trPr>
        <w:tc>
          <w:tcPr>
            <w:tcW w:w="4860" w:type="dxa"/>
            <w:vAlign w:val="bottom"/>
          </w:tcPr>
          <w:p>
            <w:pPr>
              <w:spacing w:after="0"/>
              <w:rPr>
                <w:sz w:val="10"/>
                <w:szCs w:val="10"/>
                <w:color w:val="auto"/>
              </w:rPr>
            </w:pPr>
          </w:p>
        </w:tc>
        <w:tc>
          <w:tcPr>
            <w:tcW w:w="1100" w:type="dxa"/>
            <w:vAlign w:val="bottom"/>
            <w:gridSpan w:val="2"/>
          </w:tcPr>
          <w:p>
            <w:pPr>
              <w:jc w:val="center"/>
              <w:ind w:right="58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540" w:type="dxa"/>
            <w:vAlign w:val="bottom"/>
          </w:tcPr>
          <w:p>
            <w:pPr>
              <w:spacing w:after="0"/>
              <w:rPr>
                <w:sz w:val="10"/>
                <w:szCs w:val="10"/>
                <w:color w:val="auto"/>
              </w:rPr>
            </w:pPr>
          </w:p>
        </w:tc>
        <w:tc>
          <w:tcPr>
            <w:tcW w:w="200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260" w:type="dxa"/>
            <w:vAlign w:val="bottom"/>
          </w:tcPr>
          <w:p>
            <w:pPr>
              <w:spacing w:after="0"/>
              <w:rPr>
                <w:sz w:val="10"/>
                <w:szCs w:val="10"/>
                <w:color w:val="auto"/>
              </w:rPr>
            </w:pPr>
          </w:p>
        </w:tc>
      </w:tr>
      <w:tr>
        <w:trPr>
          <w:trHeight w:val="165"/>
        </w:trPr>
        <w:tc>
          <w:tcPr>
            <w:tcW w:w="48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2013</w:t>
            </w:r>
          </w:p>
        </w:tc>
        <w:tc>
          <w:tcPr>
            <w:tcW w:w="6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2012</w:t>
            </w:r>
          </w:p>
        </w:tc>
        <w:tc>
          <w:tcPr>
            <w:tcW w:w="260" w:type="dxa"/>
            <w:vAlign w:val="bottom"/>
            <w:tcBorders>
              <w:bottom w:val="single" w:sz="8" w:color="CCEEFF"/>
            </w:tcBorders>
          </w:tcPr>
          <w:p>
            <w:pPr>
              <w:spacing w:after="0"/>
              <w:rPr>
                <w:sz w:val="14"/>
                <w:szCs w:val="14"/>
                <w:color w:val="auto"/>
              </w:rPr>
            </w:pPr>
          </w:p>
        </w:tc>
      </w:tr>
      <w:tr>
        <w:trPr>
          <w:trHeight w:val="21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MSCI World Index</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w:t>
            </w:r>
          </w:p>
        </w:tc>
        <w:tc>
          <w:tcPr>
            <w:tcW w:w="5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15%</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Euro Stoxx</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w:t>
            </w:r>
          </w:p>
        </w:tc>
        <w:tc>
          <w:tcPr>
            <w:tcW w:w="2540" w:type="dxa"/>
            <w:vAlign w:val="bottom"/>
            <w:gridSpan w:val="3"/>
          </w:tcPr>
          <w:p>
            <w:pPr>
              <w:jc w:val="right"/>
              <w:ind w:right="1060"/>
              <w:spacing w:after="0"/>
              <w:rPr>
                <w:sz w:val="20"/>
                <w:szCs w:val="20"/>
                <w:color w:val="auto"/>
              </w:rPr>
            </w:pPr>
            <w:r>
              <w:rPr>
                <w:rFonts w:ascii="Times New Roman" w:cs="Times New Roman" w:eastAsia="Times New Roman" w:hAnsi="Times New Roman"/>
                <w:sz w:val="18"/>
                <w:szCs w:val="18"/>
                <w:color w:val="auto"/>
              </w:rPr>
              <w:t>10%</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MSCI Emerging Market</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w:t>
            </w:r>
          </w:p>
        </w:tc>
        <w:tc>
          <w:tcPr>
            <w:tcW w:w="254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(7)%</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28"/>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S&amp;P 500</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w:t>
            </w:r>
          </w:p>
        </w:tc>
        <w:tc>
          <w:tcPr>
            <w:tcW w:w="2540" w:type="dxa"/>
            <w:vAlign w:val="bottom"/>
            <w:gridSpan w:val="3"/>
          </w:tcPr>
          <w:p>
            <w:pPr>
              <w:jc w:val="right"/>
              <w:ind w:right="1060"/>
              <w:spacing w:after="0"/>
              <w:rPr>
                <w:sz w:val="20"/>
                <w:szCs w:val="20"/>
                <w:color w:val="auto"/>
              </w:rPr>
            </w:pPr>
            <w:r>
              <w:rPr>
                <w:rFonts w:ascii="Times New Roman" w:cs="Times New Roman" w:eastAsia="Times New Roman" w:hAnsi="Times New Roman"/>
                <w:sz w:val="18"/>
                <w:szCs w:val="18"/>
                <w:color w:val="auto"/>
              </w:rPr>
              <w:t>19%</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bl>
    <w:p>
      <w:pPr>
        <w:spacing w:after="0" w:line="13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fees that we receive for providing investment management and advisory services are primarily driven by the level of AUM and the nature of the AUM product mix. Accordingly, market movements, foreign currency volatility and changes in our AUM product mix will impact the level of revenues we receive from our Asset Management business when comparing periodic results. A substantial portion of our AUM is invested in equities, and market movements reflected in the changes in Lazard’s AUM during the period reflect the changes in global equity market indices. Our AUM at September 30, 2013 increased 6% versus AUM at December 31, 2012, primarily due to market appreciation. Average AUM for the first nine months of 2013 increased 11% as compared to average AUM for the corresponding period of 2012.</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Saving Initiatives</w:t>
      </w:r>
    </w:p>
    <w:p>
      <w:pPr>
        <w:spacing w:after="0" w:line="92"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In October 2012, we announced cost saving initiatives which, at that time, were expected to result in approximately $125 million in annual savings from our compensation and non-compensation cost base. We currently expect total annual savings related to the cost saving initiatives to be approximately $160 million, partially offset by investment in our business.</w:t>
      </w:r>
    </w:p>
    <w:p>
      <w:pPr>
        <w:spacing w:after="0" w:line="132"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Approximately $120 million of the expected annual savings relate to compensation expense associated with our headcount, and approximately $40 million to non-compensation expense. We anticipate that more than two-thirds of these savings will be realized in 2013, with the full impact of all the savings reflected in our 2014 results.</w:t>
      </w:r>
    </w:p>
    <w:p>
      <w:pPr>
        <w:spacing w:after="0" w:line="132" w:lineRule="exact"/>
        <w:rPr>
          <w:sz w:val="20"/>
          <w:szCs w:val="20"/>
          <w:color w:val="auto"/>
        </w:rPr>
      </w:pPr>
    </w:p>
    <w:p>
      <w:pPr>
        <w:ind w:right="380" w:firstLine="456"/>
        <w:spacing w:after="0" w:line="262" w:lineRule="auto"/>
        <w:rPr>
          <w:sz w:val="20"/>
          <w:szCs w:val="20"/>
          <w:color w:val="auto"/>
        </w:rPr>
      </w:pPr>
      <w:r>
        <w:rPr>
          <w:rFonts w:ascii="Times New Roman" w:cs="Times New Roman" w:eastAsia="Times New Roman" w:hAnsi="Times New Roman"/>
          <w:sz w:val="18"/>
          <w:szCs w:val="18"/>
          <w:color w:val="auto"/>
        </w:rPr>
        <w:t>Expenses associated with implementation of the cost saving initiatives were completed in the second quarter of 2013 and have been reflected in our financial results. These implementation expenses were approximately: $38 million in the second quarter of 2013; $26 million in the first quarter of 2013; and $103 million in the fourth quarter of 2012, for a total of approximately $167 million.</w:t>
      </w:r>
    </w:p>
    <w:p>
      <w:pPr>
        <w:spacing w:after="0" w:line="132" w:lineRule="exact"/>
        <w:rPr>
          <w:sz w:val="20"/>
          <w:szCs w:val="20"/>
          <w:color w:val="auto"/>
        </w:rPr>
      </w:pPr>
    </w:p>
    <w:p>
      <w:pPr>
        <w:ind w:right="280" w:firstLine="456"/>
        <w:spacing w:after="0" w:line="310" w:lineRule="auto"/>
        <w:rPr>
          <w:sz w:val="20"/>
          <w:szCs w:val="20"/>
          <w:color w:val="auto"/>
        </w:rPr>
      </w:pPr>
      <w:r>
        <w:rPr>
          <w:rFonts w:ascii="Times New Roman" w:cs="Times New Roman" w:eastAsia="Times New Roman" w:hAnsi="Times New Roman"/>
          <w:sz w:val="16"/>
          <w:szCs w:val="16"/>
          <w:color w:val="auto"/>
        </w:rPr>
        <w:t>The cost saving initiatives are intended to improve our profitability with minimal impact on revenue growth. The initiatives include: streamlining our corporate structure and consolidating support functions; realigning our investments into areas with potential for the greatest long-term return; the settlement of certain contractual obligations; occupancy cost reduction; and creating greater flexibility to retain and attract the best people and invest in new growth areas.</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14 of Notes to Condensed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Overview</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94"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The majority of Lazard’s Financial Advisory net revenue historically has been earned from the successful completion of M&amp;A transactions, strategic advisory matters, restructuring and capital structure advisory services,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and for referring opportunities to LFCM Holdings for underwriting, distribution and placement of securities. The referral fees received from LFCM Holdings are generally one-half of the revenue recorded by LFCM Holdings in respect of such activities.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43" w:lineRule="exact"/>
        <w:rPr>
          <w:sz w:val="20"/>
          <w:szCs w:val="20"/>
          <w:color w:val="auto"/>
        </w:rPr>
      </w:pPr>
    </w:p>
    <w:p>
      <w:pPr>
        <w:ind w:firstLine="456"/>
        <w:spacing w:after="0" w:line="287" w:lineRule="auto"/>
        <w:rPr>
          <w:sz w:val="20"/>
          <w:szCs w:val="20"/>
          <w:color w:val="auto"/>
        </w:rPr>
      </w:pPr>
      <w:r>
        <w:rPr>
          <w:rFonts w:ascii="Times New Roman" w:cs="Times New Roman" w:eastAsia="Times New Roman" w:hAnsi="Times New Roman"/>
          <w:sz w:val="16"/>
          <w:szCs w:val="16"/>
          <w:color w:val="auto"/>
        </w:rPr>
        <w:t>Lazard’s Asset Management segment principally includes LAM,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alternative investment funds, such as hedge funds and private equity funds, and lower fees earned on fixed income and cash management products.</w:t>
      </w:r>
    </w:p>
    <w:p>
      <w:pPr>
        <w:spacing w:after="0" w:line="331"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The Company earns performance-based incentive fees on various investment products, including traditional products and alternative investment funds, such as hedge funds and private equity funds.</w:t>
      </w:r>
    </w:p>
    <w:p>
      <w:pPr>
        <w:spacing w:after="0" w:line="120" w:lineRule="exact"/>
        <w:rPr>
          <w:sz w:val="20"/>
          <w:szCs w:val="20"/>
          <w:color w:val="auto"/>
        </w:rPr>
      </w:pPr>
    </w:p>
    <w:p>
      <w:pPr>
        <w:ind w:right="400" w:firstLine="456"/>
        <w:spacing w:after="0" w:line="255" w:lineRule="auto"/>
        <w:rPr>
          <w:sz w:val="20"/>
          <w:szCs w:val="20"/>
          <w:color w:val="auto"/>
        </w:rPr>
      </w:pPr>
      <w:r>
        <w:rPr>
          <w:rFonts w:ascii="Times New Roman" w:cs="Times New Roman" w:eastAsia="Times New Roman" w:hAnsi="Times New Roman"/>
          <w:sz w:val="18"/>
          <w:szCs w:val="18"/>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3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36"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Corporate segment net revenue consists primarily of investment gains and losses on the Company’s “seed investments” related to our Asset Management business, principal investments in private equity funds and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455" w:right="2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“equity method” investments, net hedging activities, as well as gains and losses on investments held in connection with Lazard Fund Interests and on the extinguishment of debt (to the extent applicable), interest income and interest expense. Corporate net revenue also can fluctuate due to changes in the fair value of investments classified as “trading”, as well as due to changes in interest and currency exchange rates and in the levels of cash, investments and indebtedness. The Company holds no “available-for-sale” or “held-to-maturity” investments.</w:t>
      </w:r>
    </w:p>
    <w:p>
      <w:pPr>
        <w:spacing w:after="0" w:line="136" w:lineRule="exact"/>
        <w:rPr>
          <w:sz w:val="20"/>
          <w:szCs w:val="20"/>
          <w:color w:val="auto"/>
        </w:rPr>
      </w:pPr>
    </w:p>
    <w:p>
      <w:pPr>
        <w:ind w:right="140" w:firstLine="456"/>
        <w:spacing w:after="0" w:line="310" w:lineRule="auto"/>
        <w:rPr>
          <w:sz w:val="20"/>
          <w:szCs w:val="20"/>
          <w:color w:val="auto"/>
        </w:rPr>
      </w:pPr>
      <w:r>
        <w:rPr>
          <w:rFonts w:ascii="Times New Roman" w:cs="Times New Roman" w:eastAsia="Times New Roman" w:hAnsi="Times New Roman"/>
          <w:sz w:val="16"/>
          <w:szCs w:val="16"/>
          <w:color w:val="auto"/>
        </w:rPr>
        <w:t>Although Corporate segment net revenue during the first nine months of 2013 represented (3)% of Lazard’s net revenue, total assets in the Corporate segment represented 56% of Lazard’s consolidated total assets as of September 30, 2013, which are attributable to investments in government bonds and money market funds, fixed income funds, alternative investment funds and other securities, private equity investments, cash and assets associated with LFB.</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9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2005 Equity Incentive Plan (the “2005 Plan”) and the Lazard Ltd 2008 Incentive Compensation Plan (the “2008 Plan”) and (b) Lazard Fund Interests awards and other similar deferred compensation arrangements (see Note 12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competitive pay conditions and the nature of revenues earned, as well as the mix between current and deferred compensation.</w:t>
      </w:r>
    </w:p>
    <w:p>
      <w:pPr>
        <w:spacing w:after="0" w:line="138"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3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believe that “awarded compensation and benefits expense” and the ratio of “awarded compensation and benefits expense” to “operating revenue,” both non-U.S. GAAP measures, are the most appropriate measures to assess the actual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as modified by the following items:</w:t>
      </w:r>
    </w:p>
    <w:p>
      <w:pPr>
        <w:spacing w:after="0" w:line="55" w:lineRule="exact"/>
        <w:rPr>
          <w:sz w:val="20"/>
          <w:szCs w:val="20"/>
          <w:color w:val="auto"/>
        </w:rPr>
      </w:pPr>
    </w:p>
    <w:p>
      <w:pPr>
        <w:ind w:left="900" w:hanging="325"/>
        <w:spacing w:after="0" w:line="275"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deduct amortization expense recorded for U.S. GAAP purposes in each fiscal year associated with the vesting of deferred incentive compensation awards,</w:t>
      </w:r>
    </w:p>
    <w:p>
      <w:pPr>
        <w:spacing w:after="0" w:line="38" w:lineRule="exact"/>
        <w:rPr>
          <w:rFonts w:ascii="Times New Roman" w:cs="Times New Roman" w:eastAsia="Times New Roman" w:hAnsi="Times New Roman"/>
          <w:sz w:val="18"/>
          <w:szCs w:val="18"/>
          <w:color w:val="auto"/>
        </w:rPr>
      </w:pPr>
    </w:p>
    <w:p>
      <w:pPr>
        <w:ind w:left="900" w:right="100" w:hanging="325"/>
        <w:spacing w:after="0" w:line="258"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add (i) the grant date fair value of the deferred incentive compensation awards granted applicable to the relevant year-end compensation process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grant date fair value of deferred incentive awards granted in 2013, 2012 and 2011 related to the 2012, 2011 and 2010 year-end compensation processes, respectively) and (ii) investments in people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“sign-on” bonuses) and other special deferred incentive awards granted throughout the applicable year, with such amounts in (i) and (ii) reduced by an estimate of future forfeitures of such awards, and</w:t>
      </w:r>
    </w:p>
    <w:p>
      <w:pPr>
        <w:spacing w:after="0" w:line="5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adjust for year-end foreign exchange fluctuations.</w:t>
      </w:r>
    </w:p>
    <w:p>
      <w:pPr>
        <w:spacing w:after="0" w:line="171"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Compensation and benefits expense is the largest component of our operating expenses. Our goal is for awarded compensation and benefits expense to rise at a slower rate than operating revenue growth, and if</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455" w:right="2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operating revenue declines, awarded compensation and benefits expense should also decline. In addition, we seek to maintain discipline with respect to the rate at which we award deferred compensation. Based on a similar level and mix of revenues from our business as in 2012 and a gradual improvement in the macroeconomic environment, we believe that over the cycle we can attain a ratio of awarded compensation and benefits expense to operating revenue in the mid-to-high-50s percentage range, which compares to 59.3% for the year ended December 31, 2012. While we have implemented initiatives, including the cost saving initiatives announced in October 2012 (see “Cost Saving Initiatives” above), that we believe will assist us in attaining a ratio within this range, there can be no guarantee that such a ratio will be attained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changes in the mix of revenues from our businesses or various other factors could prevent us from attaining this goal.</w:t>
      </w:r>
    </w:p>
    <w:p>
      <w:pPr>
        <w:spacing w:after="0" w:line="143"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Lazard’s operating expenses also include “non-compensation expense” (which includes costs for occupancy and equipment, marketing and business development, technology and information services, professional services, fund administration and outsourced services and other expenses), amortization of intangible assets related to acquisitions and, in the 2012 and 2013 periods, the relevant portions of the expense relating to the first quarter 2012 staff reductions and the implementation of the cost saving initiatives. Amortization of intangible assets relates primarily to the acquisition of Edgewater.</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94"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taxes because taxes associated with such income represent obligations of the individual partners. Outside the U.S., Lazard Group operates principally through corporations and is subject to local income taxes. Income taxes shown on Lazard’s consolidated statements of operations are principally related to foreign taxes from non-U.S. entities and to New York City Unincorporated Business Tax (“UBT”) attributable to Lazard’s operations apportioned to New York City.</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94"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Noncontrolling interests primarily relate to the amount attributable to Edgewater’s management vehicles that the Company is deemed to control but not own. See Note 11 of Notes to Condensed Consolidated Financial Statements for information regarding the Company’s noncontrolling interests.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9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Lazard’s consolidated financial statements are presented in U.S. Dollars. Many of our non-U.S. subsidiaries have a functional currency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Foreign currency remeasurement gains and losses on transactions in non-functional currencies are included in the consolidated statements of operations.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455" w:right="2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conformity with accounting principles generally accepted in the United States of America (“U.S. GAAP”). Selected financial data from the Company’s reported condensed consolidated results of operations is set forth below, followed by a more detailed discussion of both the consolidated and business segment results.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gridSpan w:val="5"/>
          </w:tcPr>
          <w:p>
            <w:pPr>
              <w:jc w:val="right"/>
              <w:ind w:right="10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240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2013</w:t>
            </w: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2012</w:t>
            </w: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2013</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80" w:type="dxa"/>
            <w:vAlign w:val="bottom"/>
            <w:gridSpan w:val="4"/>
          </w:tcPr>
          <w:p>
            <w:pPr>
              <w:jc w:val="right"/>
              <w:ind w:right="1240"/>
              <w:spacing w:after="0" w:line="155" w:lineRule="exact"/>
              <w:rPr>
                <w:sz w:val="20"/>
                <w:szCs w:val="20"/>
                <w:color w:val="auto"/>
              </w:rPr>
            </w:pPr>
            <w:r>
              <w:rPr>
                <w:rFonts w:ascii="Times New Roman" w:cs="Times New Roman" w:eastAsia="Times New Roman" w:hAnsi="Times New Roman"/>
                <w:sz w:val="14"/>
                <w:szCs w:val="14"/>
                <w:b w:val="1"/>
                <w:bCs w:val="1"/>
                <w:color w:val="auto"/>
                <w:w w:val="96"/>
              </w:rPr>
              <w:t>($ in thousands)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479,969</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429,311</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1,371,480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4"/>
              </w:rPr>
              <w:t>1,346,776</w:t>
            </w:r>
          </w:p>
        </w:tc>
        <w:tc>
          <w:tcPr>
            <w:tcW w:w="0" w:type="dxa"/>
            <w:vAlign w:val="bottom"/>
          </w:tcPr>
          <w:p>
            <w:pPr>
              <w:spacing w:after="0"/>
              <w:rPr>
                <w:sz w:val="1"/>
                <w:szCs w:val="1"/>
                <w:color w:val="auto"/>
              </w:rPr>
            </w:pPr>
          </w:p>
        </w:tc>
      </w:tr>
      <w:tr>
        <w:trPr>
          <w:trHeight w:val="330"/>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301,795</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283,805</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910,638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905,488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Non-compensation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96,227</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95,512</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313,854</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309,584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 of intangible assets related to acquisitions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398,899</w:t>
            </w:r>
          </w:p>
        </w:tc>
        <w:tc>
          <w:tcPr>
            <w:tcW w:w="7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381,811</w:t>
            </w:r>
          </w:p>
        </w:tc>
        <w:tc>
          <w:tcPr>
            <w:tcW w:w="7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1,227,250</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1,221,244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81,070</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144,230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125,532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12,252</w:t>
            </w:r>
          </w:p>
        </w:tc>
        <w:tc>
          <w:tcPr>
            <w:tcW w:w="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10,769</w:t>
            </w:r>
          </w:p>
        </w:tc>
        <w:tc>
          <w:tcPr>
            <w:tcW w:w="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22,053</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68,818</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36,731</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122,177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99,394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Less – Net Income (Loss) Attributable to Noncontrolling Interests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572"/>
              <w:spacing w:after="0"/>
              <w:rPr>
                <w:sz w:val="20"/>
                <w:szCs w:val="20"/>
                <w:color w:val="auto"/>
              </w:rPr>
            </w:pPr>
            <w:r>
              <w:rPr>
                <w:rFonts w:ascii="Times New Roman" w:cs="Times New Roman" w:eastAsia="Times New Roman" w:hAnsi="Times New Roman"/>
                <w:sz w:val="18"/>
                <w:szCs w:val="18"/>
                <w:color w:val="auto"/>
              </w:rPr>
              <w:t>(1,565)</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Lazard Group</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66,718</w:t>
            </w:r>
          </w:p>
        </w:tc>
        <w:tc>
          <w:tcPr>
            <w:tcW w:w="7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38,296</w:t>
            </w:r>
          </w:p>
        </w:tc>
        <w:tc>
          <w:tcPr>
            <w:tcW w:w="7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117,716</w:t>
            </w: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As A % Of Net Revenue</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18"/>
                <w:szCs w:val="18"/>
                <w:color w:val="auto"/>
              </w:rPr>
            </w:pPr>
          </w:p>
        </w:tc>
        <w:tc>
          <w:tcPr>
            <w:tcW w:w="1280" w:type="dxa"/>
            <w:vAlign w:val="bottom"/>
            <w:gridSpan w:val="2"/>
          </w:tcPr>
          <w:p>
            <w:pPr>
              <w:jc w:val="right"/>
              <w:ind w:right="472"/>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40" w:firstLine="456"/>
        <w:spacing w:after="0" w:line="262" w:lineRule="auto"/>
        <w:rPr>
          <w:sz w:val="20"/>
          <w:szCs w:val="20"/>
          <w:color w:val="auto"/>
        </w:rPr>
      </w:pPr>
      <w:r>
        <w:rPr>
          <w:rFonts w:ascii="Times New Roman" w:cs="Times New Roman" w:eastAsia="Times New Roman" w:hAnsi="Times New Roman"/>
          <w:sz w:val="18"/>
          <w:szCs w:val="18"/>
          <w:color w:val="auto"/>
        </w:rPr>
        <w:t>The tables below describe the components of operating revenue, adjusted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60" w:type="dxa"/>
            <w:vAlign w:val="bottom"/>
            <w:gridSpan w:val="6"/>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222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60" w:type="dxa"/>
            <w:vAlign w:val="bottom"/>
            <w:gridSpan w:val="6"/>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22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60" w:type="dxa"/>
            <w:vAlign w:val="bottom"/>
            <w:tcBorders>
              <w:top w:val="single" w:sz="8" w:color="auto"/>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6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320" w:type="dxa"/>
            <w:vAlign w:val="bottom"/>
            <w:gridSpan w:val="6"/>
          </w:tcPr>
          <w:p>
            <w:pPr>
              <w:jc w:val="right"/>
              <w:ind w:right="780"/>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revenue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$479,969</w:t>
            </w:r>
          </w:p>
        </w:tc>
        <w:tc>
          <w:tcPr>
            <w:tcW w:w="5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1"/>
              </w:rPr>
              <w:t>$ 429,311</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6"/>
              </w:rPr>
              <w:t>$1,371,480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$1,346,776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(deduct):</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Other interest expense (a)</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21,758</w:t>
            </w:r>
          </w:p>
        </w:tc>
        <w:tc>
          <w:tcPr>
            <w:tcW w:w="5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22,707</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65,529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67,641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Revenue related to noncontrolling interests (b)</w:t>
            </w: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(3,994)</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(1,193)</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(10,774)</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(Gains) losses on investments pertaining to Lazard Fund Interests (c)</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(7,519)</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(4,728)</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(7,767)</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490,214</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446,097</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1,418,468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1,399,637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20" w:hanging="452"/>
        <w:spacing w:after="0" w:line="257"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(excluding interest expense incurred by LFB) is added back in determining operating revenue because such expense is not considered to be a cost directly related to the revenue of our business.</w:t>
      </w:r>
    </w:p>
    <w:p>
      <w:pPr>
        <w:spacing w:after="0" w:line="1" w:lineRule="exact"/>
        <w:rPr>
          <w:rFonts w:ascii="Times New Roman" w:cs="Times New Roman" w:eastAsia="Times New Roman" w:hAnsi="Times New Roman"/>
          <w:sz w:val="18"/>
          <w:szCs w:val="18"/>
          <w:color w:val="auto"/>
        </w:rPr>
      </w:pPr>
    </w:p>
    <w:p>
      <w:pPr>
        <w:ind w:left="460" w:right="60" w:hanging="452"/>
        <w:spacing w:after="0" w:line="250"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related to the consolidation of noncontrolling interests is excluded from operating revenue because the Company has no economic interest in such amount.</w:t>
      </w:r>
    </w:p>
    <w:p>
      <w:pPr>
        <w:ind w:left="460" w:right="580" w:hanging="452"/>
        <w:spacing w:after="0" w:line="323" w:lineRule="auto"/>
        <w:tabs>
          <w:tab w:leader="none" w:pos="4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fair value of investments held in connection with Lazard Fund Interests and other similar deferred compensation arrangements that correspond to changes in the value of the related compensation liability, which is recorded within compensation and benefits expense, are excluded.</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65"/>
        </w:trPr>
        <w:tc>
          <w:tcPr>
            <w:tcW w:w="11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2012</w:t>
            </w: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2012</w:t>
            </w:r>
          </w:p>
        </w:tc>
        <w:tc>
          <w:tcPr>
            <w:tcW w:w="20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Compensation and Benefits Expense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compensation and benefits expense</w:t>
            </w:r>
          </w:p>
        </w:tc>
        <w:tc>
          <w:tcPr>
            <w:tcW w:w="4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301,795</w:t>
            </w:r>
          </w:p>
        </w:tc>
        <w:tc>
          <w:tcPr>
            <w:tcW w:w="380" w:type="dxa"/>
            <w:vAlign w:val="bottom"/>
          </w:tcPr>
          <w:p>
            <w:pPr>
              <w:spacing w:after="0"/>
              <w:rPr>
                <w:sz w:val="18"/>
                <w:szCs w:val="18"/>
                <w:color w:val="auto"/>
              </w:rPr>
            </w:pPr>
          </w:p>
        </w:tc>
        <w:tc>
          <w:tcPr>
            <w:tcW w:w="54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283,805</w:t>
            </w:r>
          </w:p>
        </w:tc>
        <w:tc>
          <w:tcPr>
            <w:tcW w:w="380" w:type="dxa"/>
            <w:vAlign w:val="bottom"/>
          </w:tcPr>
          <w:p>
            <w:pPr>
              <w:spacing w:after="0"/>
              <w:rPr>
                <w:sz w:val="18"/>
                <w:szCs w:val="18"/>
                <w:color w:val="auto"/>
              </w:rPr>
            </w:pPr>
          </w:p>
        </w:tc>
        <w:tc>
          <w:tcPr>
            <w:tcW w:w="4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910,638</w:t>
            </w:r>
          </w:p>
        </w:tc>
        <w:tc>
          <w:tcPr>
            <w:tcW w:w="54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905,488</w:t>
            </w: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Noncontrolling interests (a)</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(1,112)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(3,296)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(3,110)</w:t>
            </w:r>
          </w:p>
        </w:tc>
      </w:tr>
      <w:tr>
        <w:trPr>
          <w:trHeight w:val="202"/>
        </w:trPr>
        <w:tc>
          <w:tcPr>
            <w:tcW w:w="5540" w:type="dxa"/>
            <w:vAlign w:val="bottom"/>
            <w:gridSpan w:val="2"/>
            <w:shd w:val="clear" w:color="auto" w:fill="CCEEFF"/>
          </w:tcPr>
          <w:p>
            <w:pPr>
              <w:ind w:left="440"/>
              <w:spacing w:after="0" w:line="201" w:lineRule="exact"/>
              <w:rPr>
                <w:sz w:val="20"/>
                <w:szCs w:val="20"/>
                <w:color w:val="auto"/>
              </w:rPr>
            </w:pPr>
            <w:r>
              <w:rPr>
                <w:rFonts w:ascii="Times New Roman" w:cs="Times New Roman" w:eastAsia="Times New Roman" w:hAnsi="Times New Roman"/>
                <w:sz w:val="18"/>
                <w:szCs w:val="18"/>
                <w:color w:val="auto"/>
              </w:rPr>
              <w:t>(Charges) credits pertaining to Lazard Fund</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55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Interests (b)</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(7,519)</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(4,728)</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(7,767)</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(4,639)</w:t>
            </w:r>
          </w:p>
        </w:tc>
      </w:tr>
      <w:tr>
        <w:trPr>
          <w:trHeight w:val="216"/>
        </w:trPr>
        <w:tc>
          <w:tcPr>
            <w:tcW w:w="5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Costs related to staff reductions (c)</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(21,754)</w:t>
            </w:r>
          </w:p>
        </w:tc>
      </w:tr>
      <w:tr>
        <w:trPr>
          <w:trHeight w:val="216"/>
        </w:trPr>
        <w:tc>
          <w:tcPr>
            <w:tcW w:w="5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Cost saving initiatives (c)</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(51,399)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compensation and benefits expense</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293,164</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278,057</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848,176</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875,985</w:t>
            </w:r>
          </w:p>
        </w:tc>
        <w:tc>
          <w:tcPr>
            <w:tcW w:w="2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compensation and benefits expense, as a % of Operating Revenue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62.6%</w:t>
            </w:r>
          </w:p>
        </w:tc>
      </w:tr>
      <w:tr>
        <w:trPr>
          <w:trHeight w:val="20"/>
        </w:trPr>
        <w:tc>
          <w:tcPr>
            <w:tcW w:w="1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3" w:lineRule="exact"/>
        <w:rPr>
          <w:sz w:val="20"/>
          <w:szCs w:val="20"/>
          <w:color w:val="auto"/>
        </w:rPr>
      </w:pPr>
    </w:p>
    <w:p>
      <w:pPr>
        <w:ind w:left="460" w:right="460" w:hanging="452"/>
        <w:spacing w:after="0" w:line="257" w:lineRule="auto"/>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the consolidation of noncontrolling interests are excluded because, as is the case with operating revenue, Lazard has no economic interest in such amounts.</w:t>
      </w:r>
    </w:p>
    <w:p>
      <w:pPr>
        <w:spacing w:after="0" w:line="1" w:lineRule="exact"/>
        <w:rPr>
          <w:rFonts w:ascii="Times New Roman" w:cs="Times New Roman" w:eastAsia="Times New Roman" w:hAnsi="Times New Roman"/>
          <w:sz w:val="18"/>
          <w:szCs w:val="18"/>
          <w:color w:val="auto"/>
        </w:rPr>
      </w:pPr>
    </w:p>
    <w:p>
      <w:pPr>
        <w:ind w:left="460" w:right="200" w:hanging="452"/>
        <w:spacing w:after="0" w:line="250" w:lineRule="auto"/>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fair value of the derivative compensation liability recorded in connection with Lazard Fund Interests and other similar deferred compensation arrangements are excluded because such amounts correspond to the changes in the fair value of the underlying investments, which are excluded from operating revenue.</w:t>
      </w:r>
    </w:p>
    <w:p>
      <w:pPr>
        <w:spacing w:after="0" w:line="1" w:lineRule="exact"/>
        <w:rPr>
          <w:rFonts w:ascii="Times New Roman" w:cs="Times New Roman" w:eastAsia="Times New Roman" w:hAnsi="Times New Roman"/>
          <w:sz w:val="18"/>
          <w:szCs w:val="18"/>
          <w:color w:val="auto"/>
        </w:rPr>
      </w:pPr>
    </w:p>
    <w:p>
      <w:pPr>
        <w:jc w:val="both"/>
        <w:ind w:left="460" w:right="340" w:hanging="452"/>
        <w:spacing w:after="0" w:line="255" w:lineRule="auto"/>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related to the first quarter 2012 staff reductions and the cost saving initiatives for (i) severance costs and benefit payments; (ii) the acceleration of unrecognized amortization expense of deferred incentive compensation previously granted to individuals whose employment was being terminated and (iii) the settlement of certain contractual obligations.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2012</w:t>
            </w:r>
          </w:p>
        </w:tc>
        <w:tc>
          <w:tcPr>
            <w:tcW w:w="6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Non-Compensation Expense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non-compensation expense</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96,227</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95,512</w:t>
            </w:r>
          </w:p>
        </w:tc>
        <w:tc>
          <w:tcPr>
            <w:tcW w:w="60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313,854</w:t>
            </w:r>
          </w:p>
        </w:tc>
        <w:tc>
          <w:tcPr>
            <w:tcW w:w="3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309,584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Noncontrolling interests (a)</w:t>
            </w:r>
          </w:p>
        </w:tc>
        <w:tc>
          <w:tcPr>
            <w:tcW w:w="2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(655)</w:t>
            </w:r>
          </w:p>
        </w:tc>
        <w:tc>
          <w:tcPr>
            <w:tcW w:w="2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(1,626)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Costs related to staff reductions (b)</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Cost saving initiatives (b)</w:t>
            </w:r>
          </w:p>
        </w:tc>
        <w:tc>
          <w:tcPr>
            <w:tcW w:w="2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(13,304)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non-compensation expense</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95,740</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94,857</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298,924</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304,725</w:t>
            </w: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Adjusted non-compensation expense, as a % of Operating Revenue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21.3%</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hanging="452"/>
        <w:spacing w:after="0" w:line="257" w:lineRule="auto"/>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the consolidation of noncontrolling interests are excluded because, as is the case with operating revenue, the Company has no economic interest in such amounts.</w:t>
      </w:r>
    </w:p>
    <w:p>
      <w:pPr>
        <w:spacing w:after="0" w:line="1" w:lineRule="exact"/>
        <w:rPr>
          <w:rFonts w:ascii="Times New Roman" w:cs="Times New Roman" w:eastAsia="Times New Roman" w:hAnsi="Times New Roman"/>
          <w:sz w:val="18"/>
          <w:szCs w:val="18"/>
          <w:color w:val="auto"/>
        </w:rPr>
      </w:pPr>
    </w:p>
    <w:p>
      <w:pPr>
        <w:ind w:left="460" w:right="400" w:hanging="452"/>
        <w:spacing w:after="0" w:line="261" w:lineRule="auto"/>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Non-compensation costs associated with the first quarter 2012 staff reductions and the cost saving initiatives are excluded to enhance comparability of adjusted non-compensation expense between present, historical and future periods.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60" w:type="dxa"/>
            <w:vAlign w:val="bottom"/>
            <w:gridSpan w:val="14"/>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gridSpan w:val="12"/>
          </w:tcPr>
          <w:p>
            <w:pPr>
              <w:jc w:val="center"/>
              <w:ind w:right="672"/>
              <w:spacing w:after="0"/>
              <w:rPr>
                <w:sz w:val="20"/>
                <w:szCs w:val="20"/>
                <w:color w:val="auto"/>
              </w:rPr>
            </w:pPr>
            <w:r>
              <w:rPr>
                <w:rFonts w:ascii="Times New Roman" w:cs="Times New Roman" w:eastAsia="Times New Roman" w:hAnsi="Times New Roman"/>
                <w:sz w:val="14"/>
                <w:szCs w:val="14"/>
                <w:b w:val="1"/>
                <w:bCs w:val="1"/>
                <w:color w:val="auto"/>
                <w:w w:val="96"/>
              </w:rPr>
              <w:t>Nine Months Ended</w:t>
            </w:r>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620" w:type="dxa"/>
            <w:vAlign w:val="bottom"/>
            <w:tcBorders>
              <w:bottom w:val="single" w:sz="8" w:color="auto"/>
            </w:tcBorders>
            <w:gridSpan w:val="4"/>
          </w:tcPr>
          <w:p>
            <w:pPr>
              <w:jc w:val="right"/>
              <w:ind w:right="4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3"/>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0" w:type="dxa"/>
            <w:vAlign w:val="bottom"/>
            <w:gridSpan w:val="10"/>
          </w:tcPr>
          <w:p>
            <w:pPr>
              <w:jc w:val="right"/>
              <w:ind w:right="762"/>
              <w:spacing w:after="0" w:line="142" w:lineRule="exact"/>
              <w:rPr>
                <w:sz w:val="20"/>
                <w:szCs w:val="20"/>
                <w:color w:val="auto"/>
              </w:rPr>
            </w:pPr>
            <w:r>
              <w:rPr>
                <w:rFonts w:ascii="Times New Roman" w:cs="Times New Roman" w:eastAsia="Times New Roman" w:hAnsi="Times New Roman"/>
                <w:sz w:val="14"/>
                <w:szCs w:val="14"/>
                <w:b w:val="1"/>
                <w:bCs w:val="1"/>
                <w:color w:val="auto"/>
                <w:w w:val="98"/>
              </w:rPr>
              <w:t>($ in thousands)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From Operations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w w:val="99"/>
              </w:rPr>
              <w:t>$ 490,214</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446,097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4"/>
              </w:rPr>
              <w:t>1,418,468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w w:val="97"/>
              </w:rPr>
              <w:t>1,399,637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Adjusted compensation and benefits expense</w:t>
            </w:r>
          </w:p>
        </w:tc>
        <w:tc>
          <w:tcPr>
            <w:tcW w:w="1180" w:type="dxa"/>
            <w:vAlign w:val="bottom"/>
            <w:gridSpan w:val="7"/>
          </w:tcPr>
          <w:p>
            <w:pPr>
              <w:jc w:val="right"/>
              <w:ind w:right="332"/>
              <w:spacing w:after="0"/>
              <w:rPr>
                <w:sz w:val="20"/>
                <w:szCs w:val="20"/>
                <w:color w:val="auto"/>
              </w:rPr>
            </w:pPr>
            <w:r>
              <w:rPr>
                <w:rFonts w:ascii="Times New Roman" w:cs="Times New Roman" w:eastAsia="Times New Roman" w:hAnsi="Times New Roman"/>
                <w:sz w:val="18"/>
                <w:szCs w:val="18"/>
                <w:color w:val="auto"/>
              </w:rPr>
              <w:t>(293,164)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6"/>
          </w:tcPr>
          <w:p>
            <w:pPr>
              <w:jc w:val="right"/>
              <w:ind w:right="26"/>
              <w:spacing w:after="0"/>
              <w:rPr>
                <w:sz w:val="20"/>
                <w:szCs w:val="20"/>
                <w:color w:val="auto"/>
              </w:rPr>
            </w:pPr>
            <w:r>
              <w:rPr>
                <w:rFonts w:ascii="Times New Roman" w:cs="Times New Roman" w:eastAsia="Times New Roman" w:hAnsi="Times New Roman"/>
                <w:sz w:val="18"/>
                <w:szCs w:val="18"/>
                <w:color w:val="auto"/>
                <w:w w:val="96"/>
              </w:rPr>
              <w:t>(278,057)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(848,176)</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5"/>
          </w:tcPr>
          <w:p>
            <w:pPr>
              <w:jc w:val="right"/>
              <w:ind w:right="52"/>
              <w:spacing w:after="0"/>
              <w:rPr>
                <w:sz w:val="20"/>
                <w:szCs w:val="20"/>
                <w:color w:val="auto"/>
              </w:rPr>
            </w:pPr>
            <w:r>
              <w:rPr>
                <w:rFonts w:ascii="Times New Roman" w:cs="Times New Roman" w:eastAsia="Times New Roman" w:hAnsi="Times New Roman"/>
                <w:sz w:val="18"/>
                <w:szCs w:val="18"/>
                <w:color w:val="auto"/>
              </w:rPr>
              <w:t>(875,985)</w:t>
            </w:r>
          </w:p>
        </w:tc>
        <w:tc>
          <w:tcPr>
            <w:tcW w:w="0" w:type="dxa"/>
            <w:vAlign w:val="bottom"/>
          </w:tcPr>
          <w:p>
            <w:pPr>
              <w:spacing w:after="0"/>
              <w:rPr>
                <w:sz w:val="1"/>
                <w:szCs w:val="1"/>
                <w:color w:val="auto"/>
              </w:rPr>
            </w:pPr>
          </w:p>
        </w:tc>
      </w:tr>
      <w:tr>
        <w:trPr>
          <w:trHeight w:val="216"/>
        </w:trPr>
        <w:tc>
          <w:tcPr>
            <w:tcW w:w="5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non-compensation expense</w:t>
            </w:r>
          </w:p>
        </w:tc>
        <w:tc>
          <w:tcPr>
            <w:tcW w:w="1180" w:type="dxa"/>
            <w:vAlign w:val="bottom"/>
            <w:gridSpan w:val="7"/>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(95,740)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6"/>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rPr>
              <w:t>(94,857)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(298,924)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(304,725)</w:t>
            </w:r>
          </w:p>
        </w:tc>
        <w:tc>
          <w:tcPr>
            <w:tcW w:w="0" w:type="dxa"/>
            <w:vAlign w:val="bottom"/>
          </w:tcPr>
          <w:p>
            <w:pPr>
              <w:spacing w:after="0"/>
              <w:rPr>
                <w:sz w:val="1"/>
                <w:szCs w:val="1"/>
                <w:color w:val="auto"/>
              </w:rPr>
            </w:pPr>
          </w:p>
        </w:tc>
      </w:tr>
      <w:tr>
        <w:trPr>
          <w:trHeight w:val="223"/>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Earnings from operations</w:t>
            </w:r>
          </w:p>
        </w:tc>
        <w:tc>
          <w:tcPr>
            <w:tcW w:w="74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w w:val="99"/>
              </w:rPr>
              <w:t>$ 101,310</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73,183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271,368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218,927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operations, as a % of Operating Revenue</w:t>
            </w:r>
          </w:p>
        </w:tc>
        <w:tc>
          <w:tcPr>
            <w:tcW w:w="1180" w:type="dxa"/>
            <w:vAlign w:val="bottom"/>
            <w:gridSpan w:val="7"/>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20.7%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6"/>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19.1%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240" w:type="dxa"/>
            <w:vAlign w:val="bottom"/>
            <w:gridSpan w:val="11"/>
          </w:tcPr>
          <w:p>
            <w:pPr>
              <w:ind w:left="460"/>
              <w:spacing w:after="0"/>
              <w:rPr>
                <w:sz w:val="20"/>
                <w:szCs w:val="20"/>
                <w:color w:val="auto"/>
              </w:rPr>
            </w:pPr>
            <w:r>
              <w:rPr>
                <w:rFonts w:ascii="Times New Roman" w:cs="Times New Roman" w:eastAsia="Times New Roman" w:hAnsi="Times New Roman"/>
                <w:sz w:val="18"/>
                <w:szCs w:val="18"/>
                <w:color w:val="auto"/>
              </w:rPr>
              <w:t>Certain additional key ratios and headcount information are set forth below:</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60" w:type="dxa"/>
            <w:vAlign w:val="bottom"/>
            <w:gridSpan w:val="14"/>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gridSpan w:val="9"/>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gridSpan w:val="11"/>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8"/>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7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a % of Net Revenue, by Revenue Category:</w:t>
            </w:r>
          </w:p>
        </w:tc>
        <w:tc>
          <w:tcPr>
            <w:tcW w:w="100" w:type="dxa"/>
            <w:vAlign w:val="bottom"/>
          </w:tcPr>
          <w:p>
            <w:pPr>
              <w:spacing w:after="0"/>
              <w:rPr>
                <w:sz w:val="12"/>
                <w:szCs w:val="12"/>
                <w:color w:val="auto"/>
              </w:rPr>
            </w:pPr>
          </w:p>
        </w:tc>
        <w:tc>
          <w:tcPr>
            <w:tcW w:w="52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4"/>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7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banking and other advisory fees</w:t>
            </w:r>
          </w:p>
        </w:tc>
        <w:tc>
          <w:tcPr>
            <w:tcW w:w="78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Money management fees</w:t>
            </w:r>
          </w:p>
        </w:tc>
        <w:tc>
          <w:tcPr>
            <w:tcW w:w="740" w:type="dxa"/>
            <w:vAlign w:val="bottom"/>
            <w:gridSpan w:val="5"/>
          </w:tcPr>
          <w:p>
            <w:pPr>
              <w:jc w:val="right"/>
              <w:ind w:right="42"/>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6"/>
          </w:tcPr>
          <w:p>
            <w:pPr>
              <w:jc w:val="right"/>
              <w:ind w:right="66"/>
              <w:spacing w:after="0"/>
              <w:rPr>
                <w:sz w:val="20"/>
                <w:szCs w:val="20"/>
                <w:color w:val="auto"/>
              </w:rPr>
            </w:pPr>
            <w:r>
              <w:rPr>
                <w:rFonts w:ascii="Times New Roman" w:cs="Times New Roman" w:eastAsia="Times New Roman" w:hAnsi="Times New Roman"/>
                <w:sz w:val="18"/>
                <w:szCs w:val="18"/>
                <w:color w:val="auto"/>
              </w:rPr>
              <w:t>50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6"/>
          </w:tcPr>
          <w:p>
            <w:pPr>
              <w:jc w:val="right"/>
              <w:ind w:right="82"/>
              <w:spacing w:after="0"/>
              <w:rPr>
                <w:sz w:val="20"/>
                <w:szCs w:val="20"/>
                <w:color w:val="auto"/>
              </w:rPr>
            </w:pPr>
            <w:r>
              <w:rPr>
                <w:rFonts w:ascii="Times New Roman" w:cs="Times New Roman" w:eastAsia="Times New Roman" w:hAnsi="Times New Roman"/>
                <w:sz w:val="18"/>
                <w:szCs w:val="18"/>
                <w:color w:val="auto"/>
              </w:rPr>
              <w:t>52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5"/>
          </w:tcPr>
          <w:p>
            <w:pPr>
              <w:jc w:val="right"/>
              <w:ind w:right="52"/>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5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740" w:type="dxa"/>
            <w:vAlign w:val="bottom"/>
            <w:gridSpan w:val="5"/>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6"/>
            <w:shd w:val="clear" w:color="auto" w:fill="CCEEFF"/>
          </w:tcPr>
          <w:p>
            <w:pPr>
              <w:jc w:val="right"/>
              <w:ind w:right="66"/>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6"/>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gridSpan w:val="5"/>
          </w:tcPr>
          <w:p>
            <w:pPr>
              <w:jc w:val="right"/>
              <w:ind w:right="42"/>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6"/>
          </w:tcPr>
          <w:p>
            <w:pPr>
              <w:jc w:val="right"/>
              <w:ind w:right="66"/>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6"/>
          </w:tcPr>
          <w:p>
            <w:pPr>
              <w:jc w:val="right"/>
              <w:ind w:right="82"/>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5"/>
          </w:tcPr>
          <w:p>
            <w:pPr>
              <w:jc w:val="right"/>
              <w:ind w:right="5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6"/>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6"/>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2"/>
        </w:trPr>
        <w:tc>
          <w:tcPr>
            <w:tcW w:w="57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Net Revenue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2"/>
              </w:rPr>
              <w:t>As Of</w:t>
            </w: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3"/>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5"/>
          </w:tcPr>
          <w:p>
            <w:pPr>
              <w:jc w:val="center"/>
              <w:ind w:right="340"/>
              <w:spacing w:after="0" w:line="125"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5"/>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4"/>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4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Headcount: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2013 (a)</w:t>
            </w:r>
          </w:p>
        </w:tc>
        <w:tc>
          <w:tcPr>
            <w:tcW w:w="80" w:type="dxa"/>
            <w:vAlign w:val="bottom"/>
          </w:tcPr>
          <w:p>
            <w:pPr>
              <w:spacing w:after="0"/>
              <w:rPr>
                <w:sz w:val="14"/>
                <w:szCs w:val="14"/>
                <w:color w:val="auto"/>
              </w:rPr>
            </w:pPr>
          </w:p>
        </w:tc>
        <w:tc>
          <w:tcPr>
            <w:tcW w:w="1320" w:type="dxa"/>
            <w:vAlign w:val="bottom"/>
            <w:gridSpan w:val="7"/>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4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Managing Directors: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Financial Advisory</w:t>
            </w:r>
          </w:p>
        </w:tc>
        <w:tc>
          <w:tcPr>
            <w:tcW w:w="1520" w:type="dxa"/>
            <w:vAlign w:val="bottom"/>
            <w:gridSpan w:val="8"/>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18"/>
                <w:szCs w:val="18"/>
                <w:color w:val="auto"/>
              </w:rPr>
            </w:pPr>
          </w:p>
        </w:tc>
        <w:tc>
          <w:tcPr>
            <w:tcW w:w="132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 Management</w:t>
            </w:r>
          </w:p>
        </w:tc>
        <w:tc>
          <w:tcPr>
            <w:tcW w:w="1520" w:type="dxa"/>
            <w:vAlign w:val="bottom"/>
            <w:gridSpan w:val="8"/>
          </w:tcPr>
          <w:p>
            <w:pPr>
              <w:jc w:val="right"/>
              <w:ind w:right="34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8"/>
                <w:szCs w:val="18"/>
                <w:color w:val="auto"/>
              </w:rPr>
            </w:pPr>
          </w:p>
        </w:tc>
        <w:tc>
          <w:tcPr>
            <w:tcW w:w="13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w:t>
            </w:r>
          </w:p>
        </w:tc>
        <w:tc>
          <w:tcPr>
            <w:tcW w:w="1520" w:type="dxa"/>
            <w:vAlign w:val="bottom"/>
            <w:gridSpan w:val="8"/>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c>
          <w:tcPr>
            <w:tcW w:w="132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Managing Directors</w:t>
            </w:r>
          </w:p>
        </w:tc>
        <w:tc>
          <w:tcPr>
            <w:tcW w:w="360" w:type="dxa"/>
            <w:vAlign w:val="bottom"/>
            <w:gridSpan w:val="3"/>
          </w:tcPr>
          <w:p>
            <w:pPr>
              <w:spacing w:after="0"/>
              <w:rPr>
                <w:sz w:val="18"/>
                <w:szCs w:val="18"/>
                <w:color w:val="auto"/>
              </w:rPr>
            </w:pPr>
          </w:p>
        </w:tc>
        <w:tc>
          <w:tcPr>
            <w:tcW w:w="8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spacing w:after="0"/>
              <w:rPr>
                <w:sz w:val="18"/>
                <w:szCs w:val="18"/>
                <w:color w:val="auto"/>
              </w:rPr>
            </w:pPr>
          </w:p>
        </w:tc>
        <w:tc>
          <w:tcPr>
            <w:tcW w:w="8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4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Employees: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Business segment professionals</w:t>
            </w:r>
          </w:p>
        </w:tc>
        <w:tc>
          <w:tcPr>
            <w:tcW w:w="1520" w:type="dxa"/>
            <w:vAlign w:val="bottom"/>
            <w:gridSpan w:val="8"/>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1,086</w:t>
            </w:r>
          </w:p>
        </w:tc>
        <w:tc>
          <w:tcPr>
            <w:tcW w:w="80" w:type="dxa"/>
            <w:vAlign w:val="bottom"/>
            <w:shd w:val="clear" w:color="auto" w:fill="CCEEFF"/>
          </w:tcPr>
          <w:p>
            <w:pPr>
              <w:spacing w:after="0"/>
              <w:rPr>
                <w:sz w:val="18"/>
                <w:szCs w:val="18"/>
                <w:color w:val="auto"/>
              </w:rPr>
            </w:pPr>
          </w:p>
        </w:tc>
        <w:tc>
          <w:tcPr>
            <w:tcW w:w="132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 other professionals and support staff</w:t>
            </w:r>
          </w:p>
        </w:tc>
        <w:tc>
          <w:tcPr>
            <w:tcW w:w="360" w:type="dxa"/>
            <w:vAlign w:val="bottom"/>
            <w:gridSpan w:val="3"/>
          </w:tcPr>
          <w:p>
            <w:pPr>
              <w:spacing w:after="0"/>
              <w:rPr>
                <w:sz w:val="19"/>
                <w:szCs w:val="19"/>
                <w:color w:val="auto"/>
              </w:rPr>
            </w:pPr>
          </w:p>
        </w:tc>
        <w:tc>
          <w:tcPr>
            <w:tcW w:w="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3"/>
          </w:tcPr>
          <w:p>
            <w:pPr>
              <w:spacing w:after="0"/>
              <w:rPr>
                <w:sz w:val="19"/>
                <w:szCs w:val="19"/>
                <w:color w:val="auto"/>
              </w:rPr>
            </w:pPr>
          </w:p>
        </w:tc>
        <w:tc>
          <w:tcPr>
            <w:tcW w:w="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gridSpan w:val="8"/>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2,405</w:t>
            </w:r>
          </w:p>
        </w:tc>
        <w:tc>
          <w:tcPr>
            <w:tcW w:w="80" w:type="dxa"/>
            <w:vAlign w:val="bottom"/>
            <w:shd w:val="clear" w:color="auto" w:fill="CCEEFF"/>
          </w:tcPr>
          <w:p>
            <w:pPr>
              <w:spacing w:after="0"/>
              <w:rPr>
                <w:sz w:val="18"/>
                <w:szCs w:val="18"/>
                <w:color w:val="auto"/>
              </w:rPr>
            </w:pPr>
          </w:p>
        </w:tc>
        <w:tc>
          <w:tcPr>
            <w:tcW w:w="132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80" w:hanging="452"/>
        <w:spacing w:after="0" w:line="275"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2013, most of the headcount reductions relating to the cost saving initiatives have been completed, with the remainder expected in the fourth quarter. Such reductions may be partially offset by additional investments and, in the case of managing directors, promotions.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90" w:lineRule="exact"/>
        <w:rPr>
          <w:sz w:val="20"/>
          <w:szCs w:val="20"/>
          <w:color w:val="auto"/>
        </w:rPr>
      </w:pPr>
    </w:p>
    <w:p>
      <w:pPr>
        <w:ind w:right="22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2013 versus September 30, 2012</w:t>
      </w:r>
    </w:p>
    <w:p>
      <w:pPr>
        <w:spacing w:after="0" w:line="94"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The Company reported net income attributable to Lazard Group in the 2013 period of $67 million, as compared to net income of $38 million in the 2012 period. The changes in the Company’s operating results during these periods are described below.</w:t>
      </w:r>
    </w:p>
    <w:p>
      <w:pPr>
        <w:spacing w:after="0" w:line="12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Net revenue in the 2013 period increased $51 million, or 12%, with operating revenue increasing $44 million, or 10%, as compared to the 2012 period. Fee revenue from investment banking and other advisory activities increased $14 million, or 6%, primarily due to increases in M&amp;A and Other Advisory fees and Restructuring revenue. The increase in M&amp;A and Other Advisory fee revenue was primarily due to an increase in average fees paid in respect of transactions involving fees greater than $1 million. The increase in Restructuring revenue reflected the closing of several large assignments in the 2013 period. Money management fees, including incentive fees, increased $27 million, or 12%, primarily reflecting a $15 billion, or 10%, increase in average AUM as compared to the 2012 period. In the aggregate, interest income, other revenue and interest expense increased $10 million as compared to the 2012 period, primarily due to higher investment income in the 2013 period.</w:t>
      </w:r>
    </w:p>
    <w:p>
      <w:pPr>
        <w:spacing w:after="0" w:line="141"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Compensation and benefits expense in the 2013 period increased $18 million, or 6%, compared to the 2012 period. Factors contributing to the increase included higher compensation costs driven by the increase in operating revenue, partially offset by lower headcount related to the cost saving initiatives and reduced amortization expense in the 2013 period associated with deferred incentive compensation awards related to 2008 deferred incentive compensation (the “2008 grant”). As described below, the 2008 grant, which had a comparatively longer, four year vesting period, affected amortization expense for the full year of 2012 but was fully vested as of March 1, 2013.</w:t>
      </w:r>
    </w:p>
    <w:p>
      <w:pPr>
        <w:spacing w:after="0" w:line="139" w:lineRule="exact"/>
        <w:rPr>
          <w:sz w:val="20"/>
          <w:szCs w:val="20"/>
          <w:color w:val="auto"/>
        </w:rPr>
      </w:pPr>
    </w:p>
    <w:p>
      <w:pPr>
        <w:ind w:right="200" w:firstLine="456"/>
        <w:spacing w:after="0" w:line="254" w:lineRule="auto"/>
        <w:rPr>
          <w:sz w:val="20"/>
          <w:szCs w:val="20"/>
          <w:color w:val="auto"/>
        </w:rPr>
      </w:pPr>
      <w:r>
        <w:rPr>
          <w:rFonts w:ascii="Times New Roman" w:cs="Times New Roman" w:eastAsia="Times New Roman" w:hAnsi="Times New Roman"/>
          <w:sz w:val="18"/>
          <w:szCs w:val="18"/>
          <w:color w:val="auto"/>
        </w:rPr>
        <w:t>Adjusted compensation and benefits expense (which excludes certain items and which we believe allows for improved comparability between interim periods, as described above), was $293 million in the 2013 period, an increase of $15 million, or 5%, when compared to $278 million in the 2012 period. The ratio of adjusted compensation and benefits expense to operating revenue was 59.8% for the 2013 period, as compared to 62.3% for the 2012 period. The third quarter 2013 ratio of adjusted compensation and benefits expense to operating revenue assumes, based on current market conditions, a ratio of awarded compensation and benefits expense to operating revenue of approximately 58.5% for the full year of 2013, as compared to 59.3% for the full year of 2012. As described above, when analyzing compensation and benefits expense on a full year basis, we believe that awarded compensation and benefits expense provides the most meaningful basis for comparison of compensation and benefits expense between present, historical and future years.</w:t>
      </w:r>
    </w:p>
    <w:p>
      <w:pPr>
        <w:spacing w:after="0" w:line="141"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Non-compensation expense in the 2013 period remained substantially unchanged as compared to the 2012 period. When excluding non-compensation costs relating to noncontrolling interests, adjusted non-compensation expense in the 2013 period increased $1 million, or 1%, compared to the 2012 period. During the 2013 period, increases in (i) professional fees, (ii) occupancy costs and (iii) mutual fund servicing fees primarily related to the increase in AUM, were partially offset by decreases in marketing and business development expense associated with lower expenses for travel, and technology expense for market data and telecommunications. The ratio of adjusted non-compensation expense to operating revenue was 19.5% in the 2013 period versus 21.3% in the 2012 period.</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of intangible assets decreased by $2 million as compared to the 2012 period.</w:t>
      </w:r>
    </w:p>
    <w:p>
      <w:pPr>
        <w:spacing w:after="0" w:line="171" w:lineRule="exact"/>
        <w:rPr>
          <w:sz w:val="20"/>
          <w:szCs w:val="20"/>
          <w:color w:val="auto"/>
        </w:rPr>
      </w:pPr>
    </w:p>
    <w:p>
      <w:pPr>
        <w:ind w:right="720" w:firstLine="456"/>
        <w:spacing w:after="0" w:line="275" w:lineRule="auto"/>
        <w:rPr>
          <w:sz w:val="20"/>
          <w:szCs w:val="20"/>
          <w:color w:val="auto"/>
        </w:rPr>
      </w:pPr>
      <w:r>
        <w:rPr>
          <w:rFonts w:ascii="Times New Roman" w:cs="Times New Roman" w:eastAsia="Times New Roman" w:hAnsi="Times New Roman"/>
          <w:sz w:val="18"/>
          <w:szCs w:val="18"/>
          <w:color w:val="auto"/>
        </w:rPr>
        <w:t>Operating income in the 2013 period increased $34 million, or 71%, as compared to operating income in the 2012 period. Operating income, as a percentage of net revenue, was 16.9%, as compared to 11.1% in the 2012 period.</w:t>
      </w:r>
    </w:p>
    <w:p>
      <w:pPr>
        <w:spacing w:after="0" w:line="120"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Earnings from operations increased $28 million, or 38%, when compared to the 2012 period, and, as a percentage of operating revenue, was 20.7% in the 2013 period, as compared to 16.4% in the 2012 period.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455" w:right="2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 provision for income taxes increased $1 million, or 14%, when compared to the 2012 period, and reflected an effective tax rate of 15.1%, as compared to 22.7% for the 2012 period. The decrease in the effective tax rate is primarily reflective of the change in the geographic mix of earnings.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income attributable to noncontrolling interests increased $4 million in the 2013 period.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2013 versus September 30, 2012</w:t>
      </w:r>
    </w:p>
    <w:p>
      <w:pPr>
        <w:spacing w:after="0" w:line="94"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Company reported net income attributable to Lazard Group in the 2013 period of $118 million, as compared to net income of $97 million in the 2012 period. The changes in the Company’s operating results during these periods are described below.</w:t>
      </w:r>
    </w:p>
    <w:p>
      <w:pPr>
        <w:spacing w:after="0" w:line="120"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Net revenue in the 2013 period increased $25 million, or 2%, with operating revenue increasing $19 million, or 1%, as compared to the 2012 period. Fee revenue from investment banking and other advisory activities decreased $72 million, or 10%, primarily due to decreases in M&amp;A and Other Advisory fees and Restructuring revenue. The decrease in M&amp;A and Other Advisory fee revenue was primarily due to a lower number of transactions involving fees greater than $1 million in the 2013 period as compared to the 2012 period. The 2012 period included significant fees related to our sovereign advisory and middle market businesses. The decline in Restructuring revenue was attributable to the closing of several large assignments in the first nine months of 2012, and is consistent with the industry-wide low level of corporate restructuring activity. Money management fees, including incentive fees, increased $86 million, or 14%, principally reflecting a $17 billion, or 11%, increase in average AUM as compared to the 2012 period. In the aggregate, interest income, other revenue and interest expense reflected an increase in net revenue of $10 million as compared to the 2012 period. Such increase was primarily due to higher commission revenue as a result of increased market activity in the 2013 period.</w:t>
      </w:r>
    </w:p>
    <w:p>
      <w:pPr>
        <w:spacing w:after="0" w:line="143"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Compensation and benefits expense in the 2013 period increased $5 million, or 1%, compared to the 2012 period, and included a $51 million charge related to the cost saving initiatives, as compared to a $22 million charge in the 2012 period related to staff reductions. Excluding such charges, compensation and benefits expense decreased $24 million, or 3%, driven by lower headcount related to the cost saving initiatives and, as described below, reduced amortization expense related to the 2008 grant.</w:t>
      </w:r>
    </w:p>
    <w:p>
      <w:pPr>
        <w:spacing w:after="0" w:line="136"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Adjusted compensation and benefits expense (which excludes certain items and which we believe allows for improved comparability between interim periods, as described above), was $848 million in the 2013 period, a decrease of $28 million, or 3%, when compared to $876 million in the 2012 period. The ratio of adjusted compensation and benefits expense to operating revenue was 59.8% for the 2013 period, as compared to 62.6% for the 2012 period. The ratio of adjusted compensation and benefits expense to operating revenue assumes, based on current market conditions, a ratio of awarded compensation and benefits expense to operating revenue of approximately 58.5% for the full year of 2013, as compared to 59.3% for the full year of 2012. As described above, when analyzing compensation and benefits expense on a full year basis, we believe that awarded compensation and benefits expense provides the most meaningful basis for comparison of compensation and benefits expense between present, historical and future years.</w:t>
      </w:r>
    </w:p>
    <w:p>
      <w:pPr>
        <w:spacing w:after="0" w:line="14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currently expect that amortization of deferred incentive compensation awards, which primarily results from compensation awards related to 2010, 2011 and 2012 deferred compensation, will approximate $302 million for the full year of 2013, a decrease of $33 million as compared to $335 million for the year ended December 31, 2012. The expected reduction is primarily related to the 2008 grant. The 2008 grant had a comparatively longer, four-year vesting period and, together with compensation awards related to 2009, 2010 and 2011 deferred compensation, affected amortization expense for the full year of 2012. The 2008 grant was fully vested on March 1, 2013.</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00"/>
          </w:cols>
          <w:pgMar w:left="240" w:top="455" w:right="2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Non-compensation expense in the 2013 period increased $4 million, or 1%, as compared to the 2012 period and included a charge of $13 million related to the cost saving initiatives, as compared to a charge of $3 million associated with the staff reductions in the first nine months of 2012. When excluding such charges, as well as non-compensation costs relating to noncontrolling interests, adjusted non-compensation expense in the 2013 period decreased $6 million, or 2%, as compared to the 2012 period, primarily due to decreases in (i) marketing and business development expense associated with lower expenses for travel and other business development (ii) technology expense for telecommunications and market data and (iii) insurance costs, all primarily attributable to the cost saving initiatives. Other contributing factors were reduced deal-related costs, which were higher in the first nine months of 2012 as a result of transactions that closed in that period. Such decreases were partially offset by increased investments in technology, higher occupancy costs related to the amended lease and build-out of our Rockefeller Center facility and higher mutual fund servicing fees primarily related to the increase in higher average AUM. The ratio of adjusted non-compensation expense to operating revenue was 21.1% in the 2013 period versus 21.8% for the corresponding period in 2012.</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of intangible assets decreased $3 million, as compared to the 2012 period.</w:t>
      </w:r>
    </w:p>
    <w:p>
      <w:pPr>
        <w:spacing w:after="0" w:line="171"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Operating income in the 2013 period (including the aggregate $65 million charge described above relating to the cost saving initiatives) increased $19 million, or 15%, as compared to operating income in the 2012 period (including the $25 million charge in 2012 described above relating to the staff reductions). Operating income, as a percentage of net revenue, was 10.5%, as compared to 9.3% in the 2012 period.</w:t>
      </w:r>
    </w:p>
    <w:p>
      <w:pPr>
        <w:spacing w:after="0" w:line="13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Earnings from operations increased $52 million, or 24%, when compared to the 2012 period, and, as a percentage of operating revenue, was 19.1% in the 2013 period, as compared to 15.6% in the 2012 period.</w:t>
      </w:r>
    </w:p>
    <w:p>
      <w:pPr>
        <w:spacing w:after="0" w:line="12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provision for income taxes decreased $4 million, or 16%, when compared to the 2012 period, and reflected an effective tax rate of 15.3%, as compared to 20.8% for the 2012 period. The decrease in the effective tax rate is primarily reflective of the change in the geographic mix of earnings.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income attributable to noncontrolling interests increased $2 million in the 2013 period.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following is a discussion of net revenue and operating income for the Company’s segments -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facilities management and senior management activities. Such support costs are allocated to the relevant segments based on various statistical drivers such as revenue, headcount, square footage and other factors.</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80"/>
          </w:cols>
          <w:pgMar w:left="240" w:top="455" w:right="27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Advisory</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summarize the reported operating results attributable to the Financial Advisory segment: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0" w:type="dxa"/>
            <w:vAlign w:val="bottom"/>
            <w:gridSpan w:val="6"/>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18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5"/>
          </w:tcPr>
          <w:p>
            <w:pPr>
              <w:jc w:val="right"/>
              <w:ind w:right="1260"/>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M&amp;A and Other Advisory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5"/>
              </w:rPr>
              <w:t>176,449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95"/>
              </w:rPr>
              <w:t>171,417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515,693</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559,411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Raising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14,174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51,489</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45,718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Strategic Advisory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191,669</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95"/>
              </w:rPr>
              <w:t>185,591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567,182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605,129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42,173</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34,382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98,429</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134,664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233,842</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95"/>
              </w:rPr>
              <w:t>219,973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665,611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739,793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Expenses(a)</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218,015</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5"/>
              </w:rPr>
              <w:t>212,449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674,689</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693,546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15,827</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7,524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(9,078)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46,247</w:t>
            </w:r>
          </w:p>
        </w:tc>
        <w:tc>
          <w:tcPr>
            <w:tcW w:w="0" w:type="dxa"/>
            <w:vAlign w:val="bottom"/>
          </w:tcPr>
          <w:p>
            <w:pPr>
              <w:spacing w:after="0"/>
              <w:rPr>
                <w:sz w:val="1"/>
                <w:szCs w:val="1"/>
                <w:color w:val="auto"/>
              </w:rPr>
            </w:pPr>
          </w:p>
        </w:tc>
      </w:tr>
      <w:tr>
        <w:trPr>
          <w:trHeight w:val="20"/>
        </w:trPr>
        <w:tc>
          <w:tcPr>
            <w:tcW w:w="64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Operating Income (Loss), As A Percentage Of Net Revenue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420" w:hanging="452"/>
        <w:spacing w:after="0" w:line="339" w:lineRule="auto"/>
        <w:tabs>
          <w:tab w:leader="none" w:pos="4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$0 and $47,779 for the three month and nine month periods ended September 30, 2013 associated with the implementation of the cost saving initiatives. All periods include indirect support costs (including compensation and benefits expense and other operating expenses related thereto).</w:t>
      </w:r>
    </w:p>
    <w:p>
      <w:pPr>
        <w:spacing w:after="0" w:line="74" w:lineRule="exact"/>
        <w:rPr>
          <w:sz w:val="20"/>
          <w:szCs w:val="20"/>
          <w:color w:val="auto"/>
        </w:rPr>
      </w:pPr>
    </w:p>
    <w:p>
      <w:pPr>
        <w:ind w:right="100" w:firstLine="456"/>
        <w:spacing w:after="0" w:line="290" w:lineRule="auto"/>
        <w:rPr>
          <w:sz w:val="20"/>
          <w:szCs w:val="20"/>
          <w:color w:val="auto"/>
        </w:rPr>
      </w:pPr>
      <w:r>
        <w:rPr>
          <w:rFonts w:ascii="Times New Roman" w:cs="Times New Roman" w:eastAsia="Times New Roman" w:hAnsi="Times New Roman"/>
          <w:sz w:val="16"/>
          <w:szCs w:val="16"/>
          <w:color w:val="auto"/>
        </w:rPr>
        <w:t>Net revenue trends in Financial Advisory for M&amp;A and Other Advisory and Restructuring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For example, the industry statistics for global M&amp;A transactions described above reflect a 2% decrease in the value of completed transactions in the first nine months of 2013 as compared to the corresponding 2012 period, as well as a 12% decrease in the number of completed transactions in the 2013 period as compared to the 2012 period. Our M&amp;A and Other Advisory revenue (which includes Sovereign and Capital Advisory revenue) decreased 8% in the 2013 period as compared to the 2012 period.</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Lazard fee and transaction statistics are set forth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2700" w:type="dxa"/>
            <w:vAlign w:val="bottom"/>
            <w:gridSpan w:val="5"/>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1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Nine Months Ended</w:t>
            </w:r>
          </w:p>
        </w:tc>
      </w:tr>
      <w:tr>
        <w:trPr>
          <w:trHeight w:val="165"/>
        </w:trPr>
        <w:tc>
          <w:tcPr>
            <w:tcW w:w="6620" w:type="dxa"/>
            <w:vAlign w:val="bottom"/>
          </w:tcPr>
          <w:p>
            <w:pPr>
              <w:spacing w:after="0"/>
              <w:rPr>
                <w:sz w:val="14"/>
                <w:szCs w:val="14"/>
                <w:color w:val="auto"/>
              </w:rPr>
            </w:pPr>
          </w:p>
        </w:tc>
        <w:tc>
          <w:tcPr>
            <w:tcW w:w="1420" w:type="dxa"/>
            <w:vAlign w:val="bottom"/>
            <w:tcBorders>
              <w:bottom w:val="single" w:sz="8" w:color="auto"/>
            </w:tcBorders>
            <w:gridSpan w:val="3"/>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48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tcBorders>
              <w:bottom w:val="single" w:sz="8" w:color="auto"/>
            </w:tcBorders>
            <w:gridSpan w:val="3"/>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4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8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4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196"/>
        </w:trPr>
        <w:tc>
          <w:tcPr>
            <w:tcW w:w="6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Lazard Statistics:</w:t>
            </w: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Number of Clients With Fees Greater Than $1 Million:</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Financial Advisory</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57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6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M&amp;A and Other Advisory</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46</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Total Financial Advisory Revenue from Top 10 Clients</w:t>
            </w:r>
          </w:p>
        </w:tc>
        <w:tc>
          <w:tcPr>
            <w:tcW w:w="13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33%</w:t>
            </w:r>
          </w:p>
        </w:tc>
        <w:tc>
          <w:tcPr>
            <w:tcW w:w="13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r>
      <w:tr>
        <w:trPr>
          <w:trHeight w:val="228"/>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Number of M&amp;A Transactions Completed With Values Greater than $1 billion (a)</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8</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(a)</w:t>
        <w:tab/>
        <w:t>Source: Thomson Reuters as of October 7, 2013.</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80" w:firstLine="456"/>
        <w:spacing w:after="0" w:line="262" w:lineRule="auto"/>
        <w:rPr>
          <w:sz w:val="20"/>
          <w:szCs w:val="20"/>
          <w:color w:val="auto"/>
        </w:rPr>
      </w:pPr>
      <w:r>
        <w:rPr>
          <w:rFonts w:ascii="Times New Roman" w:cs="Times New Roman" w:eastAsia="Times New Roman" w:hAnsi="Times New Roman"/>
          <w:sz w:val="18"/>
          <w:szCs w:val="18"/>
          <w:color w:val="auto"/>
        </w:rPr>
        <w:t>The geographical distribution of Financial Advisory net revenue is set forth below in percentage terms and is based on the Lazard offices that generate Financial Advisory net revenue, which are located in the U.S., Europe (primarily in the U.K., France, Italy, Spain and Germany) and the rest of the world (primarily in Australia) and therefore may not be reflective of the geography in which the clients are located.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2700" w:type="dxa"/>
            <w:vAlign w:val="bottom"/>
            <w:gridSpan w:val="5"/>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21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Nine Months Ended</w:t>
            </w:r>
          </w:p>
        </w:tc>
      </w:tr>
      <w:tr>
        <w:trPr>
          <w:trHeight w:val="165"/>
        </w:trPr>
        <w:tc>
          <w:tcPr>
            <w:tcW w:w="6620" w:type="dxa"/>
            <w:vAlign w:val="bottom"/>
          </w:tcPr>
          <w:p>
            <w:pPr>
              <w:spacing w:after="0"/>
              <w:rPr>
                <w:sz w:val="14"/>
                <w:szCs w:val="14"/>
                <w:color w:val="auto"/>
              </w:rPr>
            </w:pPr>
          </w:p>
        </w:tc>
        <w:tc>
          <w:tcPr>
            <w:tcW w:w="1420" w:type="dxa"/>
            <w:vAlign w:val="bottom"/>
            <w:tcBorders>
              <w:bottom w:val="single" w:sz="8" w:color="auto"/>
            </w:tcBorders>
            <w:gridSpan w:val="3"/>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46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Borders>
              <w:bottom w:val="single" w:sz="8" w:color="auto"/>
            </w:tcBorders>
            <w:gridSpan w:val="3"/>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8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3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55%</w:t>
            </w:r>
          </w:p>
        </w:tc>
        <w:tc>
          <w:tcPr>
            <w:tcW w:w="13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3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2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100%</w:t>
            </w: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net revenue and operating income margins.</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Results of Operations</w:t>
      </w:r>
    </w:p>
    <w:p>
      <w:pPr>
        <w:spacing w:after="0" w:line="92" w:lineRule="exact"/>
        <w:rPr>
          <w:sz w:val="20"/>
          <w:szCs w:val="20"/>
          <w:color w:val="auto"/>
        </w:rPr>
      </w:pPr>
    </w:p>
    <w:p>
      <w:pPr>
        <w:ind w:right="20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2013 versus September 30, 2012</w:t>
      </w:r>
    </w:p>
    <w:p>
      <w:pPr>
        <w:spacing w:after="0" w:line="94"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Total Strategic Advisory net revenue, representing fees from M&amp;A and Other Advisory and Capital Raising businesses, increased $6 million, or 3%, and Restructuring revenue increased $8 million, or 23%, as compared to the 2012 period.</w:t>
      </w:r>
    </w:p>
    <w:p>
      <w:pPr>
        <w:spacing w:after="0" w:line="120"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M&amp;A and Other Advisory revenue increased $5 million, or 3%, and Capital Raising revenue increased by $1 million, or 7%, as compared to the 2012 period. The increase in M&amp;A and Other Advisory revenue was primarily due to an increase in the average fees paid in respect of transactions involving fees greater than $1 million. Our major clients, which in the aggregate represented a significant portion of our M&amp;A and Other Advisory revenue for the third quarter of 2013, included Ameristar Casinos, Amgen, CNH Global, D.E. Master Blenders 1753, Leap Wireless, NV Energy, Rockwood, Siemens and Total.</w:t>
      </w:r>
    </w:p>
    <w:p>
      <w:pPr>
        <w:spacing w:after="0" w:line="136"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Restructuring revenue is derived from various activities including bankruptcy assignments, global debt and financing restructurings, distressed asset sales and advice on complex on- and off-balance sheet assignments, the timing of which may not correspond to industry announced defaults. The increase in Restructuring revenue reflected the closing of several large assignments in the 2013 period. Our major clients, which in the aggregate represented a significant portion of our Restructuring revenue in the 2013 period, included Eastman Kodak, Exide Technologies and Realia Business.</w:t>
      </w:r>
    </w:p>
    <w:p>
      <w:pPr>
        <w:spacing w:after="0" w:line="136" w:lineRule="exact"/>
        <w:rPr>
          <w:sz w:val="20"/>
          <w:szCs w:val="20"/>
          <w:color w:val="auto"/>
        </w:rPr>
      </w:pPr>
    </w:p>
    <w:p>
      <w:pPr>
        <w:jc w:val="both"/>
        <w:ind w:right="260" w:firstLine="456"/>
        <w:spacing w:after="0" w:line="262" w:lineRule="auto"/>
        <w:rPr>
          <w:sz w:val="20"/>
          <w:szCs w:val="20"/>
          <w:color w:val="auto"/>
        </w:rPr>
      </w:pPr>
      <w:r>
        <w:rPr>
          <w:rFonts w:ascii="Times New Roman" w:cs="Times New Roman" w:eastAsia="Times New Roman" w:hAnsi="Times New Roman"/>
          <w:sz w:val="18"/>
          <w:szCs w:val="18"/>
          <w:color w:val="auto"/>
        </w:rPr>
        <w:t>Operating expenses increased $6 million, or 3%, as compared to the 2012 period. The primary contributors to the increase were (i) higher compensation and benefits expense related to higher operating revenue, partially offset by a reduction in amortization expense associated with deferred compensation awards and a reduction in salary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related to the cost saving initiatives and (ii) higher professional fees, partially offset by decreased travel, communications and occupancy costs.</w:t>
      </w:r>
    </w:p>
    <w:p>
      <w:pPr>
        <w:spacing w:after="0" w:line="171"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Financial Advisory operating income in the 2013 period was $16 million, an increase of $8 million as compared to operating income of $8 million in the 2012 period and, as a percentage of net revenue, was 6.8%, as compared to 3.4% in the 2012 period.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2013 versus September 30, 2012</w:t>
      </w:r>
    </w:p>
    <w:p>
      <w:pPr>
        <w:spacing w:after="0" w:line="94"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Total Strategic Advisory net revenue, representing fees from M&amp;A and Other Advisory and Capital Raising businesses, decreased $38 million, or 6%, and Restructuring revenue decreased $36 million, or 27%, as compared to the 2012 period.</w:t>
      </w:r>
    </w:p>
    <w:p>
      <w:pPr>
        <w:spacing w:after="0" w:line="12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M&amp;A and Other Advisory revenue decreased $44 million, or 8%, with Capital Raising revenue increasing $6 million, or 13%, as compared to the 2012 period. The decrease in M&amp;A and Other Advisory revenue was primarily due to a lower number of transactions involving fees greater than $1 million in the 2013 period as compared to the 2012 period. The 2012 period included significant fees related to our sovereign advisory and middle markets businesses. The increase in Capital Raising revenue reflected increased activity and fees from our Private Placements, PIPES, Registered Direct offerings and Private Fund Advisory groups.</w:t>
      </w:r>
    </w:p>
    <w:p>
      <w:pPr>
        <w:spacing w:after="0" w:line="139"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The decline in Restructuring revenue was attributable to the closing of several large assignments in the 2012 period, and is consistent with the industry-wide low level of corporate restructuring activity.</w:t>
      </w:r>
    </w:p>
    <w:p>
      <w:pPr>
        <w:spacing w:after="0" w:line="120"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Operating expenses decreased $19 million, or 3%, as compared to the 2012 period, and included a $48 million charge in the 2013 period related to the cost saving initiatives. Excluding such charge, operating expenses decreased $67 million, or 10%. The primary contributors to the decrease were lower compensation and benefits expense due to lower operating revenue, headcount reductions related to the cost saving initiatives, reductions in amortization expense associated with deferred compensation awards, decreased travel and communications expense related to the cost saving initiatives and lower deal-related costs as a result of transactions that closed in the 2013 period as compared to the 2012 period, partially offset by higher occupancy costs related to the amended lease and build-out of our Rockefeller Center facility.</w:t>
      </w:r>
    </w:p>
    <w:p>
      <w:pPr>
        <w:spacing w:after="0" w:line="139"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Financial Advisory operating loss in the 2013 period was $9 million (including the impact of the $48 million charge related to the cost saving initiatives), a decrease of $55 million as compared to operating income of $46 million in the 2012 period and, as a percentage of net revenue, was (1.4)% as compared to 6.3% in the 2012 period. Excluding the impact of such charge in the 2013 period, operating income was $39 million, a decrease of $7 million, as compared to operating income in the 2012 period.</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455" w:right="2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Management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the composition of AUM for the Asset Management segment: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6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56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92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560" w:type="dxa"/>
            <w:vAlign w:val="bottom"/>
          </w:tcPr>
          <w:p>
            <w:pPr>
              <w:spacing w:after="0"/>
              <w:rPr>
                <w:sz w:val="10"/>
                <w:szCs w:val="10"/>
                <w:color w:val="auto"/>
              </w:rPr>
            </w:pPr>
          </w:p>
        </w:tc>
        <w:tc>
          <w:tcPr>
            <w:tcW w:w="80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100" w:type="dxa"/>
            <w:vAlign w:val="bottom"/>
          </w:tcPr>
          <w:p>
            <w:pPr>
              <w:spacing w:after="0"/>
              <w:rPr>
                <w:sz w:val="10"/>
                <w:szCs w:val="10"/>
                <w:color w:val="auto"/>
              </w:rPr>
            </w:pPr>
          </w:p>
        </w:tc>
      </w:tr>
      <w:tr>
        <w:trPr>
          <w:trHeight w:val="165"/>
        </w:trPr>
        <w:tc>
          <w:tcPr>
            <w:tcW w:w="56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4"/>
                <w:szCs w:val="14"/>
                <w:color w:val="auto"/>
              </w:rPr>
            </w:pPr>
          </w:p>
        </w:tc>
      </w:tr>
      <w:tr>
        <w:trPr>
          <w:trHeight w:val="142"/>
        </w:trPr>
        <w:tc>
          <w:tcPr>
            <w:tcW w:w="56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4"/>
          </w:tcPr>
          <w:p>
            <w:pPr>
              <w:jc w:val="center"/>
              <w:ind w:left="375"/>
              <w:spacing w:after="0" w:line="142" w:lineRule="exact"/>
              <w:rPr>
                <w:sz w:val="20"/>
                <w:szCs w:val="20"/>
                <w:color w:val="auto"/>
              </w:rPr>
            </w:pPr>
            <w:r>
              <w:rPr>
                <w:rFonts w:ascii="Times New Roman" w:cs="Times New Roman" w:eastAsia="Times New Roman" w:hAnsi="Times New Roman"/>
                <w:sz w:val="14"/>
                <w:szCs w:val="14"/>
                <w:b w:val="1"/>
                <w:bCs w:val="1"/>
                <w:color w:val="auto"/>
                <w:w w:val="96"/>
              </w:rPr>
              <w:t>($ in millions)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AUM, by Asset Class:</w:t>
            </w:r>
          </w:p>
        </w:tc>
        <w:tc>
          <w:tcPr>
            <w:tcW w:w="3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Emerging Markets</w:t>
            </w:r>
          </w:p>
        </w:tc>
        <w:tc>
          <w:tcPr>
            <w:tcW w:w="3580" w:type="dxa"/>
            <w:vAlign w:val="bottom"/>
            <w:gridSpan w:val="2"/>
            <w:shd w:val="clear" w:color="auto" w:fill="CCEEFF"/>
          </w:tcPr>
          <w:p>
            <w:pPr>
              <w:ind w:left="34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44,623</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Global</w:t>
            </w: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36,247</w:t>
            </w:r>
          </w:p>
        </w:tc>
        <w:tc>
          <w:tcPr>
            <w:tcW w:w="100" w:type="dxa"/>
            <w:vAlign w:val="bottom"/>
          </w:tcPr>
          <w:p>
            <w:pPr>
              <w:spacing w:after="0"/>
              <w:rPr>
                <w:sz w:val="18"/>
                <w:szCs w:val="18"/>
                <w:color w:val="auto"/>
              </w:rPr>
            </w:pPr>
          </w:p>
        </w:tc>
      </w:tr>
      <w:tr>
        <w:trPr>
          <w:trHeight w:val="230"/>
        </w:trPr>
        <w:tc>
          <w:tcPr>
            <w:tcW w:w="5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Local</w:t>
            </w:r>
          </w:p>
        </w:tc>
        <w:tc>
          <w:tcPr>
            <w:tcW w:w="3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30,890</w:t>
            </w:r>
          </w:p>
        </w:tc>
        <w:tc>
          <w:tcPr>
            <w:tcW w:w="100" w:type="dxa"/>
            <w:vAlign w:val="bottom"/>
            <w:shd w:val="clear" w:color="auto" w:fill="CCEEFF"/>
          </w:tcPr>
          <w:p>
            <w:pPr>
              <w:spacing w:after="0"/>
              <w:rPr>
                <w:sz w:val="19"/>
                <w:szCs w:val="19"/>
                <w:color w:val="auto"/>
              </w:rPr>
            </w:pPr>
          </w:p>
        </w:tc>
      </w:tr>
      <w:tr>
        <w:trPr>
          <w:trHeight w:val="223"/>
        </w:trPr>
        <w:tc>
          <w:tcPr>
            <w:tcW w:w="5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Multi-Regional</w:t>
            </w:r>
          </w:p>
        </w:tc>
        <w:tc>
          <w:tcPr>
            <w:tcW w:w="3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26,411</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Equity</w:t>
            </w:r>
          </w:p>
        </w:tc>
        <w:tc>
          <w:tcPr>
            <w:tcW w:w="3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146,099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138,171</w:t>
            </w:r>
          </w:p>
        </w:tc>
        <w:tc>
          <w:tcPr>
            <w:tcW w:w="100" w:type="dxa"/>
            <w:vAlign w:val="bottom"/>
            <w:shd w:val="clear" w:color="auto" w:fill="CCEEFF"/>
          </w:tcPr>
          <w:p>
            <w:pPr>
              <w:spacing w:after="0"/>
              <w:rPr>
                <w:sz w:val="18"/>
                <w:szCs w:val="18"/>
                <w:color w:val="auto"/>
              </w:rPr>
            </w:pPr>
          </w:p>
        </w:tc>
      </w:tr>
      <w:tr>
        <w:trPr>
          <w:trHeight w:val="222"/>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Fixed Income:</w:t>
            </w:r>
          </w:p>
        </w:tc>
        <w:tc>
          <w:tcPr>
            <w:tcW w:w="3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1"/>
        </w:trPr>
        <w:tc>
          <w:tcPr>
            <w:tcW w:w="5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Multi-Regional</w:t>
            </w:r>
          </w:p>
        </w:tc>
        <w:tc>
          <w:tcPr>
            <w:tcW w:w="3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10,162</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10,980</w:t>
            </w:r>
          </w:p>
        </w:tc>
        <w:tc>
          <w:tcPr>
            <w:tcW w:w="100" w:type="dxa"/>
            <w:vAlign w:val="bottom"/>
            <w:shd w:val="clear" w:color="auto" w:fill="CCEEFF"/>
          </w:tcPr>
          <w:p>
            <w:pPr>
              <w:spacing w:after="0"/>
              <w:rPr>
                <w:sz w:val="20"/>
                <w:szCs w:val="20"/>
                <w:color w:val="auto"/>
              </w:rPr>
            </w:pPr>
          </w:p>
        </w:tc>
      </w:tr>
      <w:tr>
        <w:trPr>
          <w:trHeight w:val="216"/>
        </w:trPr>
        <w:tc>
          <w:tcPr>
            <w:tcW w:w="5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Global</w:t>
            </w: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00" w:type="dxa"/>
            <w:vAlign w:val="bottom"/>
          </w:tcPr>
          <w:p>
            <w:pPr>
              <w:spacing w:after="0"/>
              <w:rPr>
                <w:sz w:val="18"/>
                <w:szCs w:val="18"/>
                <w:color w:val="auto"/>
              </w:rPr>
            </w:pPr>
          </w:p>
        </w:tc>
      </w:tr>
      <w:tr>
        <w:trPr>
          <w:trHeight w:val="230"/>
        </w:trPr>
        <w:tc>
          <w:tcPr>
            <w:tcW w:w="5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Local</w:t>
            </w:r>
          </w:p>
        </w:tc>
        <w:tc>
          <w:tcPr>
            <w:tcW w:w="3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00" w:type="dxa"/>
            <w:vAlign w:val="bottom"/>
            <w:shd w:val="clear" w:color="auto" w:fill="CCEEFF"/>
          </w:tcPr>
          <w:p>
            <w:pPr>
              <w:spacing w:after="0"/>
              <w:rPr>
                <w:sz w:val="19"/>
                <w:szCs w:val="19"/>
                <w:color w:val="auto"/>
              </w:rPr>
            </w:pPr>
          </w:p>
        </w:tc>
      </w:tr>
      <w:tr>
        <w:trPr>
          <w:trHeight w:val="223"/>
        </w:trPr>
        <w:tc>
          <w:tcPr>
            <w:tcW w:w="5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Emerging Markets</w:t>
            </w:r>
          </w:p>
        </w:tc>
        <w:tc>
          <w:tcPr>
            <w:tcW w:w="3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Fixed Income</w:t>
            </w:r>
          </w:p>
        </w:tc>
        <w:tc>
          <w:tcPr>
            <w:tcW w:w="3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100" w:type="dxa"/>
            <w:vAlign w:val="bottom"/>
            <w:shd w:val="clear" w:color="auto" w:fill="CCEEFF"/>
          </w:tcPr>
          <w:p>
            <w:pPr>
              <w:spacing w:after="0"/>
              <w:rPr>
                <w:sz w:val="18"/>
                <w:szCs w:val="18"/>
                <w:color w:val="auto"/>
              </w:rPr>
            </w:pPr>
          </w:p>
        </w:tc>
      </w:tr>
      <w:tr>
        <w:trPr>
          <w:trHeight w:val="222"/>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Alternative Investments</w:t>
            </w:r>
          </w:p>
        </w:tc>
        <w:tc>
          <w:tcPr>
            <w:tcW w:w="3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00" w:type="dxa"/>
            <w:vAlign w:val="bottom"/>
          </w:tcPr>
          <w:p>
            <w:pPr>
              <w:spacing w:after="0"/>
              <w:rPr>
                <w:sz w:val="19"/>
                <w:szCs w:val="19"/>
                <w:color w:val="auto"/>
              </w:rPr>
            </w:pPr>
          </w:p>
        </w:tc>
      </w:tr>
      <w:tr>
        <w:trPr>
          <w:trHeight w:val="217"/>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Private Equity</w:t>
            </w:r>
          </w:p>
        </w:tc>
        <w:tc>
          <w:tcPr>
            <w:tcW w:w="3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shd w:val="clear" w:color="auto" w:fill="CCEEFF"/>
          </w:tcPr>
          <w:p>
            <w:pPr>
              <w:spacing w:after="0"/>
              <w:rPr>
                <w:sz w:val="18"/>
                <w:szCs w:val="18"/>
                <w:color w:val="auto"/>
              </w:rPr>
            </w:pP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Management</w:t>
            </w:r>
          </w:p>
        </w:tc>
        <w:tc>
          <w:tcPr>
            <w:tcW w:w="3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AUM</w:t>
            </w:r>
          </w:p>
        </w:tc>
        <w:tc>
          <w:tcPr>
            <w:tcW w:w="34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176,455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167,060</w:t>
            </w:r>
          </w:p>
        </w:tc>
        <w:tc>
          <w:tcPr>
            <w:tcW w:w="100" w:type="dxa"/>
            <w:vAlign w:val="bottom"/>
            <w:shd w:val="clear" w:color="auto" w:fill="CCEEFF"/>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Average AUM for the 2013 and 2012 periods is set forth below. Average AUM is generally based on an average of quarterly ending balances for the respective periods.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20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18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Nine Months Ended</w:t>
            </w:r>
          </w:p>
        </w:tc>
      </w:tr>
      <w:tr>
        <w:trPr>
          <w:trHeight w:val="165"/>
        </w:trPr>
        <w:tc>
          <w:tcPr>
            <w:tcW w:w="7520" w:type="dxa"/>
            <w:vAlign w:val="bottom"/>
          </w:tcPr>
          <w:p>
            <w:pPr>
              <w:spacing w:after="0"/>
              <w:rPr>
                <w:sz w:val="14"/>
                <w:szCs w:val="14"/>
                <w:color w:val="auto"/>
              </w:rPr>
            </w:pPr>
          </w:p>
        </w:tc>
        <w:tc>
          <w:tcPr>
            <w:tcW w:w="20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8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r>
      <w:tr>
        <w:trPr>
          <w:trHeight w:val="142"/>
        </w:trPr>
        <w:tc>
          <w:tcPr>
            <w:tcW w:w="75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20" w:type="dxa"/>
            <w:vAlign w:val="bottom"/>
            <w:tcBorders>
              <w:top w:val="single" w:sz="8" w:color="auto"/>
              <w:bottom w:val="single" w:sz="8" w:color="auto"/>
            </w:tcBorders>
            <w:gridSpan w:val="2"/>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r>
      <w:tr>
        <w:trPr>
          <w:trHeight w:val="156"/>
        </w:trPr>
        <w:tc>
          <w:tcPr>
            <w:tcW w:w="7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40" w:type="dxa"/>
            <w:vAlign w:val="bottom"/>
            <w:gridSpan w:val="4"/>
          </w:tcPr>
          <w:p>
            <w:pPr>
              <w:ind w:left="500"/>
              <w:spacing w:after="0" w:line="155"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AUM</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$ 171,497</w:t>
            </w:r>
          </w:p>
        </w:tc>
        <w:tc>
          <w:tcPr>
            <w:tcW w:w="13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$ 156,620</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$ 170,162</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$ 152,744</w:t>
            </w:r>
          </w:p>
        </w:tc>
      </w:tr>
      <w:tr>
        <w:trPr>
          <w:trHeight w:val="20"/>
        </w:trPr>
        <w:tc>
          <w:tcPr>
            <w:tcW w:w="7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Total AUM at September 30, 2013 was $176 billion, an increase of $9 billion, or 6%, as compared to total AUM of $167 billion at December 31, 2012, primarily due to market appreciation. Average AUM for the three month and nine month periods ended September 30, 2013 was 10% and 11% higher, respectively, than that for the corresponding periods in 2012. Within the equity asset class, Emerging Markets and Global represented 26% and 19%, respectively, of total AUM at September 30, 2013, as compared to 27% and 22%, respectively, as of December 31, 2012.</w:t>
      </w:r>
    </w:p>
    <w:p>
      <w:pPr>
        <w:spacing w:after="0" w:line="136" w:lineRule="exact"/>
        <w:rPr>
          <w:sz w:val="20"/>
          <w:szCs w:val="20"/>
          <w:color w:val="auto"/>
        </w:rPr>
      </w:pPr>
    </w:p>
    <w:p>
      <w:pPr>
        <w:ind w:right="300" w:firstLine="456"/>
        <w:spacing w:after="0" w:line="258" w:lineRule="auto"/>
        <w:rPr>
          <w:sz w:val="20"/>
          <w:szCs w:val="20"/>
          <w:color w:val="auto"/>
        </w:rPr>
      </w:pPr>
      <w:r>
        <w:rPr>
          <w:rFonts w:ascii="Times New Roman" w:cs="Times New Roman" w:eastAsia="Times New Roman" w:hAnsi="Times New Roman"/>
          <w:sz w:val="18"/>
          <w:szCs w:val="18"/>
          <w:color w:val="auto"/>
        </w:rPr>
        <w:t>As of September 30, 2013, approximately 90% of our AUM was managed on behalf of institutional clients, including corporations, labor unions, public pension funds, insurance companies and banks, and through sub-advisory relationships, mutual fund sponsors, broker-dealers and registered advisors, and approximately 10% of our AUM was managed on behalf of individual clients, which are principally family offices and individuals, and was substantially unchanged from the corresponding percentages at December 31, 2012.</w:t>
      </w:r>
    </w:p>
    <w:p>
      <w:pPr>
        <w:spacing w:after="0" w:line="136" w:lineRule="exact"/>
        <w:rPr>
          <w:sz w:val="20"/>
          <w:szCs w:val="20"/>
          <w:color w:val="auto"/>
        </w:rPr>
      </w:pPr>
    </w:p>
    <w:p>
      <w:pPr>
        <w:ind w:right="160" w:firstLine="456"/>
        <w:spacing w:after="0" w:line="339" w:lineRule="auto"/>
        <w:rPr>
          <w:sz w:val="20"/>
          <w:szCs w:val="20"/>
          <w:color w:val="auto"/>
        </w:rPr>
      </w:pPr>
      <w:r>
        <w:rPr>
          <w:rFonts w:ascii="Times New Roman" w:cs="Times New Roman" w:eastAsia="Times New Roman" w:hAnsi="Times New Roman"/>
          <w:sz w:val="16"/>
          <w:szCs w:val="16"/>
          <w:color w:val="auto"/>
        </w:rPr>
        <w:t>As of September 30, 2013, AUM denominated in foreign currencies represented approximately 64% of our total AUM, as compared to 62% at December 31, 2012. Foreign denominated AUM generally declines in value with the strengthening of the U.S. Dollar and increases in value as the U.S. Dollar weakens.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changes in AUM for the 2013 and 2012 periods: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8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5"/>
        </w:trPr>
        <w:tc>
          <w:tcPr>
            <w:tcW w:w="11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4"/>
                <w:szCs w:val="14"/>
                <w:color w:val="auto"/>
              </w:rPr>
            </w:pPr>
          </w:p>
        </w:tc>
        <w:tc>
          <w:tcPr>
            <w:tcW w:w="18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r>
      <w:tr>
        <w:trPr>
          <w:trHeight w:val="142"/>
        </w:trPr>
        <w:tc>
          <w:tcPr>
            <w:tcW w:w="116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2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r>
      <w:tr>
        <w:trPr>
          <w:trHeight w:val="156"/>
        </w:trPr>
        <w:tc>
          <w:tcPr>
            <w:tcW w:w="116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0" w:type="dxa"/>
            <w:vAlign w:val="bottom"/>
            <w:gridSpan w:val="4"/>
          </w:tcPr>
          <w:p>
            <w:pPr>
              <w:jc w:val="right"/>
              <w:ind w:right="740"/>
              <w:spacing w:after="0" w:line="155"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AUM—Beginning of Period</w:t>
            </w: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$163,289</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$148,439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$ 167,060</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4"/>
              </w:rPr>
              <w:t>$ 141,039</w:t>
            </w:r>
          </w:p>
        </w:tc>
      </w:tr>
      <w:tr>
        <w:trPr>
          <w:trHeight w:val="21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Flows (a)</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1,719</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(3,403)</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2,788</w:t>
            </w:r>
          </w:p>
        </w:tc>
      </w:tr>
      <w:tr>
        <w:trPr>
          <w:trHeight w:val="216"/>
        </w:trPr>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and Foreign Exchange Appreciation</w:t>
            </w: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11,447</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12,798</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16,584</w:t>
            </w:r>
          </w:p>
        </w:tc>
      </w:tr>
      <w:tr>
        <w:trPr>
          <w:trHeight w:val="223"/>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AUM—End of Period</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176,455</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$ 160,411</w:t>
            </w: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$ 176,455</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$ 160,411</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3" w:lineRule="exact"/>
        <w:rPr>
          <w:sz w:val="20"/>
          <w:szCs w:val="20"/>
          <w:color w:val="auto"/>
        </w:rPr>
      </w:pPr>
    </w:p>
    <w:p>
      <w:pPr>
        <w:ind w:left="460" w:right="520" w:hanging="452"/>
        <w:spacing w:after="0" w:line="275"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inflows of $8,562 and $7,660 and outflows of $6,843 and $5,847 for the three month periods in 2013 and 2012, respectively, and inflows of $25,918 and $20,269 and outflows of $29,321 and $17,481 for the nine month periods in 2013 and 2012, respectively.</w:t>
      </w:r>
    </w:p>
    <w:p>
      <w:pPr>
        <w:spacing w:after="0" w:line="120"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During the first nine months of 2013, inflows were primarily attributable to the Emerging Markets and Multi-Regional equity platforms and the Emerging Markets fixed income platform. Outflows during the period were primarily attributable to the Global and Local equity platforms.</w:t>
      </w:r>
    </w:p>
    <w:p>
      <w:pPr>
        <w:spacing w:after="0" w:line="120"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As of October 18, 2013, AUM was $183.9 billion, a $7.4 billion increase since September 30, 2013. The increase in AUM was due to market and foreign exchange appreciation of $7.1 billion and net inflows of $0.3 billion.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reported operating results attributable to the Asset Management segment: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14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4"/>
                <w:szCs w:val="14"/>
                <w:color w:val="auto"/>
              </w:rPr>
            </w:pPr>
          </w:p>
        </w:tc>
        <w:tc>
          <w:tcPr>
            <w:tcW w:w="214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5"/>
          </w:tcPr>
          <w:p>
            <w:pPr>
              <w:jc w:val="right"/>
              <w:ind w:right="1100"/>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Management Fees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228,272</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5"/>
              </w:rPr>
              <w:t>202,324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$665,964</w:t>
            </w:r>
          </w:p>
        </w:tc>
        <w:tc>
          <w:tcPr>
            <w:tcW w:w="6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$597,407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Incentive Fees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10,606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34,704</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16,906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13,761</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8,586</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40,950</w:t>
            </w:r>
          </w:p>
        </w:tc>
        <w:tc>
          <w:tcPr>
            <w:tcW w:w="6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32,783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252,094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5"/>
              </w:rPr>
              <w:t>221,516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741,618</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647,096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Expenses(a)</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168,895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160,883</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511,526</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477,989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83,199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60,633</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230,092</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169,107</w:t>
            </w: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Operating Income, As A Percentage of Net Revenue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w:t>
            </w:r>
          </w:p>
        </w:tc>
        <w:tc>
          <w:tcPr>
            <w:tcW w:w="24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31.0%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360" w:hanging="452"/>
        <w:spacing w:after="0" w:line="275" w:lineRule="auto"/>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$0 and $235 for the three month and nine month periods of 2013 associated with the implementation of the cost saving initiatives. All periods include indirect support costs (including compensation and benefits expense and other operating expenses related thereto).</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3"/>
                <w:szCs w:val="13"/>
                <w:color w:val="auto"/>
              </w:rPr>
            </w:pPr>
          </w:p>
        </w:tc>
        <w:tc>
          <w:tcPr>
            <w:tcW w:w="238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18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Nine Months Ended</w:t>
            </w:r>
          </w:p>
        </w:tc>
      </w:tr>
      <w:tr>
        <w:trPr>
          <w:trHeight w:val="165"/>
        </w:trPr>
        <w:tc>
          <w:tcPr>
            <w:tcW w:w="7220" w:type="dxa"/>
            <w:vAlign w:val="bottom"/>
          </w:tcPr>
          <w:p>
            <w:pPr>
              <w:spacing w:after="0"/>
              <w:rPr>
                <w:sz w:val="14"/>
                <w:szCs w:val="14"/>
                <w:color w:val="auto"/>
              </w:rPr>
            </w:pPr>
          </w:p>
        </w:tc>
        <w:tc>
          <w:tcPr>
            <w:tcW w:w="1300" w:type="dxa"/>
            <w:vAlign w:val="bottom"/>
            <w:tcBorders>
              <w:bottom w:val="single" w:sz="8" w:color="auto"/>
            </w:tcBorders>
            <w:gridSpan w:val="3"/>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42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300" w:type="dxa"/>
            <w:vAlign w:val="bottom"/>
            <w:tcBorders>
              <w:bottom w:val="single" w:sz="8" w:color="auto"/>
            </w:tcBorders>
            <w:gridSpan w:val="3"/>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2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6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18"/>
                <w:szCs w:val="18"/>
                <w:color w:val="auto"/>
              </w:rPr>
              <w:t>26</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26</w:t>
            </w:r>
          </w:p>
        </w:tc>
        <w:tc>
          <w:tcPr>
            <w:tcW w:w="660" w:type="dxa"/>
            <w:vAlign w:val="bottom"/>
          </w:tcPr>
          <w:p>
            <w:pPr>
              <w:spacing w:after="0"/>
              <w:rPr>
                <w:sz w:val="18"/>
                <w:szCs w:val="18"/>
                <w:color w:val="auto"/>
              </w:rPr>
            </w:pP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18"/>
                <w:szCs w:val="18"/>
                <w:color w:val="auto"/>
              </w:rPr>
              <w:t>27</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5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100%</w:t>
            </w:r>
          </w:p>
        </w:tc>
        <w:tc>
          <w:tcPr>
            <w:tcW w:w="6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100%</w:t>
            </w:r>
          </w:p>
        </w:tc>
        <w:tc>
          <w:tcPr>
            <w:tcW w:w="100" w:type="dxa"/>
            <w:vAlign w:val="bottom"/>
          </w:tcPr>
          <w:p>
            <w:pPr>
              <w:spacing w:after="0"/>
              <w:rPr>
                <w:sz w:val="19"/>
                <w:szCs w:val="19"/>
                <w:color w:val="auto"/>
              </w:rPr>
            </w:pPr>
          </w:p>
        </w:tc>
      </w:tr>
      <w:tr>
        <w:trPr>
          <w:trHeight w:val="20"/>
        </w:trPr>
        <w:tc>
          <w:tcPr>
            <w:tcW w:w="7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 Results of Operations</w:t>
      </w:r>
    </w:p>
    <w:p>
      <w:pPr>
        <w:spacing w:after="0" w:line="92" w:lineRule="exact"/>
        <w:rPr>
          <w:sz w:val="20"/>
          <w:szCs w:val="20"/>
          <w:color w:val="auto"/>
        </w:rPr>
      </w:pPr>
    </w:p>
    <w:p>
      <w:pPr>
        <w:jc w:val="both"/>
        <w:ind w:right="20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2013 versus September 30, 2012</w:t>
      </w:r>
    </w:p>
    <w:p>
      <w:pPr>
        <w:spacing w:after="0" w:line="94" w:lineRule="exact"/>
        <w:rPr>
          <w:sz w:val="20"/>
          <w:szCs w:val="20"/>
          <w:color w:val="auto"/>
        </w:rPr>
      </w:pPr>
    </w:p>
    <w:p>
      <w:pPr>
        <w:ind w:right="340" w:firstLine="456"/>
        <w:spacing w:after="0" w:line="262" w:lineRule="auto"/>
        <w:rPr>
          <w:sz w:val="20"/>
          <w:szCs w:val="20"/>
          <w:color w:val="auto"/>
        </w:rPr>
      </w:pPr>
      <w:r>
        <w:rPr>
          <w:rFonts w:ascii="Times New Roman" w:cs="Times New Roman" w:eastAsia="Times New Roman" w:hAnsi="Times New Roman"/>
          <w:sz w:val="18"/>
          <w:szCs w:val="18"/>
          <w:color w:val="auto"/>
        </w:rPr>
        <w:t>Asset Management net revenue increased $31 million, or 14%, as compared to the 2012 period. Management fees increased $26 million, or 13%, as compared to the 2012 period, reflecting a $15 billion, or 10%, increase in average AUM. Incentive fees remained substantially unchanged as compared to the 2012 period. Other revenue increased by $5 million, or 60%, as compared to the 2012 period.</w:t>
      </w:r>
    </w:p>
    <w:p>
      <w:pPr>
        <w:spacing w:after="0" w:line="132"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Operating expenses increased $8 million, or 5%, as compared to the 2012 period, primarily due to an increase in compensation and benefits expense related to the increase in operating revenue and an increase in mutual fund servicing fees related to the growth in AUM.</w:t>
      </w:r>
    </w:p>
    <w:p>
      <w:pPr>
        <w:spacing w:after="0" w:line="120"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Asset Management operating income in the 2013 period was $83 million, an increase of $23 million, or 37%, compared to operating income of $60 million in the 2012 period and, as a percentage of net revenue, was 33.0%, compared to 27.4% in the 2012 period.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2013 versus September 30, 2012</w:t>
      </w:r>
    </w:p>
    <w:p>
      <w:pPr>
        <w:spacing w:after="0" w:line="94"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Asset Management net revenue increased $95 million, or 15%, as compared to the 2012 period. Management fees increased $69 million, or 11%, as compared to the 2012 period, reflecting a $17 billion, or 11%, increase in average AUM. Incentive fees increased $18 million, or 105%, as compared to the 2012 period, primarily due to fees related to traditional investment products. Other revenue increased $8 million, or 25%, as compared to the 2012 period, primarily due to higher commissions as a result of increased market activity.</w:t>
      </w:r>
    </w:p>
    <w:p>
      <w:pPr>
        <w:spacing w:after="0" w:line="136"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Operating expenses increased $34 million, or 7%, as compared to the 2012 period, primarily due to an increase in compensation and benefits expense related to the increase in operating revenue and an increase in mutual fund servicing fees related to the growth in AUM.</w:t>
      </w:r>
    </w:p>
    <w:p>
      <w:pPr>
        <w:spacing w:after="0" w:line="120" w:lineRule="exact"/>
        <w:rPr>
          <w:sz w:val="20"/>
          <w:szCs w:val="20"/>
          <w:color w:val="auto"/>
        </w:rPr>
      </w:pPr>
    </w:p>
    <w:p>
      <w:pPr>
        <w:ind w:right="800" w:firstLine="456"/>
        <w:spacing w:after="0" w:line="275" w:lineRule="auto"/>
        <w:rPr>
          <w:sz w:val="20"/>
          <w:szCs w:val="20"/>
          <w:color w:val="auto"/>
        </w:rPr>
      </w:pPr>
      <w:r>
        <w:rPr>
          <w:rFonts w:ascii="Times New Roman" w:cs="Times New Roman" w:eastAsia="Times New Roman" w:hAnsi="Times New Roman"/>
          <w:sz w:val="18"/>
          <w:szCs w:val="18"/>
          <w:color w:val="auto"/>
        </w:rPr>
        <w:t>Asset Management operating income in the 2013 period was $230 million, an increase of $61 million, or 36%, compared to operating income of $169 million in the 2012 period and, as a percentage of net revenue, was 31.0%, compared to 26.1% in the 2012 period.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reported operating results attributable to the Corporate segment: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6"/>
          </w:tcPr>
          <w:p>
            <w:pPr>
              <w:jc w:val="right"/>
              <w:ind w:right="760"/>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2,348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3,697</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7,112</w:t>
            </w:r>
          </w:p>
        </w:tc>
        <w:tc>
          <w:tcPr>
            <w:tcW w:w="3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$ 10,799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4"/>
              </w:rPr>
              <w:t>(22,031)</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(23,005)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4"/>
              </w:rPr>
              <w:t>(66,479)</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(68,813)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Interest (Expense)</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4"/>
              </w:rPr>
              <w:t>(19,683)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(19,308)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4"/>
              </w:rPr>
              <w:t>(59,367)</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13,716</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7,130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23,618</w:t>
            </w:r>
          </w:p>
        </w:tc>
        <w:tc>
          <w:tcPr>
            <w:tcW w:w="3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17,901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Revenue (Expense)</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(5,967)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(12,178)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4"/>
              </w:rPr>
              <w:t>(35,749)</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 (a)</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11,989</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8,479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41,035</w:t>
            </w:r>
          </w:p>
        </w:tc>
        <w:tc>
          <w:tcPr>
            <w:tcW w:w="3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49,709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4"/>
              </w:rPr>
              <w:t>(17,956)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(20,657)</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4"/>
              </w:rPr>
              <w:t>(76,784)</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(89,822)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4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hanging="452"/>
        <w:spacing w:after="0" w:line="275" w:lineRule="auto"/>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in 2013, $0 and $16,689 for the three month and nine month periods associated with the implementation of the cost saving initiatives, and (ii) in 2012, $0 and $24,659 for the three month and nine month periods relating to the staff reductions.</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Corporate Results of Operations</w:t>
      </w:r>
    </w:p>
    <w:p>
      <w:pPr>
        <w:spacing w:after="0" w:line="92" w:lineRule="exact"/>
        <w:rPr>
          <w:sz w:val="20"/>
          <w:szCs w:val="20"/>
          <w:color w:val="auto"/>
        </w:rPr>
      </w:pPr>
    </w:p>
    <w:p>
      <w:pPr>
        <w:jc w:val="both"/>
        <w:ind w:right="300" w:firstLine="456"/>
        <w:spacing w:after="0" w:line="342" w:lineRule="auto"/>
        <w:rPr>
          <w:sz w:val="20"/>
          <w:szCs w:val="20"/>
          <w:color w:val="auto"/>
        </w:rPr>
      </w:pPr>
      <w:r>
        <w:rPr>
          <w:rFonts w:ascii="Times New Roman" w:cs="Times New Roman" w:eastAsia="Times New Roman" w:hAnsi="Times New Roman"/>
          <w:sz w:val="16"/>
          <w:szCs w:val="16"/>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2013 versus September 30, 2012</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interest expense was substantially unchanged as compared to the 2012 period.</w:t>
      </w:r>
    </w:p>
    <w:p>
      <w:pPr>
        <w:spacing w:after="0" w:line="17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Other revenue increased $7 million, or 92%, as compared to the 2012 period, primarily due to an increase in net investment gains, including gains related to Lazard Fund Interests.</w:t>
      </w:r>
    </w:p>
    <w:p>
      <w:pPr>
        <w:spacing w:after="0" w:line="120" w:lineRule="exact"/>
        <w:rPr>
          <w:sz w:val="20"/>
          <w:szCs w:val="20"/>
          <w:color w:val="auto"/>
        </w:rPr>
      </w:pPr>
    </w:p>
    <w:p>
      <w:pPr>
        <w:ind w:right="760" w:firstLine="456"/>
        <w:spacing w:after="0" w:line="275" w:lineRule="auto"/>
        <w:rPr>
          <w:sz w:val="20"/>
          <w:szCs w:val="20"/>
          <w:color w:val="auto"/>
        </w:rPr>
      </w:pPr>
      <w:r>
        <w:rPr>
          <w:rFonts w:ascii="Times New Roman" w:cs="Times New Roman" w:eastAsia="Times New Roman" w:hAnsi="Times New Roman"/>
          <w:sz w:val="18"/>
          <w:szCs w:val="18"/>
          <w:color w:val="auto"/>
        </w:rPr>
        <w:t>Operating expenses increased $4 million, or 41%, as compared to the 2012 period, primarily due to increased compensation and benefits expense associated with Lazard Fund Interests.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2013 versus September 30, 2012</w:t>
      </w:r>
    </w:p>
    <w:p>
      <w:pPr>
        <w:spacing w:after="0" w:line="94"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Net interest expense increased by $1 million, or 2%, as compared to the 2012 period. Other revenue increased $6 million, or 32%, as compared to the 2012 period, primarily due to a loss on the sale of an intercompany receivable in 2012.</w:t>
      </w:r>
    </w:p>
    <w:p>
      <w:pPr>
        <w:spacing w:after="0" w:line="120" w:lineRule="exact"/>
        <w:rPr>
          <w:sz w:val="20"/>
          <w:szCs w:val="20"/>
          <w:color w:val="auto"/>
        </w:rPr>
      </w:pPr>
    </w:p>
    <w:p>
      <w:pPr>
        <w:jc w:val="both"/>
        <w:ind w:right="240" w:firstLine="456"/>
        <w:spacing w:after="0" w:line="262" w:lineRule="auto"/>
        <w:rPr>
          <w:sz w:val="20"/>
          <w:szCs w:val="20"/>
          <w:color w:val="auto"/>
        </w:rPr>
      </w:pPr>
      <w:r>
        <w:rPr>
          <w:rFonts w:ascii="Times New Roman" w:cs="Times New Roman" w:eastAsia="Times New Roman" w:hAnsi="Times New Roman"/>
          <w:sz w:val="18"/>
          <w:szCs w:val="18"/>
          <w:color w:val="auto"/>
        </w:rPr>
        <w:t>Operating expenses decreased $9 million, or 17%, compared to the 2012 period, and included in the 2013 period a charge of $17 million associated with the cost saving initiatives, while the 2012 period included a charge of $25 million related to staff reductions. Excluding such charges in both periods, operating expenses were substantially unchanged.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92" w:lineRule="exact"/>
        <w:rPr>
          <w:sz w:val="20"/>
          <w:szCs w:val="20"/>
          <w:color w:val="auto"/>
        </w:rPr>
      </w:pPr>
    </w:p>
    <w:p>
      <w:pPr>
        <w:ind w:right="460" w:firstLine="456"/>
        <w:spacing w:after="0" w:line="310" w:lineRule="auto"/>
        <w:rPr>
          <w:sz w:val="20"/>
          <w:szCs w:val="20"/>
          <w:color w:val="auto"/>
        </w:rPr>
      </w:pPr>
      <w:r>
        <w:rPr>
          <w:rFonts w:ascii="Times New Roman" w:cs="Times New Roman" w:eastAsia="Times New Roman" w:hAnsi="Times New Roman"/>
          <w:sz w:val="16"/>
          <w:szCs w:val="16"/>
          <w:color w:val="auto"/>
        </w:rPr>
        <w:t>The Company’s cash flows are influenced primarily by the timing of the receipt of Financial Advisory and Asset Management fees, the timing of distributions to members, payments of incentive compensation to managing directors and employees and purchases of Class A common stock. M&amp;A, Other Advisory, and Asset Management fees are generally collected within 60 days of billing, while Restructuring fee collections may extend beyond 60 days,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60"/>
        <w:spacing w:after="0" w:line="275" w:lineRule="auto"/>
        <w:rPr>
          <w:sz w:val="20"/>
          <w:szCs w:val="20"/>
          <w:color w:val="auto"/>
        </w:rPr>
      </w:pPr>
      <w:r>
        <w:rPr>
          <w:rFonts w:ascii="Times New Roman" w:cs="Times New Roman" w:eastAsia="Times New Roman" w:hAnsi="Times New Roman"/>
          <w:sz w:val="18"/>
          <w:szCs w:val="18"/>
          <w:color w:val="auto"/>
        </w:rPr>
        <w:t>particularly those that involve bankruptcies with court-ordered holdbacks. Fees from our Private Fund Advisory activities are generally collected over a four-year period from billing and typically include an interest component.</w:t>
      </w:r>
    </w:p>
    <w:p>
      <w:pPr>
        <w:spacing w:after="0" w:line="120" w:lineRule="exact"/>
        <w:rPr>
          <w:sz w:val="20"/>
          <w:szCs w:val="20"/>
          <w:color w:val="auto"/>
        </w:rPr>
      </w:pPr>
    </w:p>
    <w:p>
      <w:pPr>
        <w:jc w:val="both"/>
        <w:ind w:right="60" w:firstLine="456"/>
        <w:spacing w:after="0" w:line="310" w:lineRule="auto"/>
        <w:rPr>
          <w:sz w:val="20"/>
          <w:szCs w:val="20"/>
          <w:color w:val="auto"/>
        </w:rPr>
      </w:pPr>
      <w:r>
        <w:rPr>
          <w:rFonts w:ascii="Times New Roman" w:cs="Times New Roman" w:eastAsia="Times New Roman" w:hAnsi="Times New Roman"/>
          <w:sz w:val="16"/>
          <w:szCs w:val="16"/>
          <w:color w:val="auto"/>
        </w:rPr>
        <w:t>The Company makes cash payments for, or in respect of, a significant portion of its incentive compensation during the first three months of each calendar year with respect to the prior year’s results. In addition, during the nine month period of 2013, the Company made cash payments, including severance payments, associated with the cost saving initiatives (see “Cost Saving Initiatives” above and Note 14 of Notes to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Cash Flows: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8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5"/>
        </w:trPr>
        <w:tc>
          <w:tcPr>
            <w:tcW w:w="88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122.2</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16"/>
        </w:trPr>
        <w:tc>
          <w:tcPr>
            <w:tcW w:w="94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Noncash charges (a)</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266.9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286.4</w:t>
            </w:r>
          </w:p>
        </w:tc>
        <w:tc>
          <w:tcPr>
            <w:tcW w:w="0" w:type="dxa"/>
            <w:vAlign w:val="bottom"/>
          </w:tcPr>
          <w:p>
            <w:pPr>
              <w:spacing w:after="0"/>
              <w:rPr>
                <w:sz w:val="1"/>
                <w:szCs w:val="1"/>
                <w:color w:val="auto"/>
              </w:rPr>
            </w:pPr>
          </w:p>
        </w:tc>
      </w:tr>
      <w:tr>
        <w:trPr>
          <w:trHeight w:val="216"/>
        </w:trPr>
        <w:tc>
          <w:tcPr>
            <w:tcW w:w="94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operating activities (b)</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(221.5)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(153.3)</w:t>
            </w:r>
          </w:p>
        </w:tc>
        <w:tc>
          <w:tcPr>
            <w:tcW w:w="0" w:type="dxa"/>
            <w:vAlign w:val="bottom"/>
          </w:tcPr>
          <w:p>
            <w:pPr>
              <w:spacing w:after="0"/>
              <w:rPr>
                <w:sz w:val="1"/>
                <w:szCs w:val="1"/>
                <w:color w:val="auto"/>
              </w:rPr>
            </w:pPr>
          </w:p>
        </w:tc>
      </w:tr>
      <w:tr>
        <w:trPr>
          <w:trHeight w:val="230"/>
        </w:trPr>
        <w:tc>
          <w:tcPr>
            <w:tcW w:w="94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Investing activities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16"/>
        </w:trPr>
        <w:tc>
          <w:tcPr>
            <w:tcW w:w="94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Financing activities (c)</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5"/>
              </w:rPr>
              <w:t>(275.2)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(168.3)</w:t>
            </w:r>
          </w:p>
        </w:tc>
        <w:tc>
          <w:tcPr>
            <w:tcW w:w="0" w:type="dxa"/>
            <w:vAlign w:val="bottom"/>
          </w:tcPr>
          <w:p>
            <w:pPr>
              <w:spacing w:after="0"/>
              <w:rPr>
                <w:sz w:val="1"/>
                <w:szCs w:val="1"/>
                <w:color w:val="auto"/>
              </w:rPr>
            </w:pPr>
          </w:p>
        </w:tc>
      </w:tr>
      <w:tr>
        <w:trPr>
          <w:trHeight w:val="216"/>
        </w:trPr>
        <w:tc>
          <w:tcPr>
            <w:tcW w:w="94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9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5"/>
              </w:rPr>
              <w:t>(163.4)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Beginning of Period</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845.5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821.0</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682.1</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821.9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80" w:type="dxa"/>
            <w:vAlign w:val="bottom"/>
            <w:tcBorders>
              <w:bottom w:val="single" w:sz="8" w:color="auto"/>
            </w:tcBorders>
          </w:tcPr>
          <w:p>
            <w:pPr>
              <w:spacing w:after="0"/>
              <w:rPr>
                <w:sz w:val="8"/>
                <w:szCs w:val="8"/>
                <w:color w:val="auto"/>
              </w:rPr>
            </w:pPr>
          </w:p>
        </w:tc>
        <w:tc>
          <w:tcPr>
            <w:tcW w:w="8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Consists of the following:</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880" w:type="dxa"/>
            <w:vAlign w:val="bottom"/>
          </w:tcPr>
          <w:p>
            <w:pPr>
              <w:spacing w:after="0"/>
              <w:rPr>
                <w:sz w:val="10"/>
                <w:szCs w:val="10"/>
                <w:color w:val="auto"/>
              </w:rPr>
            </w:pPr>
          </w:p>
        </w:tc>
        <w:tc>
          <w:tcPr>
            <w:tcW w:w="8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4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 of property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25.5</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94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Amortization of deferred expenses, stock units and interest rate hedge</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238.6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252.1</w:t>
            </w:r>
          </w:p>
        </w:tc>
        <w:tc>
          <w:tcPr>
            <w:tcW w:w="0" w:type="dxa"/>
            <w:vAlign w:val="bottom"/>
          </w:tcPr>
          <w:p>
            <w:pPr>
              <w:spacing w:after="0"/>
              <w:rPr>
                <w:sz w:val="1"/>
                <w:szCs w:val="1"/>
                <w:color w:val="auto"/>
              </w:rPr>
            </w:pPr>
          </w:p>
        </w:tc>
      </w:tr>
      <w:tr>
        <w:trPr>
          <w:trHeight w:val="216"/>
        </w:trPr>
        <w:tc>
          <w:tcPr>
            <w:tcW w:w="94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 of intangible assets related to acquisitions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94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Loss on sale of intercompany receivable</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266.9</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hanging="452"/>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net changes in operating assets and liabilities.</w:t>
      </w:r>
    </w:p>
    <w:p>
      <w:pPr>
        <w:spacing w:after="0" w:line="20" w:lineRule="exact"/>
        <w:rPr>
          <w:rFonts w:ascii="Times New Roman" w:cs="Times New Roman" w:eastAsia="Times New Roman" w:hAnsi="Times New Roman"/>
          <w:sz w:val="18"/>
          <w:szCs w:val="18"/>
          <w:color w:val="auto"/>
        </w:rPr>
      </w:pPr>
    </w:p>
    <w:p>
      <w:pPr>
        <w:ind w:left="460" w:right="300" w:hanging="452"/>
        <w:spacing w:after="0" w:line="261"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primarily of purchases of shares of Class A common stock, settlements of vested restricted stock units (“RSUs”), distributions to members and noncontrolling interest holders and, in the 2012 period, proceeds from the sale of an intercompany receivable to a subsidiary of Lazard Ltd.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liquidity and capital resources are derived from operating activities, financing activities and equity offerings.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94" w:lineRule="exact"/>
        <w:rPr>
          <w:sz w:val="20"/>
          <w:szCs w:val="20"/>
          <w:color w:val="auto"/>
        </w:rPr>
      </w:pPr>
    </w:p>
    <w:p>
      <w:pPr>
        <w:ind w:right="480" w:firstLine="456"/>
        <w:spacing w:after="0" w:line="339" w:lineRule="auto"/>
        <w:rPr>
          <w:sz w:val="20"/>
          <w:szCs w:val="20"/>
          <w:color w:val="auto"/>
        </w:rPr>
      </w:pPr>
      <w:r>
        <w:rPr>
          <w:rFonts w:ascii="Times New Roman" w:cs="Times New Roman" w:eastAsia="Times New Roman" w:hAnsi="Times New Roman"/>
          <w:sz w:val="16"/>
          <w:szCs w:val="16"/>
          <w:color w:val="auto"/>
        </w:rPr>
        <w:t>Net revenue, operating income and cash receipts fluctuate significantly between quarters. In the case of Financial Advisory, fee receipts are generally dependent upon the successful completion of client transactions, the occurrence and timing of which is irregular and not subject to Lazard’s control.</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45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 Liquidity has also been impacted by cash payments, including severance payments, associated with the cost saving initiatives (see “Cost Saving Initiatives” above and Note 14 of Notes to Condensed Consolidated Financial Statements).</w:t>
      </w:r>
    </w:p>
    <w:p>
      <w:pPr>
        <w:spacing w:after="0" w:line="137"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Lazard’s consolidated financial statements are presented in U.S. Dollars. Many of Lazard’s non-U.S. subsidiaries have a functional currency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consolidated statements of operations.</w:t>
      </w:r>
    </w:p>
    <w:p>
      <w:pPr>
        <w:spacing w:after="0" w:line="14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regularly monitor our liquidity position, including cash levels, credit lines, principal investment commitments, interest and principal payments on debt, capital expenditures, purchases of shares of Class A common stock and Lazard Group common membership interests and matters relating to liquidity and to compliance with regulatory net capital requirements. At September 30, 2013, Lazard had approximately $682 million of cash, with such amount including approximately $271 million held at Lazard’s operations outside the U.S. Since Lazard provides for U.S. income taxes on substantially all of its unrepatriated foreign earnings, no material amount of additional U.S. income taxes would be recognized upon receipt of dividends or distributions of such earnings from its foreign operations.</w:t>
      </w:r>
    </w:p>
    <w:p>
      <w:pPr>
        <w:spacing w:after="0" w:line="139" w:lineRule="exact"/>
        <w:rPr>
          <w:sz w:val="20"/>
          <w:szCs w:val="20"/>
          <w:color w:val="auto"/>
        </w:rPr>
      </w:pPr>
    </w:p>
    <w:p>
      <w:pPr>
        <w:ind w:right="240" w:firstLine="456"/>
        <w:spacing w:after="0" w:line="301" w:lineRule="auto"/>
        <w:rPr>
          <w:sz w:val="20"/>
          <w:szCs w:val="20"/>
          <w:color w:val="auto"/>
        </w:rPr>
      </w:pPr>
      <w:r>
        <w:rPr>
          <w:rFonts w:ascii="Times New Roman" w:cs="Times New Roman" w:eastAsia="Times New Roman" w:hAnsi="Times New Roman"/>
          <w:sz w:val="16"/>
          <w:szCs w:val="16"/>
          <w:color w:val="auto"/>
        </w:rPr>
        <w:t>We maintain lines of credit in excess of anticipated liquidity requirements. As of September 30, 2013, Lazard had approximately $264 million in unused lines of credit available to it, including a $150 million, three-year, senior revolving credit facility with a group of lenders that expires in September 2015 (the “Credit Facility”) (see “—Financing Activities” below) and unused lines of credit available to LFB of approximately $54 million (at September 30, 2013 exchange rates) and Edgewater of $55 million. In addition, LFB has access to the Eurosystem Covered Bond Purchase Program of the Banque de France.</w:t>
      </w:r>
    </w:p>
    <w:p>
      <w:pPr>
        <w:spacing w:after="0" w:line="103"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Credit Facility contains customary terms and conditions, including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94" w:lineRule="exact"/>
        <w:rPr>
          <w:sz w:val="20"/>
          <w:szCs w:val="20"/>
          <w:color w:val="auto"/>
        </w:rPr>
      </w:pPr>
    </w:p>
    <w:p>
      <w:pPr>
        <w:ind w:right="120" w:firstLine="456"/>
        <w:spacing w:after="0" w:line="339" w:lineRule="auto"/>
        <w:rPr>
          <w:sz w:val="20"/>
          <w:szCs w:val="20"/>
          <w:color w:val="auto"/>
        </w:rPr>
      </w:pPr>
      <w:r>
        <w:rPr>
          <w:rFonts w:ascii="Times New Roman" w:cs="Times New Roman" w:eastAsia="Times New Roman" w:hAnsi="Times New Roman"/>
          <w:sz w:val="16"/>
          <w:szCs w:val="16"/>
          <w:color w:val="auto"/>
        </w:rPr>
        <w:t>The table below sets forth our corporate indebtedness as of September 30, 2013 and December 31, 2012. The agreements with respect to this indebtedness are discussed in more detail in our condensed consolidated financial statements and related notes included elsewhere in this Form 10-Q and in our Form 10-K.</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4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Maturity</w:t>
            </w: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2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25"/>
        </w:trPr>
        <w:tc>
          <w:tcPr>
            <w:tcW w:w="344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Pr>
          <w:p>
            <w:pPr>
              <w:spacing w:after="0"/>
              <w:rPr>
                <w:sz w:val="10"/>
                <w:szCs w:val="10"/>
                <w:color w:val="auto"/>
              </w:rPr>
            </w:pPr>
          </w:p>
        </w:tc>
        <w:tc>
          <w:tcPr>
            <w:tcW w:w="78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74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2012</w:t>
            </w:r>
          </w:p>
        </w:tc>
        <w:tc>
          <w:tcPr>
            <w:tcW w:w="74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2"/>
              </w:rPr>
              <w:t>(Decrease)</w:t>
            </w: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4"/>
          </w:tcPr>
          <w:p>
            <w:pPr>
              <w:jc w:val="right"/>
              <w:ind w:right="65"/>
              <w:spacing w:after="0" w:line="142"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62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Debt:</w:t>
            </w:r>
          </w:p>
        </w:tc>
        <w:tc>
          <w:tcPr>
            <w:tcW w:w="3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7.125%</w:t>
            </w:r>
          </w:p>
        </w:tc>
        <w:tc>
          <w:tcPr>
            <w:tcW w:w="3560" w:type="dxa"/>
            <w:vAlign w:val="bottom"/>
            <w:gridSpan w:val="2"/>
          </w:tcPr>
          <w:p>
            <w:pPr>
              <w:jc w:val="center"/>
              <w:ind w:left="2952"/>
              <w:spacing w:after="0"/>
              <w:rPr>
                <w:sz w:val="20"/>
                <w:szCs w:val="20"/>
                <w:color w:val="auto"/>
              </w:rPr>
            </w:pPr>
            <w:r>
              <w:rPr>
                <w:rFonts w:ascii="Times New Roman" w:cs="Times New Roman" w:eastAsia="Times New Roman" w:hAnsi="Times New Roman"/>
                <w:sz w:val="18"/>
                <w:szCs w:val="18"/>
                <w:color w:val="auto"/>
                <w:w w:val="99"/>
              </w:rPr>
              <w:t>2015</w:t>
            </w:r>
          </w:p>
        </w:tc>
        <w:tc>
          <w:tcPr>
            <w:tcW w:w="8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528.5</w:t>
            </w:r>
          </w:p>
        </w:tc>
        <w:tc>
          <w:tcPr>
            <w:tcW w:w="80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0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6.85%</w:t>
            </w:r>
          </w:p>
        </w:tc>
        <w:tc>
          <w:tcPr>
            <w:tcW w:w="3560" w:type="dxa"/>
            <w:vAlign w:val="bottom"/>
            <w:gridSpan w:val="2"/>
            <w:shd w:val="clear" w:color="auto" w:fill="CCEEFF"/>
          </w:tcPr>
          <w:p>
            <w:pPr>
              <w:jc w:val="center"/>
              <w:ind w:left="2952"/>
              <w:spacing w:after="0"/>
              <w:rPr>
                <w:sz w:val="20"/>
                <w:szCs w:val="20"/>
                <w:color w:val="auto"/>
              </w:rPr>
            </w:pPr>
            <w:r>
              <w:rPr>
                <w:rFonts w:ascii="Times New Roman" w:cs="Times New Roman" w:eastAsia="Times New Roman" w:hAnsi="Times New Roman"/>
                <w:sz w:val="18"/>
                <w:szCs w:val="18"/>
                <w:color w:val="auto"/>
                <w:w w:val="99"/>
              </w:rPr>
              <w:t>2017</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Total Senior Debt</w:t>
            </w:r>
          </w:p>
        </w:tc>
        <w:tc>
          <w:tcPr>
            <w:tcW w:w="3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1,076.9</w:t>
            </w:r>
          </w:p>
        </w:tc>
        <w:tc>
          <w:tcPr>
            <w:tcW w:w="7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040" w:type="dxa"/>
            <w:vAlign w:val="bottom"/>
            <w:vMerge w:val="restart"/>
          </w:tcPr>
          <w:p>
            <w:pPr>
              <w:jc w:val="right"/>
              <w:ind w:right="592"/>
              <w:spacing w:after="0"/>
              <w:rPr>
                <w:sz w:val="20"/>
                <w:szCs w:val="20"/>
                <w:color w:val="auto"/>
              </w:rPr>
            </w:pPr>
            <w:r>
              <w:rPr>
                <w:rFonts w:ascii="Times New Roman" w:cs="Times New Roman" w:eastAsia="Times New Roman" w:hAnsi="Times New Roman"/>
                <w:sz w:val="18"/>
                <w:szCs w:val="18"/>
                <w:color w:val="auto"/>
              </w:rPr>
              <w:t>63</w:t>
            </w: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44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Lazard’s annual cash flow generated from operations historically has been sufficient to enable it to meet its annual obligations. Lazard has not drawn on its Credit Facility and prior revolving credit facility since June 30, 2006. We believe that our cash flows from operating activities, along with the use of our credit lines as needed, should be sufficient for us to fund our current obligations for the next 12 months.</w:t>
      </w:r>
    </w:p>
    <w:p>
      <w:pPr>
        <w:spacing w:after="0" w:line="132"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As long as the lenders’ commitments remain in effect, any loan pursuant to the Credit Facility remains outstanding and unpaid or any other amount is owing to the lending bank group, the Credit Facility includes financial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September 30, 2013, Lazard Group was in compliance with such ratios, with its Consolidated Leverage Ratio being 1.75 to 1.00 and its Consolidated Interest Coverage Ratio being 8.87 to 1.00. In any event, no amounts were outstanding under the Credit Facility as of September 30, 2013.</w:t>
      </w:r>
    </w:p>
    <w:p>
      <w:pPr>
        <w:spacing w:after="0" w:line="11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 addition, the Credit Facility, indenture and supplemental indentures relating to Lazard Group’s senior notes contain certain other covenants (none of which relate to financial condition), events of default and other customary provisions. At September 30, 2013,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9 of Notes to Condensed Consolidated Financial Statements for additional information regarding senior debt.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Members’ Equity</w:t>
      </w:r>
    </w:p>
    <w:p>
      <w:pPr>
        <w:spacing w:after="0" w:line="94" w:lineRule="exact"/>
        <w:rPr>
          <w:sz w:val="20"/>
          <w:szCs w:val="20"/>
          <w:color w:val="auto"/>
        </w:rPr>
      </w:pPr>
    </w:p>
    <w:p>
      <w:pPr>
        <w:jc w:val="both"/>
        <w:ind w:right="340" w:firstLine="456"/>
        <w:spacing w:after="0" w:line="262" w:lineRule="auto"/>
        <w:rPr>
          <w:sz w:val="20"/>
          <w:szCs w:val="20"/>
          <w:color w:val="auto"/>
        </w:rPr>
      </w:pPr>
      <w:r>
        <w:rPr>
          <w:rFonts w:ascii="Times New Roman" w:cs="Times New Roman" w:eastAsia="Times New Roman" w:hAnsi="Times New Roman"/>
          <w:sz w:val="18"/>
          <w:szCs w:val="18"/>
          <w:color w:val="auto"/>
        </w:rPr>
        <w:t>At September 30, 2013, total members’ equity was $552 million, as compared to $529 million at December 31, 2012, including $481 million and $453 million attributable to Lazard Group on the respective dates. The net activity in members’ equity during the nine month period ended September 30, 2013 is reflected in the table below (in millions of dollars):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Equity—January 1, 2013</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529</w:t>
            </w:r>
          </w:p>
        </w:tc>
      </w:tr>
      <w:tr>
        <w:trPr>
          <w:trHeight w:val="283"/>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due to:</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7"/>
        </w:trPr>
        <w:tc>
          <w:tcPr>
            <w:tcW w:w="9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9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Amortization of share-based incentive compensation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9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Purchase of Class A common stock</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r>
      <w:tr>
        <w:trPr>
          <w:trHeight w:val="202"/>
        </w:trPr>
        <w:tc>
          <w:tcPr>
            <w:tcW w:w="9980" w:type="dxa"/>
            <w:vAlign w:val="bottom"/>
            <w:gridSpan w:val="2"/>
          </w:tcPr>
          <w:p>
            <w:pPr>
              <w:ind w:left="440"/>
              <w:spacing w:after="0" w:line="201" w:lineRule="exact"/>
              <w:rPr>
                <w:sz w:val="20"/>
                <w:szCs w:val="20"/>
                <w:color w:val="auto"/>
              </w:rPr>
            </w:pPr>
            <w:r>
              <w:rPr>
                <w:rFonts w:ascii="Times New Roman" w:cs="Times New Roman" w:eastAsia="Times New Roman" w:hAnsi="Times New Roman"/>
                <w:sz w:val="18"/>
                <w:szCs w:val="18"/>
                <w:color w:val="auto"/>
              </w:rPr>
              <w:t>Delivery of Class A common stock in connection with share-based incentive compensation awards and related tax benefit of</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9"/>
        </w:trPr>
        <w:tc>
          <w:tcPr>
            <w:tcW w:w="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w:t>
            </w:r>
          </w:p>
        </w:tc>
        <w:tc>
          <w:tcPr>
            <w:tcW w:w="9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7"/>
              </w:rPr>
              <w:t>(125)</w:t>
            </w:r>
          </w:p>
        </w:tc>
      </w:tr>
      <w:tr>
        <w:trPr>
          <w:trHeight w:val="217"/>
        </w:trPr>
        <w:tc>
          <w:tcPr>
            <w:tcW w:w="9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Distributions to members and noncontrolling interests,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9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AOCI (including noncontrolling interests’ portion thereof)(a)</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9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Members’ Equity—September 30, 2013</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4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3"/>
        </w:trPr>
        <w:tc>
          <w:tcPr>
            <w:tcW w:w="940" w:type="dxa"/>
            <w:vAlign w:val="bottom"/>
            <w:tcBorders>
              <w:bottom w:val="single" w:sz="8" w:color="auto"/>
            </w:tcBorders>
            <w:shd w:val="clear" w:color="auto" w:fill="CCEEFF"/>
          </w:tcPr>
          <w:p>
            <w:pPr>
              <w:spacing w:after="0"/>
              <w:rPr>
                <w:sz w:val="8"/>
                <w:szCs w:val="8"/>
                <w:color w:val="auto"/>
              </w:rPr>
            </w:pPr>
          </w:p>
        </w:tc>
        <w:tc>
          <w:tcPr>
            <w:tcW w:w="904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r>
      <w:tr>
        <w:trPr>
          <w:trHeight w:val="250"/>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 Includes:</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16"/>
        </w:trPr>
        <w:tc>
          <w:tcPr>
            <w:tcW w:w="9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Net foreign currency translation adjustments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9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Employee benefit plans and other adjustments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9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94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In February 2011, October 2011, April 2012 and October 2012 the Board of Directors of Lazard Ltd authorized the repurchase of up to $250 million, $125 million, $125 million and $200 million, respectively, in aggregate cost of Class A common stock and Lazard Group common membership interests through December 31, 2012, December 31, 2013, December 31, 2013 and December 31, 2014, respectively. The Company’s prior share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00"/>
          </w:cols>
          <w:pgMar w:left="240" w:top="455" w:right="2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repurchase authorizations expired on December 31, 2009 and December 31, 2011, respectively. During the nine month period ended September 30, 2013 the Company repurchased 2,201,657 shares of Class A common stock, at an aggregate cost of $78 million (no Lazard Group common membership interests were purchased during such nine month period). Furthermore, in order to help offset the dilutive effect of our share-based incentive compensation plans, during a given year Lazard intends to repurchase at least as many shares as it expects to ultimately issue pursuant to such plans in respect of year-end incentive compensation attributable to the prior year</w:t>
      </w:r>
      <w:r>
        <w:rPr>
          <w:rFonts w:ascii="Times New Roman" w:cs="Times New Roman" w:eastAsia="Times New Roman" w:hAnsi="Times New Roman"/>
          <w:sz w:val="18"/>
          <w:szCs w:val="18"/>
          <w:i w:val="1"/>
          <w:iCs w:val="1"/>
          <w:color w:val="auto"/>
        </w:rPr>
        <w:t>.</w:t>
      </w:r>
    </w:p>
    <w:p>
      <w:pPr>
        <w:spacing w:after="0" w:line="139"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As of September 30, 2013, $76 million of the current share repurchase amount authorized as of such date remained available under the share repurchase program, all of which expires on December 31, 2014.</w:t>
      </w:r>
    </w:p>
    <w:p>
      <w:pPr>
        <w:spacing w:after="0" w:line="120"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In October 2013, the Board of Directors of Lazard Ltd authorized the repurchase of up to an additional $100 million in aggregate cost of Class A common stock and Lazard Group common membership interests through December 31, 2015.</w:t>
      </w:r>
    </w:p>
    <w:p>
      <w:pPr>
        <w:spacing w:after="0" w:line="120" w:lineRule="exact"/>
        <w:rPr>
          <w:sz w:val="20"/>
          <w:szCs w:val="20"/>
          <w:color w:val="auto"/>
        </w:rPr>
      </w:pPr>
    </w:p>
    <w:p>
      <w:pPr>
        <w:ind w:right="80" w:firstLine="456"/>
        <w:spacing w:after="0" w:line="301" w:lineRule="auto"/>
        <w:rPr>
          <w:sz w:val="20"/>
          <w:szCs w:val="20"/>
          <w:color w:val="auto"/>
        </w:rPr>
      </w:pPr>
      <w:r>
        <w:rPr>
          <w:rFonts w:ascii="Times New Roman" w:cs="Times New Roman" w:eastAsia="Times New Roman" w:hAnsi="Times New Roman"/>
          <w:sz w:val="16"/>
          <w:szCs w:val="16"/>
          <w:color w:val="auto"/>
        </w:rPr>
        <w:t>Under the terms of the 2005 Plan and the 2008 Plan, upon the vesting of RSUs, performance-based restricted stock units (“PRSUs”) and delivery of restricted Class A common stock, shares of Class A common stock may be withheld by the Company to meet the minimum statutory tax withholding requirements. In that regard, during the nine month period ended September 30, 2013, the Company withheld $125 million to satisfy its withholding tax obligations for certain employees on vested RSUs and delivery of restricted Class A common stock in lieu of issuing 3,490,444 shares of Class A common stock.</w:t>
      </w:r>
    </w:p>
    <w:p>
      <w:pPr>
        <w:spacing w:after="0" w:line="103" w:lineRule="exact"/>
        <w:rPr>
          <w:sz w:val="20"/>
          <w:szCs w:val="20"/>
          <w:color w:val="auto"/>
        </w:rPr>
      </w:pPr>
    </w:p>
    <w:p>
      <w:pPr>
        <w:ind w:right="600" w:firstLine="456"/>
        <w:spacing w:after="0" w:line="275" w:lineRule="auto"/>
        <w:rPr>
          <w:sz w:val="20"/>
          <w:szCs w:val="20"/>
          <w:color w:val="auto"/>
        </w:rPr>
      </w:pPr>
      <w:r>
        <w:rPr>
          <w:rFonts w:ascii="Times New Roman" w:cs="Times New Roman" w:eastAsia="Times New Roman" w:hAnsi="Times New Roman"/>
          <w:sz w:val="18"/>
          <w:szCs w:val="18"/>
          <w:color w:val="auto"/>
        </w:rPr>
        <w:t>The Company plans to continue to deploy excess cash and may do so in a variety of ways, including by repurchasing outstanding shares of Class A common stock, paying distributions to members and repurchasing its outstanding debt.</w:t>
      </w:r>
    </w:p>
    <w:p>
      <w:pPr>
        <w:spacing w:after="0" w:line="120" w:lineRule="exact"/>
        <w:rPr>
          <w:sz w:val="20"/>
          <w:szCs w:val="20"/>
          <w:color w:val="auto"/>
        </w:rPr>
      </w:pPr>
    </w:p>
    <w:p>
      <w:pPr>
        <w:ind w:right="640" w:firstLine="456"/>
        <w:spacing w:after="0" w:line="275" w:lineRule="auto"/>
        <w:rPr>
          <w:sz w:val="20"/>
          <w:szCs w:val="20"/>
          <w:color w:val="auto"/>
        </w:rPr>
      </w:pPr>
      <w:r>
        <w:rPr>
          <w:rFonts w:ascii="Times New Roman" w:cs="Times New Roman" w:eastAsia="Times New Roman" w:hAnsi="Times New Roman"/>
          <w:sz w:val="18"/>
          <w:szCs w:val="18"/>
          <w:color w:val="auto"/>
        </w:rPr>
        <w:t>See Notes 11 and 12 of Notes to Condensed Consolidated Financial Statements for additional information regarding Lazard’s members’ equity and incentive plans,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Capital</w:t>
      </w:r>
    </w:p>
    <w:p>
      <w:pPr>
        <w:spacing w:after="0" w:line="92" w:lineRule="exact"/>
        <w:rPr>
          <w:sz w:val="20"/>
          <w:szCs w:val="20"/>
          <w:color w:val="auto"/>
        </w:rPr>
      </w:pPr>
    </w:p>
    <w:p>
      <w:pPr>
        <w:ind w:right="120" w:firstLine="456"/>
        <w:spacing w:after="0" w:line="291" w:lineRule="auto"/>
        <w:rPr>
          <w:sz w:val="20"/>
          <w:szCs w:val="20"/>
          <w:color w:val="auto"/>
        </w:rPr>
      </w:pPr>
      <w:r>
        <w:rPr>
          <w:rFonts w:ascii="Times New Roman" w:cs="Times New Roman" w:eastAsia="Times New Roman" w:hAnsi="Times New Roman"/>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17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the Form 10-K and Note 17 of Notes to Condensed Consolidated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Lazard’s contractual obligations as of September 30, 2013: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7"/>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Contractual Obligations Payment Due by Period</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ind w:right="12"/>
              <w:spacing w:after="0" w:line="125"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4"/>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3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2"/>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6"/>
              </w:rPr>
              <w:t>($ in thousands)</w:t>
            </w:r>
          </w:p>
        </w:tc>
        <w:tc>
          <w:tcPr>
            <w:tcW w:w="7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Debt (including interest) (a)</w:t>
            </w:r>
          </w:p>
        </w:tc>
        <w:tc>
          <w:tcPr>
            <w:tcW w:w="2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$ 1,302,410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75,218</w:t>
            </w:r>
          </w:p>
        </w:tc>
        <w:tc>
          <w:tcPr>
            <w:tcW w:w="13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$ 641,280</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$ 585,912</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Operating Leases (excluding $155,400 of sublease</w:t>
            </w:r>
          </w:p>
        </w:tc>
        <w:tc>
          <w:tcPr>
            <w:tcW w:w="1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w:t>
            </w:r>
          </w:p>
        </w:tc>
        <w:tc>
          <w:tcPr>
            <w:tcW w:w="2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1,022,666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82,263</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151,540</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135,984</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652,879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Leases (including interest)</w:t>
            </w:r>
          </w:p>
        </w:tc>
        <w:tc>
          <w:tcPr>
            <w:tcW w:w="2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18,632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3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5,548</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9,899</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Investment Capital Funding Commitments (b)</w:t>
            </w:r>
          </w:p>
        </w:tc>
        <w:tc>
          <w:tcPr>
            <w:tcW w:w="17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27,685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27,685</w:t>
            </w:r>
          </w:p>
        </w:tc>
        <w:tc>
          <w:tcPr>
            <w:tcW w:w="3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w:t>
            </w:r>
          </w:p>
        </w:tc>
        <w:tc>
          <w:tcPr>
            <w:tcW w:w="17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3"/>
              </w:rPr>
              <w:t>$ 2,371,393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$ 188,351</w:t>
            </w:r>
          </w:p>
        </w:tc>
        <w:tc>
          <w:tcPr>
            <w:tcW w:w="13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$ 798,368</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$ 731,795</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$ 652,879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780" w:type="dxa"/>
            <w:vAlign w:val="bottom"/>
            <w:vMerge w:val="restart"/>
          </w:tcPr>
          <w:p>
            <w:pPr>
              <w:jc w:val="right"/>
              <w:ind w:right="492"/>
              <w:spacing w:after="0"/>
              <w:rPr>
                <w:sz w:val="20"/>
                <w:szCs w:val="20"/>
                <w:color w:val="auto"/>
              </w:rPr>
            </w:pPr>
            <w:r>
              <w:rPr>
                <w:rFonts w:ascii="Times New Roman" w:cs="Times New Roman" w:eastAsia="Times New Roman" w:hAnsi="Times New Roman"/>
                <w:sz w:val="18"/>
                <w:szCs w:val="18"/>
                <w:color w:val="auto"/>
              </w:rPr>
              <w:t>65</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60" w:hanging="452"/>
        <w:spacing w:after="0"/>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9 of Notes to Condensed Consolidated Financial Statements.</w:t>
      </w:r>
    </w:p>
    <w:p>
      <w:pPr>
        <w:spacing w:after="0" w:line="21" w:lineRule="exact"/>
        <w:rPr>
          <w:rFonts w:ascii="Times New Roman" w:cs="Times New Roman" w:eastAsia="Times New Roman" w:hAnsi="Times New Roman"/>
          <w:sz w:val="18"/>
          <w:szCs w:val="18"/>
          <w:color w:val="auto"/>
        </w:rPr>
      </w:pPr>
    </w:p>
    <w:p>
      <w:pPr>
        <w:ind w:left="460" w:right="80" w:hanging="452"/>
        <w:spacing w:after="0" w:line="250" w:lineRule="auto"/>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5 of Notes to Condensed Consolidated Financial Statements. These amounts are generally due on demand and therefore are presented in the “less than 1 year” category.</w:t>
      </w:r>
    </w:p>
    <w:p>
      <w:pPr>
        <w:ind w:left="460" w:right="40" w:hanging="452"/>
        <w:spacing w:after="0" w:line="255" w:lineRule="auto"/>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above excludes contingent obligations, as well as any possible payments for uncertain tax positions, given the inability to estimate the possible amounts and timing of any such payments. See Notes 10, 12, 13 and 15 of Notes to Condensed Consolidated Financial Statements regarding information in connection with commitments, incentive plans, employee benefit plans and income taxes, respectively.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our consolidated financial condition and results of operations are based upon our consolidated financial statements, which have been prepared in conformity with U.S. GAAP.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compensation liabilities, income taxes,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41"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Lazard believes that the critical accounting policies set forth below comprise the most significant estimates and judgments used in the preparation of its consolidated financial statements.</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94"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Lazard generates substantially all of its net revenue from providing Financial Advisory and Asset Management services to clients. Lazard recognizes revenue when the following criteria are met:</w:t>
      </w:r>
    </w:p>
    <w:p>
      <w:pPr>
        <w:spacing w:after="0" w:line="39" w:lineRule="exact"/>
        <w:rPr>
          <w:sz w:val="20"/>
          <w:szCs w:val="20"/>
          <w:color w:val="auto"/>
        </w:rPr>
      </w:pPr>
    </w:p>
    <w:p>
      <w:pPr>
        <w:ind w:left="900" w:hanging="325"/>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persuasive evidence of an arrangement with a client,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agreed-upon services have been provided,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are fixed or determinable,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 is probable.</w:t>
      </w:r>
    </w:p>
    <w:p>
      <w:pPr>
        <w:spacing w:after="0" w:line="171" w:lineRule="exact"/>
        <w:rPr>
          <w:sz w:val="20"/>
          <w:szCs w:val="20"/>
          <w:color w:val="auto"/>
        </w:rPr>
      </w:pPr>
    </w:p>
    <w:p>
      <w:pPr>
        <w:jc w:val="both"/>
        <w:ind w:right="40" w:firstLine="456"/>
        <w:spacing w:after="0" w:line="275" w:lineRule="auto"/>
        <w:rPr>
          <w:sz w:val="20"/>
          <w:szCs w:val="20"/>
          <w:color w:val="auto"/>
        </w:rPr>
      </w:pPr>
      <w:r>
        <w:rPr>
          <w:rFonts w:ascii="Times New Roman" w:cs="Times New Roman" w:eastAsia="Times New Roman" w:hAnsi="Times New Roman"/>
          <w:sz w:val="18"/>
          <w:szCs w:val="18"/>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120" w:lineRule="exact"/>
        <w:rPr>
          <w:sz w:val="20"/>
          <w:szCs w:val="20"/>
          <w:color w:val="auto"/>
        </w:rPr>
      </w:pPr>
    </w:p>
    <w:p>
      <w:pPr>
        <w:jc w:val="both"/>
        <w:ind w:right="40" w:firstLine="456"/>
        <w:spacing w:after="0" w:line="258" w:lineRule="auto"/>
        <w:rPr>
          <w:sz w:val="20"/>
          <w:szCs w:val="20"/>
          <w:color w:val="auto"/>
        </w:rPr>
      </w:pPr>
      <w:r>
        <w:rPr>
          <w:rFonts w:ascii="Times New Roman" w:cs="Times New Roman" w:eastAsia="Times New Roman" w:hAnsi="Times New Roman"/>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36"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455"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Compensation Liabilities</w:t>
      </w:r>
    </w:p>
    <w:p>
      <w:pPr>
        <w:spacing w:after="0" w:line="9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 based on an assumed annual ratio of awarded compensation and benefits expense to operating revenue. See “Financial Statement Overview—Operating Expenses” for more information on our periodic compensation and benefits expense.</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6"/>
          <w:szCs w:val="16"/>
          <w:color w:val="auto"/>
        </w:rPr>
        <w:t>As part of the process of preparing its consolidated financial statements, Lazard is required to estimate its income taxes in each of the jurisdictions in which it operates. This process requires Lazard to estimate its actual current tax liability and to assess temporary differences resulting from differing book versus tax treatment of items, such as deferred revenue, compensation and benefits expense, unrealized gains or losses on investments and depreciation. These temporary differences result in deferred tax assets and liabilities, which are included within Lazard’s consolidated statements of financial condition. Significant management judgment is required in determining Lazard’s provision for income taxes, its deferred tax assets and liabilities and any valuation allowance recorded against its net deferred tax assets. At December 31, 2012, the Company recorded gross deferred tax assets of approximately $208 million, with such amount partially offset by a valuation allowance of approximately $103 million due to the uncertainty of realizing the benefits of the book versus tax basis differences and certain net operating loss carry-forwards. In assessing the realizability of deferred tax assets, we consider whether it is more likely than not that some portion or all of the deferred tax assets will be realized and, when necessary, valuation allowances are established. The ultimate realization of the deferred tax assets is dependent upon the generation of future taxable income during the periods in which temporary differences become deductible. We consider the level of historical taxable income, scheduled reversals of deferred taxes, projected future taxable income and tax planning strategies that can be implemented by the Company in making this assessment. If actual results differ from these estimates or Lazard adjusts these estimates in future periods, Lazard may need to adjust its valuation allowance if such circumstances indicate that the valuation allowance should be reduced or is no longer necessary. The portion reduced would result in a reduction in the provision for income taxes. A change in the valuation allowance could materially impact Lazard’s consolidated financial position and results of operations.</w:t>
      </w:r>
    </w:p>
    <w:p>
      <w:pPr>
        <w:spacing w:after="0" w:line="337" w:lineRule="exact"/>
        <w:rPr>
          <w:sz w:val="20"/>
          <w:szCs w:val="20"/>
          <w:color w:val="auto"/>
        </w:rPr>
      </w:pPr>
    </w:p>
    <w:p>
      <w:pPr>
        <w:ind w:right="140" w:firstLine="456"/>
        <w:spacing w:after="0" w:line="296" w:lineRule="auto"/>
        <w:rPr>
          <w:sz w:val="20"/>
          <w:szCs w:val="20"/>
          <w:color w:val="auto"/>
        </w:rPr>
      </w:pPr>
      <w:r>
        <w:rPr>
          <w:rFonts w:ascii="Times New Roman" w:cs="Times New Roman" w:eastAsia="Times New Roman" w:hAnsi="Times New Roman"/>
          <w:sz w:val="16"/>
          <w:szCs w:val="16"/>
          <w:color w:val="auto"/>
        </w:rPr>
        <w:t>The Company records tax positions taken or expected to be taken in a tax return based upon the amount that is more likely than not to be realized or paid, including in connection with the resolution of any related appeals or other legal processes. Accordingly, the Company recognizes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of unrecognized tax benefits involve significant judgment and the ultimate resolution of such matters may be materially different from our estimates.</w:t>
      </w:r>
    </w:p>
    <w:p>
      <w:pPr>
        <w:spacing w:after="0" w:line="108"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32" w:lineRule="exact"/>
        <w:rPr>
          <w:sz w:val="20"/>
          <w:szCs w:val="20"/>
          <w:color w:val="auto"/>
        </w:rPr>
      </w:pPr>
    </w:p>
    <w:p>
      <w:pPr>
        <w:jc w:val="center"/>
        <w:ind w:left="600" w:right="100"/>
        <w:spacing w:after="0" w:line="447" w:lineRule="auto"/>
        <w:rPr>
          <w:sz w:val="20"/>
          <w:szCs w:val="20"/>
          <w:color w:val="auto"/>
        </w:rPr>
      </w:pPr>
      <w:r>
        <w:rPr>
          <w:rFonts w:ascii="Times New Roman" w:cs="Times New Roman" w:eastAsia="Times New Roman" w:hAnsi="Times New Roman"/>
          <w:sz w:val="18"/>
          <w:szCs w:val="18"/>
          <w:color w:val="auto"/>
        </w:rPr>
        <w:t>See “Risk Factors” and Note 17 of Notes to Consolidated Financial Statements in our Form 10-K for additional information regarding income tax matters. 67</w:t>
      </w:r>
    </w:p>
    <w:p>
      <w:pPr>
        <w:sectPr>
          <w:pgSz w:w="11900" w:h="16838" w:orient="portrait"/>
          <w:cols w:equalWidth="0" w:num="1">
            <w:col w:w="11400"/>
          </w:cols>
          <w:pgMar w:left="240" w:top="455" w:right="2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Investments consist primarily of debt and equity securities, and interests in alternative investment, debt, equity and private equity funds.</w:t>
      </w:r>
    </w:p>
    <w:p>
      <w:pPr>
        <w:spacing w:after="0" w:line="17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These investments are carried at either (a) fair value on the consolidated statements of financial condition, with any increases or decreases in fair value reflected (i) in earnings, to the extent held by our broker-dealer subsidiaries or when designated as “trading” securities within our non-broker-dealer subsidiaries, and (ii) in “accumulated other comprehensive income (loss), net of tax” (“AOCI”), to the extent designated as “available-for-sale” securities until such time they are realized and reclassified to earnings, or (b) if designated as “held-to-maturity” securities, amortized cost on the consolidated statements of financial condition. Any declines in the fair value of “available-for-sale” and “held-to-maturity” securities that are determined to be other than temporary are charged to earnings. The Company holds no “available-for-sale” or “held-to-maturity” securities.</w:t>
      </w:r>
    </w:p>
    <w:p>
      <w:pPr>
        <w:spacing w:after="0" w:line="139"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Gains and losses on investment positions held, which arise from sales or changes in the fair value of the investments, are not predictable and can cause periodic fluctuations in net income or, if applicable, AOCI, and therefore subject Lazard to market and credit risk.</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Data relating to net investments is set forth below (in millions of dollars):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 2013(a)</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2012(a)</w:t>
            </w:r>
          </w:p>
        </w:tc>
        <w:tc>
          <w:tcPr>
            <w:tcW w:w="0" w:type="dxa"/>
            <w:vAlign w:val="bottom"/>
          </w:tcPr>
          <w:p>
            <w:pPr>
              <w:spacing w:after="0"/>
              <w:rPr>
                <w:sz w:val="1"/>
                <w:szCs w:val="1"/>
                <w:color w:val="auto"/>
              </w:rPr>
            </w:pPr>
          </w:p>
        </w:tc>
      </w:tr>
      <w:tr>
        <w:trPr>
          <w:trHeight w:val="223"/>
        </w:trPr>
        <w:tc>
          <w:tcPr>
            <w:tcW w:w="1160" w:type="dxa"/>
            <w:vAlign w:val="bottom"/>
            <w:tcBorders>
              <w:bottom w:val="single" w:sz="8" w:color="CCEEFF"/>
            </w:tcBorders>
          </w:tcPr>
          <w:p>
            <w:pPr>
              <w:spacing w:after="0"/>
              <w:rPr>
                <w:sz w:val="19"/>
                <w:szCs w:val="19"/>
                <w:color w:val="auto"/>
              </w:rPr>
            </w:pPr>
          </w:p>
        </w:tc>
        <w:tc>
          <w:tcPr>
            <w:tcW w:w="55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securities (b)</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7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2"/>
        </w:trPr>
        <w:tc>
          <w:tcPr>
            <w:tcW w:w="67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Equity securities (net of $4 and $3 of securities sold, not yet purchased, at September 30,</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2013 and December 31, 2012, respectively) (c)</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51</w:t>
            </w: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42</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8"/>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Alternative investment funds (d)</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46</w:t>
            </w:r>
          </w:p>
        </w:tc>
        <w:tc>
          <w:tcPr>
            <w:tcW w:w="8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58</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funds (e)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47</w:t>
            </w: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20</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funds (f)</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178</w:t>
            </w:r>
          </w:p>
        </w:tc>
        <w:tc>
          <w:tcPr>
            <w:tcW w:w="8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154</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Private equity funds owned (g)</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103</w:t>
            </w: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101</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(h)</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19</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investments</w:t>
            </w:r>
          </w:p>
        </w:tc>
        <w:tc>
          <w:tcPr>
            <w:tcW w:w="4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gridSpan w:val="2"/>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720" w:type="dxa"/>
            <w:vAlign w:val="bottom"/>
            <w:vMerge w:val="continue"/>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680" w:type="dxa"/>
            <w:vAlign w:val="bottom"/>
            <w:vMerge w:val="continue"/>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3,048</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investments, as a percentage of total assets</w:t>
            </w: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13%</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1160" w:type="dxa"/>
            <w:vAlign w:val="bottom"/>
            <w:tcBorders>
              <w:bottom w:val="single" w:sz="8" w:color="auto"/>
            </w:tcBorders>
          </w:tcPr>
          <w:p>
            <w:pPr>
              <w:spacing w:after="0"/>
              <w:rPr>
                <w:sz w:val="6"/>
                <w:szCs w:val="6"/>
                <w:color w:val="auto"/>
              </w:rPr>
            </w:pPr>
          </w:p>
        </w:tc>
        <w:tc>
          <w:tcPr>
            <w:tcW w:w="5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20" w:hanging="452"/>
        <w:spacing w:after="0" w:line="256" w:lineRule="auto"/>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investments held in connection with Lazard Fund Interests and other similar deferred compensation arrangements, with an aggregate fair value of $164 million and $101 million at September 30, 2013 and December 31, 2012, respectively. The majority of the market risk associated with such investments is equally offset by the market risk associated with the derivative liability with respect to such awards. The Company is subject to market risk associated with any portion of such investments that employees may forfeit. See “—Risk Management—</w:t>
      </w:r>
      <w:r>
        <w:rPr>
          <w:rFonts w:ascii="Times New Roman" w:cs="Times New Roman" w:eastAsia="Times New Roman" w:hAnsi="Times New Roman"/>
          <w:sz w:val="18"/>
          <w:szCs w:val="18"/>
          <w:i w:val="1"/>
          <w:iCs w:val="1"/>
          <w:color w:val="auto"/>
        </w:rPr>
        <w:t>Risks Related to Derivatives</w:t>
      </w:r>
      <w:r>
        <w:rPr>
          <w:rFonts w:ascii="Times New Roman" w:cs="Times New Roman" w:eastAsia="Times New Roman" w:hAnsi="Times New Roman"/>
          <w:sz w:val="18"/>
          <w:szCs w:val="18"/>
          <w:color w:val="auto"/>
        </w:rPr>
        <w:t>” for risk management information relating to derivatives.</w:t>
      </w:r>
    </w:p>
    <w:p>
      <w:pPr>
        <w:spacing w:after="0" w:line="57" w:lineRule="exact"/>
        <w:rPr>
          <w:rFonts w:ascii="Times New Roman" w:cs="Times New Roman" w:eastAsia="Times New Roman" w:hAnsi="Times New Roman"/>
          <w:sz w:val="18"/>
          <w:szCs w:val="18"/>
          <w:color w:val="auto"/>
        </w:rPr>
      </w:pPr>
    </w:p>
    <w:p>
      <w:pPr>
        <w:ind w:left="460" w:right="100" w:hanging="452"/>
        <w:spacing w:after="0" w:line="275" w:lineRule="auto"/>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primarily consist of seed investments invested in debt securities held within separately managed accounts related to our Asset Management business and non-U.S. government debt securities.</w:t>
      </w:r>
    </w:p>
    <w:p>
      <w:pPr>
        <w:spacing w:after="0" w:line="38" w:lineRule="exact"/>
        <w:rPr>
          <w:rFonts w:ascii="Times New Roman" w:cs="Times New Roman" w:eastAsia="Times New Roman" w:hAnsi="Times New Roman"/>
          <w:sz w:val="18"/>
          <w:szCs w:val="18"/>
          <w:color w:val="auto"/>
        </w:rPr>
      </w:pPr>
    </w:p>
    <w:p>
      <w:pPr>
        <w:ind w:left="460" w:right="280" w:hanging="452"/>
        <w:spacing w:after="0" w:line="275" w:lineRule="auto"/>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 primarily consist of seed investments invested in marketable equity securities of large-, mid- and small-cap domestic, international and global companies held within separately managed accounts related to our Asset Management business.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45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September 30, 2013 and December 31, 2012, investments in marketable equity securities were invested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2020" w:type="dxa"/>
            <w:vAlign w:val="bottom"/>
            <w:gridSpan w:val="2"/>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65"/>
        </w:trPr>
        <w:tc>
          <w:tcPr>
            <w:tcW w:w="74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2013</w:t>
            </w:r>
          </w:p>
        </w:tc>
        <w:tc>
          <w:tcPr>
            <w:tcW w:w="11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r>
      <w:tr>
        <w:trPr>
          <w:trHeight w:val="196"/>
        </w:trPr>
        <w:tc>
          <w:tcPr>
            <w:tcW w:w="7480" w:type="dxa"/>
            <w:vAlign w:val="bottom"/>
            <w:shd w:val="clear" w:color="auto" w:fill="CCEEFF"/>
          </w:tcPr>
          <w:p>
            <w:pPr>
              <w:ind w:left="1040"/>
              <w:spacing w:after="0" w:line="196" w:lineRule="exact"/>
              <w:rPr>
                <w:sz w:val="20"/>
                <w:szCs w:val="20"/>
                <w:color w:val="auto"/>
              </w:rPr>
            </w:pPr>
            <w:r>
              <w:rPr>
                <w:rFonts w:ascii="Times New Roman" w:cs="Times New Roman" w:eastAsia="Times New Roman" w:hAnsi="Times New Roman"/>
                <w:sz w:val="18"/>
                <w:szCs w:val="18"/>
                <w:color w:val="auto"/>
              </w:rPr>
              <w:t>Percentage invested in:</w:t>
            </w:r>
          </w:p>
        </w:tc>
        <w:tc>
          <w:tcPr>
            <w:tcW w:w="8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74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Consumer</w:t>
            </w:r>
          </w:p>
        </w:tc>
        <w:tc>
          <w:tcPr>
            <w:tcW w:w="20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32%</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48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Financials</w:t>
            </w:r>
          </w:p>
        </w:tc>
        <w:tc>
          <w:tcPr>
            <w:tcW w:w="202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33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18"/>
                <w:szCs w:val="18"/>
                <w:color w:val="auto"/>
              </w:rPr>
            </w:pPr>
          </w:p>
        </w:tc>
      </w:tr>
      <w:tr>
        <w:trPr>
          <w:trHeight w:val="216"/>
        </w:trPr>
        <w:tc>
          <w:tcPr>
            <w:tcW w:w="74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Energy</w:t>
            </w:r>
          </w:p>
        </w:tc>
        <w:tc>
          <w:tcPr>
            <w:tcW w:w="202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r>
      <w:tr>
        <w:trPr>
          <w:trHeight w:val="216"/>
        </w:trPr>
        <w:tc>
          <w:tcPr>
            <w:tcW w:w="748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Industrial</w:t>
            </w:r>
          </w:p>
        </w:tc>
        <w:tc>
          <w:tcPr>
            <w:tcW w:w="202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12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8"/>
                <w:szCs w:val="18"/>
                <w:color w:val="auto"/>
              </w:rPr>
            </w:pPr>
          </w:p>
        </w:tc>
      </w:tr>
      <w:tr>
        <w:trPr>
          <w:trHeight w:val="216"/>
        </w:trPr>
        <w:tc>
          <w:tcPr>
            <w:tcW w:w="74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Technology</w:t>
            </w:r>
          </w:p>
        </w:tc>
        <w:tc>
          <w:tcPr>
            <w:tcW w:w="202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r>
      <w:tr>
        <w:trPr>
          <w:trHeight w:val="216"/>
        </w:trPr>
        <w:tc>
          <w:tcPr>
            <w:tcW w:w="748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1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r>
      <w:tr>
        <w:trPr>
          <w:trHeight w:val="223"/>
        </w:trPr>
        <w:tc>
          <w:tcPr>
            <w:tcW w:w="74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100%</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7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right="320" w:hanging="452"/>
        <w:spacing w:after="0" w:line="275" w:lineRule="auto"/>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such interests reflects the pro-rata value of the ownership of the underlying securities in the funds. Such funds are diversified and may incorporate particular strategies; however, there are no investments in funds with a single sector strategy.</w:t>
      </w:r>
    </w:p>
    <w:p>
      <w:pPr>
        <w:spacing w:after="0" w:line="38" w:lineRule="exact"/>
        <w:rPr>
          <w:rFonts w:ascii="Times New Roman" w:cs="Times New Roman" w:eastAsia="Times New Roman" w:hAnsi="Times New Roman"/>
          <w:sz w:val="18"/>
          <w:szCs w:val="18"/>
          <w:color w:val="auto"/>
        </w:rPr>
      </w:pPr>
    </w:p>
    <w:p>
      <w:pPr>
        <w:ind w:left="460" w:hanging="452"/>
        <w:spacing w:after="0" w:line="275" w:lineRule="auto"/>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funds primarily consist of seed investments in funds related to our Asset Management business, which invest in debt securities, and amounts related to Lazard Fund Interests discussed above.</w:t>
      </w:r>
    </w:p>
    <w:p>
      <w:pPr>
        <w:spacing w:after="0" w:line="38" w:lineRule="exact"/>
        <w:rPr>
          <w:rFonts w:ascii="Times New Roman" w:cs="Times New Roman" w:eastAsia="Times New Roman" w:hAnsi="Times New Roman"/>
          <w:sz w:val="18"/>
          <w:szCs w:val="18"/>
          <w:color w:val="auto"/>
        </w:rPr>
      </w:pPr>
    </w:p>
    <w:p>
      <w:pPr>
        <w:ind w:left="460" w:right="20" w:hanging="452"/>
        <w:spacing w:after="0" w:line="275" w:lineRule="auto"/>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funds primarily consist of seed investments in funds related to our Asset Management business, which are invested in equity securities, and amounts relating to Lazard Fund Interests discussed above.</w:t>
      </w:r>
    </w:p>
    <w:p>
      <w:pPr>
        <w:spacing w:after="0" w:line="38" w:lineRule="exact"/>
        <w:rPr>
          <w:rFonts w:ascii="Times New Roman" w:cs="Times New Roman" w:eastAsia="Times New Roman" w:hAnsi="Times New Roman"/>
          <w:sz w:val="18"/>
          <w:szCs w:val="18"/>
          <w:color w:val="auto"/>
        </w:rPr>
      </w:pPr>
    </w:p>
    <w:p>
      <w:pPr>
        <w:ind w:left="460" w:right="20" w:hanging="452"/>
        <w:spacing w:after="0" w:line="256" w:lineRule="auto"/>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primarily of investments in private equity funds that are generally not subject to short-term market fluctuation, but may subject Lazard to market or credit risk. Private equity investments primarily include (i) a mezzanine fund, which invests in mezzanine debt of a diversified selection of small-to mid-cap European companies; (ii) a fund targeting significant noncontrolling-stake investments in established private companies; (iii) Edgewater Growth Capital Partners III, L.P. a fund primarily making growth equity and buyout investments in middle market companies and (iv) COF 2, a Lazard-managed Australian fund targeting Australasian mid-market investments.</w:t>
      </w:r>
    </w:p>
    <w:p>
      <w:pPr>
        <w:spacing w:after="0" w:line="57" w:lineRule="exact"/>
        <w:rPr>
          <w:rFonts w:ascii="Times New Roman" w:cs="Times New Roman" w:eastAsia="Times New Roman" w:hAnsi="Times New Roman"/>
          <w:sz w:val="18"/>
          <w:szCs w:val="18"/>
          <w:color w:val="auto"/>
        </w:rPr>
      </w:pPr>
    </w:p>
    <w:p>
      <w:pPr>
        <w:ind w:left="460" w:right="100" w:hanging="452"/>
        <w:spacing w:after="0" w:line="262" w:lineRule="auto"/>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investments (i) accounted for under the equity method of accounting and (ii) private equity and other interests that are consolidated but owned by noncontrolling interests, and therefore do not subject the Company to market or credit risk. The applicable noncontrolling interests are presented within “members’ equity” on the consolidated statements of financial condition.</w:t>
      </w:r>
    </w:p>
    <w:p>
      <w:pPr>
        <w:spacing w:after="0" w:line="132"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At September 30, 2013 and December 31, 2012, $117 million and $116 million, respectively, of our total investments at a fair value of $454 million and $400 million, respectively, or 26% and 29%, respectively, were classified as Level 3 assets. Substantially all of our Level 3 investments at both dates are priced based on NAV or its equivalent. During the nine month periods ended September 30, 2013 and 2012, gains of approximately $9 million and $12 million, respectively, were recognized in “revenue-other” on the consolidated statement of operations pertaining to Level 3 investments.</w:t>
      </w:r>
    </w:p>
    <w:p>
      <w:pPr>
        <w:spacing w:after="0" w:line="136"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For additional information regarding risks associated with our investments, see “Risk Factors—Other Business Risks—Our results of operations may be affected by fluctuations in the fair value of positions held in our investment portfolios” in our Form 10-K.</w:t>
      </w:r>
    </w:p>
    <w:p>
      <w:pPr>
        <w:spacing w:after="0" w:line="120"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See Notes 4 and 5 of Notes to Condensed Consolidated Financial Statements for additional information regarding investments and certain other assets and liabilities measured at fair value, including the levels of fair value within which such measurements of fair value fall.</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45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Assets Under Management</w:t>
      </w:r>
    </w:p>
    <w:p>
      <w:pPr>
        <w:spacing w:after="0" w:line="92"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AUM managed by LAM and LFG, which represents substantially all of the Company’s total AUM, primarily consists of debt and equity instruments whose value is readily available based on quoted prices on a recognized exchange or prices provided by external pricing services. Accordingly, significant estimates and judgments are generally not involved in the calculation of the value of our AUM.</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94"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In accordance with current accounting guidance, goodwill has an indefinite life and is tested for impairment annually, or more frequently if circumstances indicate impairment may have occurred. For years prior to 2011, Lazard made estimates and assumptions in order to determine the fair value of its assets and liabilities and to project future earnings using various valuation techniques. Commencing in 2011, as permitted under an amendment issued by the Financial Accounting Standards Board, the Company elected to perform a qualitative evaluation about whether it is more likely than not that the fair value of a reporting unit is less than its carrying amount in lieu of actually calculating the fair value of the reporting unit. See Note 8 of Notes to Condensed Consolidated Financial Statements for additional information regarding goodwill.</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Consolidation of Variable Interest Entities</w:t>
      </w:r>
    </w:p>
    <w:p>
      <w:pPr>
        <w:spacing w:after="0" w:line="94" w:lineRule="exact"/>
        <w:rPr>
          <w:sz w:val="20"/>
          <w:szCs w:val="20"/>
          <w:color w:val="auto"/>
        </w:rPr>
      </w:pPr>
    </w:p>
    <w:p>
      <w:pPr>
        <w:ind w:right="60" w:firstLine="456"/>
        <w:spacing w:after="0" w:line="334" w:lineRule="auto"/>
        <w:rPr>
          <w:sz w:val="20"/>
          <w:szCs w:val="20"/>
          <w:color w:val="auto"/>
        </w:rPr>
      </w:pPr>
      <w:r>
        <w:rPr>
          <w:rFonts w:ascii="Times New Roman" w:cs="Times New Roman" w:eastAsia="Times New Roman" w:hAnsi="Times New Roman"/>
          <w:sz w:val="16"/>
          <w:szCs w:val="16"/>
          <w:color w:val="auto"/>
        </w:rPr>
        <w:t>The consolidated financial statements include the accounts of Lazard Group and entities in which it has a controlling interest. Lazard determines whether it has a controlling interest in an entity by first evaluating whether such entity is a voting interest entity or a variable interest entity (“VIE”) under U.S. GAAP.</w:t>
      </w:r>
    </w:p>
    <w:p>
      <w:pPr>
        <w:spacing w:after="0" w:line="1" w:lineRule="exact"/>
        <w:rPr>
          <w:sz w:val="20"/>
          <w:szCs w:val="20"/>
          <w:color w:val="auto"/>
        </w:rPr>
      </w:pPr>
    </w:p>
    <w:p>
      <w:pPr>
        <w:ind w:left="1480" w:right="20" w:hanging="446"/>
        <w:spacing w:after="0" w:line="258" w:lineRule="auto"/>
        <w:tabs>
          <w:tab w:leader="none" w:pos="14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Interest Entities. Voting interest entities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voting interest entity that it maintains an ownership interest in if it holds a majority of the voting interest in such entity.</w:t>
      </w:r>
    </w:p>
    <w:p>
      <w:pPr>
        <w:spacing w:after="0" w:line="55" w:lineRule="exact"/>
        <w:rPr>
          <w:rFonts w:ascii="Times New Roman" w:cs="Times New Roman" w:eastAsia="Times New Roman" w:hAnsi="Times New Roman"/>
          <w:sz w:val="18"/>
          <w:szCs w:val="18"/>
          <w:color w:val="auto"/>
        </w:rPr>
      </w:pPr>
    </w:p>
    <w:p>
      <w:pPr>
        <w:ind w:left="1480" w:right="380" w:hanging="446"/>
        <w:spacing w:after="0" w:line="275" w:lineRule="auto"/>
        <w:tabs>
          <w:tab w:leader="none" w:pos="14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Interest Entities. VIEs are entities that lack one or more of the characteristics of a voting interest entity. If Lazard has a variable interest, or a combination of variable interests in a VIE, it is required to analyze whether it needs to consolidate such VIE.</w:t>
      </w:r>
    </w:p>
    <w:p>
      <w:pPr>
        <w:spacing w:after="0" w:line="120" w:lineRule="exact"/>
        <w:rPr>
          <w:sz w:val="20"/>
          <w:szCs w:val="20"/>
          <w:color w:val="auto"/>
        </w:rPr>
      </w:pPr>
    </w:p>
    <w:p>
      <w:pPr>
        <w:jc w:val="both"/>
        <w:ind w:right="240" w:firstLine="456"/>
        <w:spacing w:after="0" w:line="262" w:lineRule="auto"/>
        <w:rPr>
          <w:sz w:val="20"/>
          <w:szCs w:val="20"/>
          <w:color w:val="auto"/>
        </w:rPr>
      </w:pPr>
      <w:r>
        <w:rPr>
          <w:rFonts w:ascii="Times New Roman" w:cs="Times New Roman" w:eastAsia="Times New Roman" w:hAnsi="Times New Roman"/>
          <w:sz w:val="18"/>
          <w:szCs w:val="18"/>
          <w:color w:val="auto"/>
        </w:rPr>
        <w:t>Lazard is involved with various entities in the normal course of business that are VIEs and holds variable interests in such VIEs. Transactions associated with these entities primarily include investment management, real estate and private equity investments. Those VIEs for which Lazard is determined to be the primary beneficiary are consolidated in accordance with the applicable accounting guidance.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92"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We encounter risk in the normal course of business, and therefore, in order to help manage and monitor such risks, we have designed risk management processes which consider both the nature of our business and our operating model. We are subject to varying degrees of credit and market risk, including risks related to the level of soundness of our clients, financial, governmental and other institutions and third parties, as well as operational and liquidity risks (see “— Liquidity and Capital Resources”) and, where appropriate, we monitor these risks at both an entity level and on a consolidated basis. Management within each of Lazard’s operating locations is principally responsible for managing the risks within its respective businesses on a day-to-day basis.</w:t>
      </w:r>
    </w:p>
    <w:p>
      <w:pPr>
        <w:spacing w:after="0" w:line="139"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Market and credit risks related to our investing activities are discussed under “Critical Accounting Policies and Estimates—Investments” above. Risks related to Lazard’s other activities are presented below. Lazard has established procedures to assess credit and market risks, as well as specific interest rate and currency risk, and has established limits related to various positions.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45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Receivables</w:t>
      </w:r>
    </w:p>
    <w:p>
      <w:pPr>
        <w:spacing w:after="0" w:line="94"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We maintain an allowance for doubtful accounts to provide coverage for probable losses from our receivables. We determine the adequacy of the allowance by estimating the probability of loss based on our analysis of the client’s creditworthiness and specifically provide for exposures where we determine the receivables are impaired. At September 30, 2013, total receivables amounted to $647 million, net of an allowance for doubtful accounts of $26 million. As of that date, Financial Advisory and Asset Management fees, and customer and related party receivables comprised 67%, 14% and 19% of total receivables, respectively. At December 31, 2012, total receivables amounted to $583 million, net of an allowance for doubtful accounts of $23 million. As of that date, Financial Advisory and Asset Management fees, and customer and related party receivables comprised 69%, 9% and 22% of total receivables, respectively. At September 30, 2013 and December 31, 2012, the Company had receivables past due or deemed uncollectible of approximately $36 million and $26 million, respectively. See also “Critical Accounting Policies and Estimates—Revenue Recognition” above and Note 3 of Notes to Condensed Consolidated Financial Statements for additional information regarding receivables.</w:t>
      </w:r>
    </w:p>
    <w:p>
      <w:pPr>
        <w:spacing w:after="0" w:line="143"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LFB engages in lending activities, including commitments to extend credit. At September 30, 2013 and December 31, 2012, customer receivables included $19 million and $14 million of LFB loans, respectively. Such loans are closely monitored for counterparty creditworthiness to help minimize exposure. In addition, as of September 30, 2013, LFB’s commitments to lend, which are fully collateralized and generally contain requirements for the counterparty to maintain a minimum collateral level, were not significant.</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Credit Concentrations</w:t>
      </w:r>
    </w:p>
    <w:p>
      <w:pPr>
        <w:spacing w:after="0" w:line="94"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To reduce the exposure to concentrations of credit, the Company monitors large exposures to individual counterparties and, in addition, LFB has in place concentration risk limits. At September 30, 2013, excluding inter-bank counterparties, LFB had no exposure to an individual counterparty that exceeded $8 million. With respect to activities outside LFB, as of September 30, 2013 the Company’s largest individual counterparty exposure was a Financial Advisory fee receivable of $22 million.</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Derivatives</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Lazard enters into interest rate swaps and foreign currency exchange contracts to hedge exposures to interest rates and currency exchange rates and uses equity and fixed income swap contracts to hedge a portion of its market exposure with respect to certain seed investments related to our Asset Management business. Derivative contracts are recorded at fair value. Derivative assets amounted to $0.3 million and $1 million at September 30, 2013 and December 31, 2012, respectively, and derivative liabilities, excluding the derivative liability arising from the Company’s obligation pertaining to Lazard Fund Interests and other similar deferred compensation arrangements, amounted to $3 million and $5 million at such respective dates.</w:t>
      </w:r>
    </w:p>
    <w:p>
      <w:pPr>
        <w:spacing w:after="0" w:line="13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Company also records derivative liabilities relating to its obligations pertaining to Lazard Fund Interests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currently expected to be delivered upon settlement of Lazard Fund Interests awards. Derivative liabilities relating to Lazard Fund Interests amounted to $156 million and $98 million at September 30, 2013 and December 31, 2012, respectively.</w:t>
      </w:r>
    </w:p>
    <w:p>
      <w:pPr>
        <w:spacing w:after="0" w:line="139"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In addition, LFB enters into interest rate swaps, forward foreign currency exchange contracts and other derivative contracts to hedge exposures to interest rate and currency fluctuations on open positions that arise primarily from client activity. Such foreign currency and interest rate positions are subject to strict internal limits and, based on account balances as of September 30, 2013, we do not believe that the impact of potential significant movements in either the currency or interest rate markets on LFB’s positions would materially affect the Company’s annual operating income.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45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Short-Term Investments and Corporate Indebtedness</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 significant portion of the Company’s indebtedness has fixed interest rates, while its cash and short-term investments generally have floating interest rates. Based on account balances as of September 30, 2013, Lazard estimates that its annual operating income relating to cash and short-term investments and corporate indebtedness would increase by approximately $7 million in the event interest rates were to increase by 1% and decrease by approximately $1 million if rates were to decrease by 1%.</w:t>
      </w:r>
    </w:p>
    <w:p>
      <w:pPr>
        <w:spacing w:after="0" w:line="136"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As of September 30, 2013, the Company’s cash and cash equivalents totaled approximately $682 million. Substantially all of the Company’s cash and cash equivalents were invested in highly liquid institutional money market funds (a significant majority of which were invested solely in U.S. Government or agency money market funds), in short-term interest earning accounts at a number of leading banks throughout the world and 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9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programs designed to protect the Company against accidental loss and losses, which may significantly affect our financial objectives, personnel, property or our ability to continue to meet our responsibilities to our various stakeholder groups.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Developments</w:t>
      </w:r>
    </w:p>
    <w:p>
      <w:pPr>
        <w:spacing w:after="0" w:line="92"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92"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Quantitative and qualitative disclosures about market risk are included under the caption “Management’s Discussion and Analysis of Financial Condition and Results of Operations—Risk Management.”</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92"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evaluated the effectiveness of our disclosure controls and procedures pursuant to Rule 13a-15 under the Securities Exchange Act of 1934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41"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00"/>
          </w:cols>
          <w:pgMar w:left="240" w:top="455" w:right="2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5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material changes from the risk factors previously disclosed in the Company’s Annual Report on Form 10-K.</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300"/>
          </w:cols>
          <w:pgMar w:left="240" w:top="455" w:right="3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96"/>
              </w:rPr>
              <w:t>Item 6.</w:t>
            </w:r>
          </w:p>
        </w:tc>
        <w:tc>
          <w:tcPr>
            <w:tcW w:w="105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06"/>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3.1</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Certificate of Formation of the Registrant (incorporated by reference to Exhibit 3.1 to the Registrant’s Registration Statement (File No. 333-</w:t>
            </w:r>
          </w:p>
        </w:tc>
      </w:tr>
      <w:tr>
        <w:trPr>
          <w:trHeight w:val="228"/>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126751) on Form S-4 filed on July 21, 2005).</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3.2</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Certificate of Amendment of Certificate of Formation of the Registrant, changing name to Lazard Group LLC (incorporated by reference to</w:t>
            </w:r>
          </w:p>
        </w:tc>
      </w:tr>
      <w:tr>
        <w:trPr>
          <w:trHeight w:val="228"/>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Exhibit 3.2 to the Registrant’s Registration Statement (File No. 333-126751) on Form S-4 filed on July 21, 2005).</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3.3</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Operating Agreement of Lazard Group LLC, dated as of May 10, 2005 (incorporated by reference to Exhibit 10.2 to Lazard Ltd’s Quarterly</w:t>
            </w:r>
          </w:p>
        </w:tc>
      </w:tr>
      <w:tr>
        <w:trPr>
          <w:trHeight w:val="228"/>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Report (File No. 001-32492) on Form 10-Q filed on June 16, 2005).</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3.4</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Amendment No. 1 to the Operating Agreement of Lazard Group LLC, dated as of December 19, 2005 (incorporated by reference to Exhibit</w:t>
            </w:r>
          </w:p>
        </w:tc>
      </w:tr>
      <w:tr>
        <w:trPr>
          <w:trHeight w:val="228"/>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3.01 to the Registrant’s Current Report on Form 8-K (File No. 333-126751) filed on December 19, 2005).</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3.5</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Amendment No. 2, dated as of May 7, 2008, to the Operating Agreement of Lazard Group LLC, dated as of May 10, 2005 (incorporated by</w:t>
            </w:r>
          </w:p>
        </w:tc>
      </w:tr>
      <w:tr>
        <w:trPr>
          <w:trHeight w:val="228"/>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reference to Exhibit 3.1 to the Registrant’s Current Report on Form 8-K (File No. 333-126751) filed on May 8, 2008).</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3.6</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Amendment No. 3, dated as of April 27, 2010, to the Operating Agreement of Lazard Group LLC, dated as of May 10, 2005 (incorporated by</w:t>
            </w:r>
          </w:p>
        </w:tc>
      </w:tr>
      <w:tr>
        <w:trPr>
          <w:trHeight w:val="228"/>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reference to Exhibit 3.6 to the Registrant’s Quarterly Report (File No. 333-126751) on Form l0-Q filed on April 30, 2010).</w:t>
            </w:r>
          </w:p>
        </w:tc>
      </w:tr>
      <w:tr>
        <w:trPr>
          <w:trHeight w:val="325"/>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4.1</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Indenture, dated as of May 10, 2005, by and between the Registrant and The Bank of New York, as Trustee (incorporated by reference to</w:t>
            </w:r>
          </w:p>
        </w:tc>
      </w:tr>
      <w:tr>
        <w:trPr>
          <w:trHeight w:val="228"/>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Exhibit 4.1 to the Registrant’s Registration Statement (File No. 333-126751) on Form S-4 filed on July 21, 2005).</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4.2</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7"/>
              </w:rPr>
              <w:t>First Supplemental Indenture, dated as of May 10, 2005, by and between the Registrant and The Bank of New York, as trustee (incorporated by</w:t>
            </w:r>
          </w:p>
        </w:tc>
      </w:tr>
      <w:tr>
        <w:trPr>
          <w:trHeight w:val="228"/>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reference to Exhibit 4.2 to the Registrant’s Registration Statement (File No. 333-126751) on Form S-4 filed on July 21, 2005).</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4.3</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Fourth Supplemental Indenture, dated as of June 21, 2007, between the Registrant and The Bank of New York, as trustee (incorporated by</w:t>
            </w:r>
          </w:p>
        </w:tc>
      </w:tr>
      <w:tr>
        <w:trPr>
          <w:trHeight w:val="228"/>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reference to Exhibit 4.1 to the Registrant’s Current Report on Form 8-K (File No. 333-126751) filed on June 22, 2007).</w:t>
            </w:r>
          </w:p>
        </w:tc>
      </w:tr>
      <w:tr>
        <w:trPr>
          <w:trHeight w:val="338"/>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4.4</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Form of Senior Notes (included in Exhibits 4.2 and 4.3).</w:t>
            </w:r>
          </w:p>
        </w:tc>
      </w:tr>
      <w:tr>
        <w:trPr>
          <w:trHeight w:val="325"/>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4.5</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$546 million, 7.125% Senior Notes Due 2015, issued by the Registrant (incorporated by reference to Exhibit 4.5 to the Registrant’s Quarterly</w:t>
            </w:r>
          </w:p>
        </w:tc>
      </w:tr>
      <w:tr>
        <w:trPr>
          <w:trHeight w:val="228"/>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Report (File No. 333-126751) on Form 10-Q filed on November 14, 2005).</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95"/>
              </w:rPr>
              <w:t>10.1</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Master Separation Agreement, dated as of May 10, 2005, by and among the Registrant, Lazard Ltd, LAZ-MD Holdings LLC and LFCM</w:t>
            </w:r>
          </w:p>
        </w:tc>
      </w:tr>
      <w:tr>
        <w:trPr>
          <w:trHeight w:val="216"/>
        </w:trPr>
        <w:tc>
          <w:tcPr>
            <w:tcW w:w="780" w:type="dxa"/>
            <w:vAlign w:val="bottom"/>
          </w:tcPr>
          <w:p>
            <w:pPr>
              <w:spacing w:after="0"/>
              <w:rPr>
                <w:sz w:val="18"/>
                <w:szCs w:val="18"/>
                <w:color w:val="auto"/>
              </w:rPr>
            </w:pP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7"/>
              </w:rPr>
              <w:t>Holdings LLC (incorporated by reference to Exhibit 2.1 to Lazard Ltd’s Quarterly Report (File No. 001-32492) on Form 10-Q filed on June 16,</w:t>
            </w:r>
          </w:p>
        </w:tc>
      </w:tr>
      <w:tr>
        <w:trPr>
          <w:trHeight w:val="228"/>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2005).</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95"/>
              </w:rPr>
              <w:t>10.2</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7"/>
              </w:rPr>
              <w:t>Amendment No. 1, dated as of November 6, 2006, to the Master Separation Agreement, dated as of May 10, 2005, by and among to Registrant,</w:t>
            </w:r>
          </w:p>
        </w:tc>
      </w:tr>
      <w:tr>
        <w:trPr>
          <w:trHeight w:val="216"/>
        </w:trPr>
        <w:tc>
          <w:tcPr>
            <w:tcW w:w="780" w:type="dxa"/>
            <w:vAlign w:val="bottom"/>
          </w:tcPr>
          <w:p>
            <w:pPr>
              <w:spacing w:after="0"/>
              <w:rPr>
                <w:sz w:val="18"/>
                <w:szCs w:val="18"/>
                <w:color w:val="auto"/>
              </w:rPr>
            </w:pP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7"/>
              </w:rPr>
              <w:t>Lazard Ltd and LAZ-MD Holdings LLC (incorporated by reference to Exhibit 10.2 to the Registrant’s Quarterly Report (File No. 333-126751)</w:t>
            </w:r>
          </w:p>
        </w:tc>
      </w:tr>
      <w:tr>
        <w:trPr>
          <w:trHeight w:val="228"/>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on Form 10-Q filed on November 7, 2006).</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95"/>
              </w:rPr>
              <w:t>10.3</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Second Amendment, dated as of May 7, 2008, to the Master Separation Agreement, dated as of May 10, 2005, as amended, by and among the</w:t>
            </w:r>
          </w:p>
        </w:tc>
      </w:tr>
      <w:tr>
        <w:trPr>
          <w:trHeight w:val="216"/>
        </w:trPr>
        <w:tc>
          <w:tcPr>
            <w:tcW w:w="780" w:type="dxa"/>
            <w:vAlign w:val="bottom"/>
          </w:tcPr>
          <w:p>
            <w:pPr>
              <w:spacing w:after="0"/>
              <w:rPr>
                <w:sz w:val="18"/>
                <w:szCs w:val="18"/>
                <w:color w:val="auto"/>
              </w:rPr>
            </w:pP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Registrant, Lazard Ltd and LAZ-MD Holdings LLC (incorporated by reference to Exhibit 2.1 to the Registrant’s Current Report on Form 8-K</w:t>
            </w:r>
          </w:p>
        </w:tc>
      </w:tr>
      <w:tr>
        <w:trPr>
          <w:trHeight w:val="228"/>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(File No. 333-126751) filed on May 9, 2008).</w:t>
            </w:r>
          </w:p>
        </w:tc>
      </w:tr>
      <w:tr>
        <w:trPr>
          <w:trHeight w:val="365"/>
        </w:trPr>
        <w:tc>
          <w:tcPr>
            <w:tcW w:w="780" w:type="dxa"/>
            <w:vAlign w:val="bottom"/>
          </w:tcPr>
          <w:p>
            <w:pPr>
              <w:spacing w:after="0"/>
              <w:rPr>
                <w:sz w:val="24"/>
                <w:szCs w:val="24"/>
                <w:color w:val="auto"/>
              </w:rPr>
            </w:pPr>
          </w:p>
        </w:tc>
        <w:tc>
          <w:tcPr>
            <w:tcW w:w="1058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74</w:t>
            </w:r>
          </w:p>
        </w:tc>
      </w:tr>
    </w:tbl>
    <w:p>
      <w:pPr>
        <w:sectPr>
          <w:pgSz w:w="11900" w:h="16838" w:orient="portrait"/>
          <w:cols w:equalWidth="0" w:num="1">
            <w:col w:w="11360"/>
          </w:cols>
          <w:pgMar w:left="240" w:top="455" w:right="29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5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Class B-1 and Class C Members Transaction Agreement (incorporated by reference to Exhibit 2.2 to Lazard Ltd’s Registration Statement (File</w:t>
            </w:r>
          </w:p>
        </w:tc>
      </w:tr>
      <w:tr>
        <w:trPr>
          <w:trHeight w:val="228"/>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 333-121407) on Form S-l filed on December 17, 2004).</w:t>
            </w:r>
          </w:p>
        </w:tc>
      </w:tr>
      <w:tr>
        <w:trPr>
          <w:trHeight w:val="3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Amended and Restated Stockholders’ Agreement, dated as of November 6, 2006, by and among LAZ-MD Holdings LLC, Lazard Ltd and</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certain members of LAZ-MD Holdings LLC (incorporated by reference to Exhibit 10.4 to the Registrant’s Quarterly Report (File No. 333-</w:t>
            </w:r>
          </w:p>
        </w:tc>
      </w:tr>
      <w:tr>
        <w:trPr>
          <w:trHeight w:val="228"/>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126751) on Form 10-Q filed on November 7, 2006).</w:t>
            </w:r>
          </w:p>
        </w:tc>
      </w:tr>
      <w:tr>
        <w:trPr>
          <w:trHeight w:val="3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First Amendment, dated as of May 7, 2008, to the Amended and Restated Stockholders’ Agreement dated as of November 6, 2006, between</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LAZ-MD Holdings LLC and Lazard Ltd (incorporated by reference to Exhibit 10.6 to the Registrant’s Quarterly Report (File No. 333-126751)</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on Form 10-Q</w:t>
            </w:r>
          </w:p>
        </w:tc>
      </w:tr>
      <w:tr>
        <w:trPr>
          <w:trHeight w:val="228"/>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filed on May 9, 2008).</w:t>
            </w:r>
          </w:p>
        </w:tc>
      </w:tr>
      <w:tr>
        <w:trPr>
          <w:trHeight w:val="325"/>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Employee Benefits Agreement, dated as of May 10, 2005, by and among the Registrant, Lazard Ltd, LAZ-MD Holdings LLC and LFCM</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Holdings LLC (incorporated by reference to Exhibit 10.4 to Lazard Ltd’s Quarterly Report (File No. 001-32492) on Form 10-Q filed on June</w:t>
            </w:r>
          </w:p>
        </w:tc>
      </w:tr>
      <w:tr>
        <w:trPr>
          <w:trHeight w:val="228"/>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16, 2005).</w:t>
            </w:r>
          </w:p>
        </w:tc>
      </w:tr>
      <w:tr>
        <w:trPr>
          <w:trHeight w:val="3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Insurance Matters Agreement, dated as of May 10, 2005, by and between Lazard Group LLC and LFCM Holdings LLC (incorporated by</w:t>
            </w:r>
          </w:p>
        </w:tc>
      </w:tr>
      <w:tr>
        <w:trPr>
          <w:trHeight w:val="228"/>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reference to Exhibit 10.5 to Lazard Ltd’s Quarterly Report (File No. 001-32492) on Form 10-Q filed on June 16, 2005).</w:t>
            </w:r>
          </w:p>
        </w:tc>
      </w:tr>
      <w:tr>
        <w:trPr>
          <w:trHeight w:val="3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5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License Agreement, dated as of May 10, 2005, by and among Lazard Strategic Coordination Company LLC, Lazard Freres &amp; Co LLC, Lazard</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Freres S.A.S., Lazard &amp; Co., Holdings Limited and LFCM Holdings LLC (incorporated by reference to Exhibit 10.6 to Lazard Ltd’s Quarterly</w:t>
            </w:r>
          </w:p>
        </w:tc>
      </w:tr>
      <w:tr>
        <w:trPr>
          <w:trHeight w:val="228"/>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Report (File-No. 001-32492) on Form l0-Q filed on June 16, 2005).</w:t>
            </w:r>
          </w:p>
        </w:tc>
      </w:tr>
      <w:tr>
        <w:trPr>
          <w:trHeight w:val="3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Administrative Services Agreement, dated as of May 10, 2005, by and among LAZ-MD Holdings LLC, LFCM Holdings LLC and the</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Registrant (incorporated by reference to Exhibit 10.7 to Lazard Ltd’s Quarterly Report (File No. 001-32492) on Form 10-Q filed on June 16,</w:t>
            </w:r>
          </w:p>
        </w:tc>
      </w:tr>
      <w:tr>
        <w:trPr>
          <w:trHeight w:val="228"/>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2005).</w:t>
            </w:r>
          </w:p>
        </w:tc>
      </w:tr>
      <w:tr>
        <w:trPr>
          <w:trHeight w:val="3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5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Business Alliance Agreement, dated as of May 10, 2005, by and between the Registrant and LFCM Holdings LLC (incorporated by reference to</w:t>
            </w:r>
          </w:p>
        </w:tc>
      </w:tr>
      <w:tr>
        <w:trPr>
          <w:trHeight w:val="228"/>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Exhibit 10.8 to Lazard Ltd’s Quarterly-Report (File No. 001-32492) on Form 10-Q filed on June 16, 2005).</w:t>
            </w:r>
          </w:p>
        </w:tc>
      </w:tr>
      <w:tr>
        <w:trPr>
          <w:trHeight w:val="3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Amendment and Consent, dated February 9, 2009, to the Business Alliance Agreement, dated as of May 10, 2005, by and between the</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Registrant and LFCM Holdings LLC (incorporated by reference to Exhibit 10.12 to Lazard Ltd’s Annual Report (File No. 001-32492) on Form</w:t>
            </w:r>
          </w:p>
        </w:tc>
      </w:tr>
      <w:tr>
        <w:trPr>
          <w:trHeight w:val="228"/>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10-K filed on March 2, 2009).</w:t>
            </w:r>
          </w:p>
        </w:tc>
      </w:tr>
      <w:tr>
        <w:trPr>
          <w:trHeight w:val="3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5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Amended and Restated Operating Agreement of Lazard Strategic Coordination Company LLC, dated as of January 1 , 2002 (incorporated by</w:t>
            </w:r>
          </w:p>
        </w:tc>
      </w:tr>
      <w:tr>
        <w:trPr>
          <w:trHeight w:val="228"/>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reference to Exhibit 10.16 to Lazard Ltd’s Registration Statement (File No. 333-121407) on Form S-1/A filed on February 11, 2005).</w:t>
            </w:r>
          </w:p>
        </w:tc>
      </w:tr>
      <w:tr>
        <w:trPr>
          <w:trHeight w:val="3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5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Lease, dated as of January 27, 1994, by and between Rockefeller Center Properties and Lazard Freres &amp; Co. LLC (incorporated by reference to</w:t>
            </w:r>
          </w:p>
        </w:tc>
      </w:tr>
      <w:tr>
        <w:trPr>
          <w:trHeight w:val="228"/>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Exhibit 10.19 to Lazard Ltd’s Registration Statement (File No. 333-121407) on Form S-l/A filed on February 1, 2005).</w:t>
            </w:r>
          </w:p>
        </w:tc>
      </w:tr>
      <w:tr>
        <w:trPr>
          <w:trHeight w:val="3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5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Amendment dated as of February 16, 2001, by and among RCPI Landmark Properties, L.L.C. (as the successor in interest to Rockefeller Center</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Properties), RCPI 30 Rock 22234849, L.L.C. and Lazard Group LLC (as the successor in interest to Lazard Freres &amp; Co. LLC), to the Lease</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dated as of January 27, 1994, by and among Rockefeller Center Properties and Lazard Freres &amp; Co, LLC (incorporated by reference to Exhibit</w:t>
            </w:r>
          </w:p>
        </w:tc>
      </w:tr>
      <w:tr>
        <w:trPr>
          <w:trHeight w:val="228"/>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10.15 to the Registrant’s Quarterly Report (File No. 333-126751) on Form 10-Q filed on April 29, 2011).</w:t>
            </w:r>
          </w:p>
        </w:tc>
      </w:tr>
      <w:tr>
        <w:trPr>
          <w:trHeight w:val="365"/>
        </w:trPr>
        <w:tc>
          <w:tcPr>
            <w:tcW w:w="840" w:type="dxa"/>
            <w:vAlign w:val="bottom"/>
          </w:tcPr>
          <w:p>
            <w:pPr>
              <w:spacing w:after="0"/>
              <w:rPr>
                <w:sz w:val="24"/>
                <w:szCs w:val="24"/>
                <w:color w:val="auto"/>
              </w:rPr>
            </w:pPr>
          </w:p>
        </w:tc>
        <w:tc>
          <w:tcPr>
            <w:tcW w:w="10560" w:type="dxa"/>
            <w:vAlign w:val="bottom"/>
          </w:tcPr>
          <w:p>
            <w:pPr>
              <w:ind w:left="4780"/>
              <w:spacing w:after="0"/>
              <w:rPr>
                <w:sz w:val="20"/>
                <w:szCs w:val="20"/>
                <w:color w:val="auto"/>
              </w:rPr>
            </w:pPr>
            <w:r>
              <w:rPr>
                <w:rFonts w:ascii="Times New Roman" w:cs="Times New Roman" w:eastAsia="Times New Roman" w:hAnsi="Times New Roman"/>
                <w:sz w:val="18"/>
                <w:szCs w:val="18"/>
                <w:color w:val="auto"/>
              </w:rPr>
              <w:t>75</w:t>
            </w:r>
          </w:p>
        </w:tc>
      </w:tr>
    </w:tbl>
    <w:p>
      <w:pPr>
        <w:sectPr>
          <w:pgSz w:w="11900" w:h="16838" w:orient="portrait"/>
          <w:cols w:equalWidth="0" w:num="1">
            <w:col w:w="11400"/>
          </w:cols>
          <w:pgMar w:left="240" w:top="455" w:right="2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Lease with an Option to Purchase, dated as of July 11, 1990, by and between Sicomibail and Finabail and SCI du 121 Boulevard Hausmann</w:t>
            </w:r>
          </w:p>
        </w:tc>
      </w:tr>
      <w:tr>
        <w:trPr>
          <w:trHeight w:val="216"/>
        </w:trPr>
        <w:tc>
          <w:tcPr>
            <w:tcW w:w="940" w:type="dxa"/>
            <w:vAlign w:val="bottom"/>
          </w:tcPr>
          <w:p>
            <w:pPr>
              <w:spacing w:after="0"/>
              <w:rPr>
                <w:sz w:val="18"/>
                <w:szCs w:val="18"/>
                <w:color w:val="auto"/>
              </w:rPr>
            </w:pP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(English translation) (incorporated by reference to Exhibit 10.20 to the Lazard Ltd’s Registration Statement (File No: 333-121407) on Form S-</w:t>
            </w:r>
          </w:p>
        </w:tc>
      </w:tr>
      <w:tr>
        <w:trPr>
          <w:trHeight w:val="228"/>
        </w:trPr>
        <w:tc>
          <w:tcPr>
            <w:tcW w:w="9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1/A filed on February 11, 2005).</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Occupational Lease, dated as of August 9, 2002, by and among Burford (Stratton) Nominee 1 Limited, Burford (Stratton) Nominee 2 Limited,</w:t>
            </w:r>
          </w:p>
        </w:tc>
      </w:tr>
      <w:tr>
        <w:trPr>
          <w:trHeight w:val="216"/>
        </w:trPr>
        <w:tc>
          <w:tcPr>
            <w:tcW w:w="940" w:type="dxa"/>
            <w:vAlign w:val="bottom"/>
          </w:tcPr>
          <w:p>
            <w:pPr>
              <w:spacing w:after="0"/>
              <w:rPr>
                <w:sz w:val="18"/>
                <w:szCs w:val="18"/>
                <w:color w:val="auto"/>
              </w:rPr>
            </w:pP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Burford (Stratton) Limited, Lazard &amp; Co., Limited and Lazard LLC (incorporated by reference to Exhibit 10.21 to Lazard Ltd’s Registration</w:t>
            </w:r>
          </w:p>
        </w:tc>
      </w:tr>
      <w:tr>
        <w:trPr>
          <w:trHeight w:val="228"/>
        </w:trPr>
        <w:tc>
          <w:tcPr>
            <w:tcW w:w="9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Statement (File No. 333-121407) on Form S-1/A filed on February 11, 2005).</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Lazard Ltd’s 2005 Equity Incentive Plan (incorporated by reference to Exhibit 10.21 to Lazard Ltd’s Registration Statement (File No. 333-</w:t>
            </w:r>
          </w:p>
        </w:tc>
      </w:tr>
      <w:tr>
        <w:trPr>
          <w:trHeight w:val="228"/>
        </w:trPr>
        <w:tc>
          <w:tcPr>
            <w:tcW w:w="9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121407) on Form S-1/A filed on May 2, 2005).</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Lazard Ltd’s 2008 Incentive Compensation Plan (incorporated by reference to Annex B to Lazard Ltd’s Definitive Proxy Statement on</w:t>
            </w:r>
          </w:p>
        </w:tc>
      </w:tr>
      <w:tr>
        <w:trPr>
          <w:trHeight w:val="228"/>
        </w:trPr>
        <w:tc>
          <w:tcPr>
            <w:tcW w:w="9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Schedule 14A (File No. 001-32492) filed on March 24, 2008).</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Lazard Ltd’s 2005 Bonus Plan (incorporated by reference to Exhibit 10.23 to Lazard Ltd’s. Registration Statement (File No. 333-121407) on</w:t>
            </w:r>
          </w:p>
        </w:tc>
      </w:tr>
      <w:tr>
        <w:trPr>
          <w:trHeight w:val="228"/>
        </w:trPr>
        <w:tc>
          <w:tcPr>
            <w:tcW w:w="9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 S-1/A filed on March 21, 2005).</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 of Agreement Relating to Retention and Noncompetition and Other Covenants, dated as of May 4, 2005, applicable to and related</w:t>
            </w:r>
          </w:p>
        </w:tc>
      </w:tr>
      <w:tr>
        <w:trPr>
          <w:trHeight w:val="216"/>
        </w:trPr>
        <w:tc>
          <w:tcPr>
            <w:tcW w:w="940" w:type="dxa"/>
            <w:vAlign w:val="bottom"/>
          </w:tcPr>
          <w:p>
            <w:pPr>
              <w:spacing w:after="0"/>
              <w:rPr>
                <w:sz w:val="18"/>
                <w:szCs w:val="18"/>
                <w:color w:val="auto"/>
              </w:rPr>
            </w:pP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Schedule I for, Scott D. Hoffman (incorporated by reference to Exhibit 10.26 to Lazard Ltd’s Quarterly Report (File No. 001-32492) on Form</w:t>
            </w:r>
          </w:p>
        </w:tc>
      </w:tr>
      <w:tr>
        <w:trPr>
          <w:trHeight w:val="228"/>
        </w:trPr>
        <w:tc>
          <w:tcPr>
            <w:tcW w:w="9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10-Q filed on June 16, 2005.</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Form of First Amendment, dated as of May 7, 2008, to Agreement Relating to Retention and Noncompetition and Other Covenants, dated as</w:t>
            </w:r>
          </w:p>
        </w:tc>
      </w:tr>
      <w:tr>
        <w:trPr>
          <w:trHeight w:val="216"/>
        </w:trPr>
        <w:tc>
          <w:tcPr>
            <w:tcW w:w="940" w:type="dxa"/>
            <w:vAlign w:val="bottom"/>
          </w:tcPr>
          <w:p>
            <w:pPr>
              <w:spacing w:after="0"/>
              <w:rPr>
                <w:sz w:val="18"/>
                <w:szCs w:val="18"/>
                <w:color w:val="auto"/>
              </w:rPr>
            </w:pP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of May 4, 2005, for Scott D. Hoffman (incorporated by reference to Exhibit 10.2 to the Registrant’s Current Report on Form 8-K (File No.</w:t>
            </w:r>
          </w:p>
        </w:tc>
      </w:tr>
      <w:tr>
        <w:trPr>
          <w:trHeight w:val="228"/>
        </w:trPr>
        <w:tc>
          <w:tcPr>
            <w:tcW w:w="9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333-126751) filed on May 9, 2008).</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Amendment, dated as of February 23, 2011,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May 4, 2005 and amended as of May 7, 2008 for Scott D. Hoffman (incorporated by reference to Exhibit 10.24 to the Registrant’s Quarterly</w:t>
            </w:r>
          </w:p>
        </w:tc>
      </w:tr>
      <w:tr>
        <w:trPr>
          <w:trHeight w:val="228"/>
        </w:trPr>
        <w:tc>
          <w:tcPr>
            <w:tcW w:w="9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Report (File No. 333-126751) on Form 10-Q filed on April 29, 2011).</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 of Agreement Relating to Retention and Noncompetiton and other Covenants (incorporated by reference to Exhibit 10.27 to Lazard</w:t>
            </w:r>
          </w:p>
        </w:tc>
      </w:tr>
      <w:tr>
        <w:trPr>
          <w:trHeight w:val="228"/>
        </w:trPr>
        <w:tc>
          <w:tcPr>
            <w:tcW w:w="9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Ltd’s Registration Statement (File No. 333-121407) on Form S-1/A filed on April 11, 2005).</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Agreement Relating to Retention and Noncompetition and Other Covenants, dated as of October 4, 2004, by and between the Registrant and</w:t>
            </w:r>
          </w:p>
        </w:tc>
      </w:tr>
      <w:tr>
        <w:trPr>
          <w:trHeight w:val="216"/>
        </w:trPr>
        <w:tc>
          <w:tcPr>
            <w:tcW w:w="940" w:type="dxa"/>
            <w:vAlign w:val="bottom"/>
          </w:tcPr>
          <w:p>
            <w:pPr>
              <w:spacing w:after="0"/>
              <w:rPr>
                <w:sz w:val="18"/>
                <w:szCs w:val="18"/>
                <w:color w:val="auto"/>
              </w:rPr>
            </w:pP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Alexander F. Stern (incorporated by reference to Exhibit 10.28 to Registrant’s Annual Report (File No. 333-126751) on Form 10-K filed on</w:t>
            </w:r>
          </w:p>
        </w:tc>
      </w:tr>
      <w:tr>
        <w:trPr>
          <w:trHeight w:val="228"/>
        </w:trPr>
        <w:tc>
          <w:tcPr>
            <w:tcW w:w="9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March 2, 2009).</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First Amendment, dated as of March 23, 2010,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October 4, 2004, with Alexander F. Stern (incorporated by reference to Exhibit 10.2 to the Registrant’s Current Report on Form 8-K (File No.</w:t>
            </w:r>
          </w:p>
        </w:tc>
      </w:tr>
      <w:tr>
        <w:trPr>
          <w:trHeight w:val="228"/>
        </w:trPr>
        <w:tc>
          <w:tcPr>
            <w:tcW w:w="9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333-126751) filed on March 23, 2010).</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Agreement Relating to Retention and Noncompetition and Other Covenants, dated as of March 18, 2005, by and between the Registrant and</w:t>
            </w:r>
          </w:p>
        </w:tc>
      </w:tr>
      <w:tr>
        <w:trPr>
          <w:trHeight w:val="216"/>
        </w:trPr>
        <w:tc>
          <w:tcPr>
            <w:tcW w:w="940" w:type="dxa"/>
            <w:vAlign w:val="bottom"/>
          </w:tcPr>
          <w:p>
            <w:pPr>
              <w:spacing w:after="0"/>
              <w:rPr>
                <w:sz w:val="18"/>
                <w:szCs w:val="18"/>
                <w:color w:val="auto"/>
              </w:rPr>
            </w:pP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Kenneth M. Jacobs (incorporated by reference to Exhibit 10.29 to the Registrant’s Annual Report on Form 10-K (File No. 333-126751) filed</w:t>
            </w:r>
          </w:p>
        </w:tc>
      </w:tr>
      <w:tr>
        <w:trPr>
          <w:trHeight w:val="228"/>
        </w:trPr>
        <w:tc>
          <w:tcPr>
            <w:tcW w:w="9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on March 1, 2010).</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First Amendment, dated as of March 23, 2010,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March 18, 2005, with Kenneth M. Jacobs (incorporated by reference to Exhibit 10.1 to the Registrant’s Current Report on Form 8-K (File No.</w:t>
            </w:r>
          </w:p>
        </w:tc>
      </w:tr>
      <w:tr>
        <w:trPr>
          <w:trHeight w:val="228"/>
        </w:trPr>
        <w:tc>
          <w:tcPr>
            <w:tcW w:w="9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333-126751) filed on March 23, 2010).</w:t>
            </w:r>
          </w:p>
        </w:tc>
      </w:tr>
      <w:tr>
        <w:trPr>
          <w:trHeight w:val="365"/>
        </w:trPr>
        <w:tc>
          <w:tcPr>
            <w:tcW w:w="940" w:type="dxa"/>
            <w:vAlign w:val="bottom"/>
          </w:tcPr>
          <w:p>
            <w:pPr>
              <w:spacing w:after="0"/>
              <w:rPr>
                <w:sz w:val="24"/>
                <w:szCs w:val="24"/>
                <w:color w:val="auto"/>
              </w:rPr>
            </w:pPr>
          </w:p>
        </w:tc>
        <w:tc>
          <w:tcPr>
            <w:tcW w:w="10480" w:type="dxa"/>
            <w:vAlign w:val="bottom"/>
          </w:tcPr>
          <w:p>
            <w:pPr>
              <w:ind w:left="4680"/>
              <w:spacing w:after="0"/>
              <w:rPr>
                <w:sz w:val="20"/>
                <w:szCs w:val="20"/>
                <w:color w:val="auto"/>
              </w:rPr>
            </w:pPr>
            <w:r>
              <w:rPr>
                <w:rFonts w:ascii="Times New Roman" w:cs="Times New Roman" w:eastAsia="Times New Roman" w:hAnsi="Times New Roman"/>
                <w:sz w:val="18"/>
                <w:szCs w:val="18"/>
                <w:color w:val="auto"/>
              </w:rPr>
              <w:t>76</w:t>
            </w:r>
          </w:p>
        </w:tc>
      </w:tr>
    </w:tbl>
    <w:p>
      <w:pPr>
        <w:sectPr>
          <w:pgSz w:w="11900" w:h="16838" w:orient="portrait"/>
          <w:cols w:equalWidth="0" w:num="1">
            <w:col w:w="11420"/>
          </w:cols>
          <w:pgMar w:left="240" w:top="455" w:right="2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04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Agreement Relating to Retention and Noncompetition and Other Covenants, dated as of October 4, 2004, by and between the Registrant and</w:t>
            </w:r>
          </w:p>
        </w:tc>
      </w:tr>
      <w:tr>
        <w:trPr>
          <w:trHeight w:val="216"/>
        </w:trPr>
        <w:tc>
          <w:tcPr>
            <w:tcW w:w="940" w:type="dxa"/>
            <w:vAlign w:val="bottom"/>
          </w:tcPr>
          <w:p>
            <w:pPr>
              <w:spacing w:after="0"/>
              <w:rPr>
                <w:sz w:val="18"/>
                <w:szCs w:val="18"/>
                <w:color w:val="auto"/>
              </w:rPr>
            </w:pPr>
          </w:p>
        </w:tc>
        <w:tc>
          <w:tcPr>
            <w:tcW w:w="104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Matthieu Bucaille (incorporated by reference to Exhibit 10.30 to the Registrant’s Quarterly Report (File No. 333-126751) on Form 10-Q filed</w:t>
            </w:r>
          </w:p>
        </w:tc>
      </w:tr>
      <w:tr>
        <w:trPr>
          <w:trHeight w:val="228"/>
        </w:trPr>
        <w:tc>
          <w:tcPr>
            <w:tcW w:w="940" w:type="dxa"/>
            <w:vAlign w:val="bottom"/>
          </w:tcPr>
          <w:p>
            <w:pPr>
              <w:spacing w:after="0"/>
              <w:rPr>
                <w:sz w:val="19"/>
                <w:szCs w:val="19"/>
                <w:color w:val="auto"/>
              </w:rPr>
            </w:pPr>
          </w:p>
        </w:tc>
        <w:tc>
          <w:tcPr>
            <w:tcW w:w="10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on April 29, 2011).</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104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First Amendment, dated as of April 1, 2011,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October 4, 2004, between the Registrant and Matthieu Bucaille (incorporated by reference to Exhibit 10.31 to the Registrant’s Quarterly</w:t>
            </w:r>
          </w:p>
        </w:tc>
      </w:tr>
      <w:tr>
        <w:trPr>
          <w:trHeight w:val="228"/>
        </w:trPr>
        <w:tc>
          <w:tcPr>
            <w:tcW w:w="940" w:type="dxa"/>
            <w:vAlign w:val="bottom"/>
          </w:tcPr>
          <w:p>
            <w:pPr>
              <w:spacing w:after="0"/>
              <w:rPr>
                <w:sz w:val="19"/>
                <w:szCs w:val="19"/>
                <w:color w:val="auto"/>
              </w:rPr>
            </w:pPr>
          </w:p>
        </w:tc>
        <w:tc>
          <w:tcPr>
            <w:tcW w:w="10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Report (File No. 333-126751) on Form 10-Q filed on April 29, 2011).</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104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Acknowledgement Letter, dated as of November 6, 2006 from the Registrant to certain managing directors of the Registrant modifying the</w:t>
            </w:r>
          </w:p>
        </w:tc>
      </w:tr>
      <w:tr>
        <w:trPr>
          <w:trHeight w:val="216"/>
        </w:trPr>
        <w:tc>
          <w:tcPr>
            <w:tcW w:w="940" w:type="dxa"/>
            <w:vAlign w:val="bottom"/>
          </w:tcPr>
          <w:p>
            <w:pPr>
              <w:spacing w:after="0"/>
              <w:rPr>
                <w:sz w:val="18"/>
                <w:szCs w:val="18"/>
                <w:color w:val="auto"/>
              </w:rPr>
            </w:pPr>
          </w:p>
        </w:tc>
        <w:tc>
          <w:tcPr>
            <w:tcW w:w="10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terms of the retention agreements of persons party to the Amended and Restated Stockholders’ Agreement, dated as of November 6, 2006</w:t>
            </w:r>
          </w:p>
        </w:tc>
      </w:tr>
      <w:tr>
        <w:trPr>
          <w:trHeight w:val="216"/>
        </w:trPr>
        <w:tc>
          <w:tcPr>
            <w:tcW w:w="940" w:type="dxa"/>
            <w:vAlign w:val="bottom"/>
          </w:tcPr>
          <w:p>
            <w:pPr>
              <w:spacing w:after="0"/>
              <w:rPr>
                <w:sz w:val="18"/>
                <w:szCs w:val="18"/>
                <w:color w:val="auto"/>
              </w:rPr>
            </w:pPr>
          </w:p>
        </w:tc>
        <w:tc>
          <w:tcPr>
            <w:tcW w:w="104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(incorporated by reference to Exhibit 10.23 to the Registrant’s Quarterly Report (File No. 333-126751) on Form 10-Q filed on November 7,</w:t>
            </w:r>
          </w:p>
        </w:tc>
      </w:tr>
      <w:tr>
        <w:trPr>
          <w:trHeight w:val="228"/>
        </w:trPr>
        <w:tc>
          <w:tcPr>
            <w:tcW w:w="940" w:type="dxa"/>
            <w:vAlign w:val="bottom"/>
          </w:tcPr>
          <w:p>
            <w:pPr>
              <w:spacing w:after="0"/>
              <w:rPr>
                <w:sz w:val="19"/>
                <w:szCs w:val="19"/>
                <w:color w:val="auto"/>
              </w:rPr>
            </w:pPr>
          </w:p>
        </w:tc>
        <w:tc>
          <w:tcPr>
            <w:tcW w:w="10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2006).</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104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Letter Agreement, dated as of March 15, 2005 from IXIS Corporate and Investment Bank to Lazard LLC and Lazard Ltd (incorporated by</w:t>
            </w:r>
          </w:p>
        </w:tc>
      </w:tr>
      <w:tr>
        <w:trPr>
          <w:trHeight w:val="228"/>
        </w:trPr>
        <w:tc>
          <w:tcPr>
            <w:tcW w:w="940" w:type="dxa"/>
            <w:vAlign w:val="bottom"/>
          </w:tcPr>
          <w:p>
            <w:pPr>
              <w:spacing w:after="0"/>
              <w:rPr>
                <w:sz w:val="19"/>
                <w:szCs w:val="19"/>
                <w:color w:val="auto"/>
              </w:rPr>
            </w:pPr>
          </w:p>
        </w:tc>
        <w:tc>
          <w:tcPr>
            <w:tcW w:w="10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reference to Exhibit 10.27 to Lazard Ltd’s Registration Statement (File No. 333-121407) on Form S-1/A filed on March 21, 2005).</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104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Registration Rights Agreement, dated as of May 10, 2005, by and among Lazard Group Finance LLC, the Registrant, Lazard Ltd and IXIS</w:t>
            </w:r>
          </w:p>
        </w:tc>
      </w:tr>
      <w:tr>
        <w:trPr>
          <w:trHeight w:val="216"/>
        </w:trPr>
        <w:tc>
          <w:tcPr>
            <w:tcW w:w="940" w:type="dxa"/>
            <w:vAlign w:val="bottom"/>
          </w:tcPr>
          <w:p>
            <w:pPr>
              <w:spacing w:after="0"/>
              <w:rPr>
                <w:sz w:val="18"/>
                <w:szCs w:val="18"/>
                <w:color w:val="auto"/>
              </w:rPr>
            </w:pPr>
          </w:p>
        </w:tc>
        <w:tc>
          <w:tcPr>
            <w:tcW w:w="104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Corporate and Investment Bank (incorporated by reference to Exhibit 10.30 to Lazard Ltd’s Quarterly Report (File No. 001-32492) on Form</w:t>
            </w:r>
          </w:p>
        </w:tc>
      </w:tr>
      <w:tr>
        <w:trPr>
          <w:trHeight w:val="228"/>
        </w:trPr>
        <w:tc>
          <w:tcPr>
            <w:tcW w:w="940" w:type="dxa"/>
            <w:vAlign w:val="bottom"/>
          </w:tcPr>
          <w:p>
            <w:pPr>
              <w:spacing w:after="0"/>
              <w:rPr>
                <w:sz w:val="19"/>
                <w:szCs w:val="19"/>
                <w:color w:val="auto"/>
              </w:rPr>
            </w:pPr>
          </w:p>
        </w:tc>
        <w:tc>
          <w:tcPr>
            <w:tcW w:w="10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10-Q filed on June 16, 2005).</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104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Description of Non-Executive Director Compensation (incorporated by reference to Exhibit 10.33 to Lazard Ltd’s Quarterly Report (File No.</w:t>
            </w:r>
          </w:p>
        </w:tc>
      </w:tr>
      <w:tr>
        <w:trPr>
          <w:trHeight w:val="228"/>
        </w:trPr>
        <w:tc>
          <w:tcPr>
            <w:tcW w:w="940" w:type="dxa"/>
            <w:vAlign w:val="bottom"/>
          </w:tcPr>
          <w:p>
            <w:pPr>
              <w:spacing w:after="0"/>
              <w:rPr>
                <w:sz w:val="19"/>
                <w:szCs w:val="19"/>
                <w:color w:val="auto"/>
              </w:rPr>
            </w:pPr>
          </w:p>
        </w:tc>
        <w:tc>
          <w:tcPr>
            <w:tcW w:w="10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001-32492) on Form 10-Q for the quarter ended June 30, 2005).</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104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Form of Award Letter for Annual Grant of Deferred Stock Units to Non-Executive Directors (incorporated by reference to Exhibit 99.1 to</w:t>
            </w:r>
          </w:p>
        </w:tc>
      </w:tr>
      <w:tr>
        <w:trPr>
          <w:trHeight w:val="228"/>
        </w:trPr>
        <w:tc>
          <w:tcPr>
            <w:tcW w:w="940" w:type="dxa"/>
            <w:vAlign w:val="bottom"/>
          </w:tcPr>
          <w:p>
            <w:pPr>
              <w:spacing w:after="0"/>
              <w:rPr>
                <w:sz w:val="19"/>
                <w:szCs w:val="19"/>
                <w:color w:val="auto"/>
              </w:rPr>
            </w:pPr>
          </w:p>
        </w:tc>
        <w:tc>
          <w:tcPr>
            <w:tcW w:w="10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Lazard Ltd’s Current Report on Form 8-K (File No. 001-32492) filed on September 8, 2005).</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104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Form of Agreement evidencing a grant of Restricted Stock Units to Executive Officers under the 2005 Equity Incentive Plan (incorporated by</w:t>
            </w:r>
          </w:p>
        </w:tc>
      </w:tr>
      <w:tr>
        <w:trPr>
          <w:trHeight w:val="228"/>
        </w:trPr>
        <w:tc>
          <w:tcPr>
            <w:tcW w:w="940" w:type="dxa"/>
            <w:vAlign w:val="bottom"/>
          </w:tcPr>
          <w:p>
            <w:pPr>
              <w:spacing w:after="0"/>
              <w:rPr>
                <w:sz w:val="19"/>
                <w:szCs w:val="19"/>
                <w:color w:val="auto"/>
              </w:rPr>
            </w:pPr>
          </w:p>
        </w:tc>
        <w:tc>
          <w:tcPr>
            <w:tcW w:w="10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reference to Exhibit 10.1 to Lazard Ltd’s Current Report on Form 8-K (File No. 001-32492) filed on January 26, 2006).</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10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 of Agreement evidencing a grant of Restricted Stock Units to Executive Officers under the 2008 Incentive Compensation Plan</w:t>
            </w:r>
          </w:p>
        </w:tc>
      </w:tr>
      <w:tr>
        <w:trPr>
          <w:trHeight w:val="228"/>
        </w:trPr>
        <w:tc>
          <w:tcPr>
            <w:tcW w:w="940" w:type="dxa"/>
            <w:vAlign w:val="bottom"/>
          </w:tcPr>
          <w:p>
            <w:pPr>
              <w:spacing w:after="0"/>
              <w:rPr>
                <w:sz w:val="19"/>
                <w:szCs w:val="19"/>
                <w:color w:val="auto"/>
              </w:rPr>
            </w:pPr>
          </w:p>
        </w:tc>
        <w:tc>
          <w:tcPr>
            <w:tcW w:w="10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(incorporated by reference to Exhibit 10.41 to Lazard Ltd’s Annual Report (File No. 001-32492) on Form 10-K filed on March 2, 2009).</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10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 of Agreement evidencing a grant of Deferred Cash Award to Executive Officers under the 2008 Incentive Compensation Plan</w:t>
            </w:r>
          </w:p>
        </w:tc>
      </w:tr>
      <w:tr>
        <w:trPr>
          <w:trHeight w:val="228"/>
        </w:trPr>
        <w:tc>
          <w:tcPr>
            <w:tcW w:w="940" w:type="dxa"/>
            <w:vAlign w:val="bottom"/>
          </w:tcPr>
          <w:p>
            <w:pPr>
              <w:spacing w:after="0"/>
              <w:rPr>
                <w:sz w:val="19"/>
                <w:szCs w:val="19"/>
                <w:color w:val="auto"/>
              </w:rPr>
            </w:pPr>
          </w:p>
        </w:tc>
        <w:tc>
          <w:tcPr>
            <w:tcW w:w="10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(incorporated by reference to Exhibit 10.42 to Lazard Ltd’s Annual Report (File No. 001-32492) on Form 10-K filed on March 2, 2009).</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104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Directors Fee Deferral Unit Plan (incorporated by reference to Exhibit 10.39 to Lazard Ltd’s Quarterly Report (File No. 001-32492) on Form</w:t>
            </w:r>
          </w:p>
        </w:tc>
      </w:tr>
      <w:tr>
        <w:trPr>
          <w:trHeight w:val="228"/>
        </w:trPr>
        <w:tc>
          <w:tcPr>
            <w:tcW w:w="940" w:type="dxa"/>
            <w:vAlign w:val="bottom"/>
          </w:tcPr>
          <w:p>
            <w:pPr>
              <w:spacing w:after="0"/>
              <w:rPr>
                <w:sz w:val="19"/>
                <w:szCs w:val="19"/>
                <w:color w:val="auto"/>
              </w:rPr>
            </w:pPr>
          </w:p>
        </w:tc>
        <w:tc>
          <w:tcPr>
            <w:tcW w:w="10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10-Q filed on May 11, 2006).</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104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First Amended Form of Agreement evidencing a grant of Restricted Stock Units to Executive Officers under the 2005 Equity Incentive Plan</w:t>
            </w:r>
          </w:p>
        </w:tc>
      </w:tr>
      <w:tr>
        <w:trPr>
          <w:trHeight w:val="228"/>
        </w:trPr>
        <w:tc>
          <w:tcPr>
            <w:tcW w:w="940" w:type="dxa"/>
            <w:vAlign w:val="bottom"/>
          </w:tcPr>
          <w:p>
            <w:pPr>
              <w:spacing w:after="0"/>
              <w:rPr>
                <w:sz w:val="19"/>
                <w:szCs w:val="19"/>
                <w:color w:val="auto"/>
              </w:rPr>
            </w:pPr>
          </w:p>
        </w:tc>
        <w:tc>
          <w:tcPr>
            <w:tcW w:w="10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(incorporated by reference to Exhibit 10.43 to Lazard Ltd’s Annual Report (File No. 001-32492) on Form 10-K filed on March 1, 2007).</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10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Agreement and Plan of Merger, dated as of August 14, 2008, by and among Lazard Ltd, LAZ Sub I, Lazard Asset Management LLC and</w:t>
            </w:r>
          </w:p>
        </w:tc>
      </w:tr>
      <w:tr>
        <w:trPr>
          <w:trHeight w:val="216"/>
        </w:trPr>
        <w:tc>
          <w:tcPr>
            <w:tcW w:w="940" w:type="dxa"/>
            <w:vAlign w:val="bottom"/>
          </w:tcPr>
          <w:p>
            <w:pPr>
              <w:spacing w:after="0"/>
              <w:rPr>
                <w:sz w:val="18"/>
                <w:szCs w:val="18"/>
                <w:color w:val="auto"/>
              </w:rPr>
            </w:pPr>
          </w:p>
        </w:tc>
        <w:tc>
          <w:tcPr>
            <w:tcW w:w="10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Lazard Asset Management Limited (incorporated by reference to Exhibit 2.1 to Lazard Ltd’s Current Report on Form 8-K (File No. 001-</w:t>
            </w:r>
          </w:p>
        </w:tc>
      </w:tr>
      <w:tr>
        <w:trPr>
          <w:trHeight w:val="228"/>
        </w:trPr>
        <w:tc>
          <w:tcPr>
            <w:tcW w:w="940" w:type="dxa"/>
            <w:vAlign w:val="bottom"/>
          </w:tcPr>
          <w:p>
            <w:pPr>
              <w:spacing w:after="0"/>
              <w:rPr>
                <w:sz w:val="19"/>
                <w:szCs w:val="19"/>
                <w:color w:val="auto"/>
              </w:rPr>
            </w:pPr>
          </w:p>
        </w:tc>
        <w:tc>
          <w:tcPr>
            <w:tcW w:w="10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32492) filed on August 15, 2008).</w:t>
            </w:r>
          </w:p>
        </w:tc>
      </w:tr>
      <w:tr>
        <w:trPr>
          <w:trHeight w:val="365"/>
        </w:trPr>
        <w:tc>
          <w:tcPr>
            <w:tcW w:w="940" w:type="dxa"/>
            <w:vAlign w:val="bottom"/>
          </w:tcPr>
          <w:p>
            <w:pPr>
              <w:spacing w:after="0"/>
              <w:rPr>
                <w:sz w:val="24"/>
                <w:szCs w:val="24"/>
                <w:color w:val="auto"/>
              </w:rPr>
            </w:pPr>
          </w:p>
        </w:tc>
        <w:tc>
          <w:tcPr>
            <w:tcW w:w="10400" w:type="dxa"/>
            <w:vAlign w:val="bottom"/>
          </w:tcPr>
          <w:p>
            <w:pPr>
              <w:ind w:left="4680"/>
              <w:spacing w:after="0"/>
              <w:rPr>
                <w:sz w:val="20"/>
                <w:szCs w:val="20"/>
                <w:color w:val="auto"/>
              </w:rPr>
            </w:pPr>
            <w:r>
              <w:rPr>
                <w:rFonts w:ascii="Times New Roman" w:cs="Times New Roman" w:eastAsia="Times New Roman" w:hAnsi="Times New Roman"/>
                <w:sz w:val="18"/>
                <w:szCs w:val="18"/>
                <w:color w:val="auto"/>
              </w:rPr>
              <w:t>77</w:t>
            </w:r>
          </w:p>
        </w:tc>
      </w:tr>
    </w:tbl>
    <w:p>
      <w:pPr>
        <w:sectPr>
          <w:pgSz w:w="11900" w:h="16838" w:orient="portrait"/>
          <w:cols w:equalWidth="0" w:num="1">
            <w:col w:w="11340"/>
          </w:cols>
          <w:pgMar w:left="240" w:top="455" w:right="31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left="920" w:right="140" w:hanging="917"/>
        <w:spacing w:after="0" w:line="262" w:lineRule="auto"/>
        <w:tabs>
          <w:tab w:leader="none" w:pos="900" w:val="left"/>
        </w:tabs>
        <w:rPr>
          <w:sz w:val="20"/>
          <w:szCs w:val="20"/>
          <w:color w:val="auto"/>
        </w:rPr>
      </w:pPr>
      <w:r>
        <w:rPr>
          <w:rFonts w:ascii="Times New Roman" w:cs="Times New Roman" w:eastAsia="Times New Roman" w:hAnsi="Times New Roman"/>
          <w:sz w:val="18"/>
          <w:szCs w:val="18"/>
          <w:color w:val="auto"/>
        </w:rPr>
        <w:t>10.42</w:t>
      </w:r>
      <w:r>
        <w:rPr>
          <w:sz w:val="20"/>
          <w:szCs w:val="20"/>
          <w:color w:val="auto"/>
        </w:rPr>
        <w:tab/>
      </w:r>
      <w:r>
        <w:rPr>
          <w:rFonts w:ascii="Times New Roman" w:cs="Times New Roman" w:eastAsia="Times New Roman" w:hAnsi="Times New Roman"/>
          <w:sz w:val="18"/>
          <w:szCs w:val="18"/>
          <w:color w:val="auto"/>
        </w:rPr>
        <w:t>Senior Revolving Credit Agreement, dated as of September 25, 2012, among the Registrant, the Banks from time to time parties thereto, and Citibank, N.A., as Administrative Agent (incorporated by reference to Exhibit 10.46 to the Registrant’s Quarterly Report (File No. 333-126751) on Form 10-Q filed on November 1, 2012).</w:t>
      </w:r>
    </w:p>
    <w:p>
      <w:pPr>
        <w:spacing w:after="0" w:line="78" w:lineRule="exact"/>
        <w:rPr>
          <w:sz w:val="20"/>
          <w:szCs w:val="20"/>
          <w:color w:val="auto"/>
        </w:rPr>
      </w:pPr>
    </w:p>
    <w:p>
      <w:pPr>
        <w:ind w:left="920" w:right="60" w:hanging="917"/>
        <w:spacing w:after="0" w:line="275" w:lineRule="auto"/>
        <w:tabs>
          <w:tab w:leader="none" w:pos="900" w:val="left"/>
        </w:tabs>
        <w:rPr>
          <w:sz w:val="20"/>
          <w:szCs w:val="20"/>
          <w:color w:val="auto"/>
        </w:rPr>
      </w:pPr>
      <w:r>
        <w:rPr>
          <w:rFonts w:ascii="Times New Roman" w:cs="Times New Roman" w:eastAsia="Times New Roman" w:hAnsi="Times New Roman"/>
          <w:sz w:val="18"/>
          <w:szCs w:val="18"/>
          <w:color w:val="auto"/>
        </w:rPr>
        <w:t>10.43*</w:t>
      </w:r>
      <w:r>
        <w:rPr>
          <w:sz w:val="20"/>
          <w:szCs w:val="20"/>
          <w:color w:val="auto"/>
        </w:rPr>
        <w:tab/>
      </w:r>
      <w:r>
        <w:rPr>
          <w:rFonts w:ascii="Times New Roman" w:cs="Times New Roman" w:eastAsia="Times New Roman" w:hAnsi="Times New Roman"/>
          <w:sz w:val="18"/>
          <w:szCs w:val="18"/>
          <w:color w:val="auto"/>
        </w:rPr>
        <w:t>Form of Agreement evidencing a grant of Restricted Stock under the 2008 Incentive Compensation Plan (incorporated by reference to Exhibit 10.54 to the Registrant’s Quarterly Report (File No. 333-126751) on Form 10-Q filed on April 30, 2010).</w:t>
      </w:r>
    </w:p>
    <w:p>
      <w:pPr>
        <w:spacing w:after="0" w:line="6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10.44*</w:t>
      </w:r>
      <w:r>
        <w:rPr>
          <w:sz w:val="20"/>
          <w:szCs w:val="20"/>
          <w:color w:val="auto"/>
        </w:rPr>
        <w:tab/>
      </w:r>
      <w:r>
        <w:rPr>
          <w:rFonts w:ascii="Times New Roman" w:cs="Times New Roman" w:eastAsia="Times New Roman" w:hAnsi="Times New Roman"/>
          <w:sz w:val="16"/>
          <w:szCs w:val="16"/>
          <w:color w:val="auto"/>
        </w:rPr>
        <w:t>Form of Agreement evidencing a grant of Lazard Fund Interests under the 2008 Incentive Compensation Plan (incorporated by reference to Exhibit</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10.54 to the Registrant’s Quarterly Report (File No. 333-126751) on Form 10-Q filed on April 29, 2011).</w:t>
      </w:r>
    </w:p>
    <w:p>
      <w:pPr>
        <w:spacing w:after="0" w:line="105" w:lineRule="exact"/>
        <w:rPr>
          <w:sz w:val="20"/>
          <w:szCs w:val="20"/>
          <w:color w:val="auto"/>
        </w:rPr>
      </w:pPr>
    </w:p>
    <w:p>
      <w:pPr>
        <w:ind w:left="920" w:right="220" w:hanging="917"/>
        <w:spacing w:after="0" w:line="262" w:lineRule="auto"/>
        <w:tabs>
          <w:tab w:leader="none" w:pos="900" w:val="left"/>
        </w:tabs>
        <w:rPr>
          <w:sz w:val="20"/>
          <w:szCs w:val="20"/>
          <w:color w:val="auto"/>
        </w:rPr>
      </w:pPr>
      <w:r>
        <w:rPr>
          <w:rFonts w:ascii="Times New Roman" w:cs="Times New Roman" w:eastAsia="Times New Roman" w:hAnsi="Times New Roman"/>
          <w:sz w:val="18"/>
          <w:szCs w:val="18"/>
          <w:color w:val="auto"/>
        </w:rPr>
        <w:t>10.45*</w:t>
      </w:r>
      <w:r>
        <w:rPr>
          <w:sz w:val="20"/>
          <w:szCs w:val="20"/>
          <w:color w:val="auto"/>
        </w:rPr>
        <w:tab/>
      </w:r>
      <w:r>
        <w:rPr>
          <w:rFonts w:ascii="Times New Roman" w:cs="Times New Roman" w:eastAsia="Times New Roman" w:hAnsi="Times New Roman"/>
          <w:sz w:val="18"/>
          <w:szCs w:val="18"/>
          <w:color w:val="auto"/>
        </w:rPr>
        <w:t>Form of Agreement evidencing a grant of Restricted Stock Units and Restricted Stock to Executive Officers who are or may become eligible for retirement under the 2008 Incentive Compensation Plan (incorporated by reference to Exhibit 10.52 to the Registrant’s Quarterly Report (File No. 333-126751) on Form 10-Q filed on May 2, 2012).</w:t>
      </w:r>
    </w:p>
    <w:p>
      <w:pPr>
        <w:spacing w:after="0" w:line="7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10.46*</w:t>
      </w:r>
      <w:r>
        <w:rPr>
          <w:sz w:val="20"/>
          <w:szCs w:val="20"/>
          <w:color w:val="auto"/>
        </w:rPr>
        <w:tab/>
      </w:r>
      <w:r>
        <w:rPr>
          <w:rFonts w:ascii="Times New Roman" w:cs="Times New Roman" w:eastAsia="Times New Roman" w:hAnsi="Times New Roman"/>
          <w:sz w:val="16"/>
          <w:szCs w:val="16"/>
          <w:color w:val="auto"/>
        </w:rPr>
        <w:t>First Amendment, dated as of August 2, 2011, to the Agreement Relating to Retention and Noncompetition and Other Covenants, dated as of March</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15, 2005, between the Registrant and Ashish Bhutani (incorporated by reference to Exhibit 10.55 to the Registrant’s Quarterly Report (File</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 333-126751) on Form 10-Q filed on August 4, 2011).</w:t>
      </w:r>
    </w:p>
    <w:p>
      <w:pPr>
        <w:spacing w:after="0" w:line="105" w:lineRule="exact"/>
        <w:rPr>
          <w:sz w:val="20"/>
          <w:szCs w:val="20"/>
          <w:color w:val="auto"/>
        </w:rPr>
      </w:pPr>
    </w:p>
    <w:p>
      <w:pPr>
        <w:ind w:left="920" w:right="160" w:hanging="917"/>
        <w:spacing w:after="0" w:line="262" w:lineRule="auto"/>
        <w:tabs>
          <w:tab w:leader="none" w:pos="900" w:val="left"/>
        </w:tabs>
        <w:rPr>
          <w:sz w:val="20"/>
          <w:szCs w:val="20"/>
          <w:color w:val="auto"/>
        </w:rPr>
      </w:pPr>
      <w:r>
        <w:rPr>
          <w:rFonts w:ascii="Times New Roman" w:cs="Times New Roman" w:eastAsia="Times New Roman" w:hAnsi="Times New Roman"/>
          <w:sz w:val="18"/>
          <w:szCs w:val="18"/>
          <w:color w:val="auto"/>
        </w:rPr>
        <w:t>10.47*</w:t>
      </w:r>
      <w:r>
        <w:rPr>
          <w:sz w:val="20"/>
          <w:szCs w:val="20"/>
          <w:color w:val="auto"/>
        </w:rPr>
        <w:tab/>
      </w:r>
      <w:r>
        <w:rPr>
          <w:rFonts w:ascii="Times New Roman" w:cs="Times New Roman" w:eastAsia="Times New Roman" w:hAnsi="Times New Roman"/>
          <w:sz w:val="18"/>
          <w:szCs w:val="18"/>
          <w:color w:val="auto"/>
        </w:rPr>
        <w:t>Second Amendment, dated as of October 24, 2012, to the Agreement relating to Retention and Noncompetition and Other Covenants, dated as of March 18, 2005, and amended on March 23, 2010, among the Registrant, Lazard Ltd and Kenneth M. Jacobs (incorporated by reference to Exhibit 10.51 to the Registrant’s Quarterly Report (File No. 333-126751) on Form 10-Q filed on November 1, 2012).</w:t>
      </w:r>
    </w:p>
    <w:p>
      <w:pPr>
        <w:spacing w:after="0" w:line="78" w:lineRule="exact"/>
        <w:rPr>
          <w:sz w:val="20"/>
          <w:szCs w:val="20"/>
          <w:color w:val="auto"/>
        </w:rPr>
      </w:pPr>
    </w:p>
    <w:p>
      <w:pPr>
        <w:ind w:left="920" w:right="80" w:hanging="917"/>
        <w:spacing w:after="0" w:line="262" w:lineRule="auto"/>
        <w:tabs>
          <w:tab w:leader="none" w:pos="900" w:val="left"/>
        </w:tabs>
        <w:rPr>
          <w:sz w:val="20"/>
          <w:szCs w:val="20"/>
          <w:color w:val="auto"/>
        </w:rPr>
      </w:pPr>
      <w:r>
        <w:rPr>
          <w:rFonts w:ascii="Times New Roman" w:cs="Times New Roman" w:eastAsia="Times New Roman" w:hAnsi="Times New Roman"/>
          <w:sz w:val="18"/>
          <w:szCs w:val="18"/>
          <w:color w:val="auto"/>
        </w:rPr>
        <w:t>10.48*</w:t>
      </w:r>
      <w:r>
        <w:rPr>
          <w:sz w:val="20"/>
          <w:szCs w:val="20"/>
          <w:color w:val="auto"/>
        </w:rPr>
        <w:tab/>
      </w:r>
      <w:r>
        <w:rPr>
          <w:rFonts w:ascii="Times New Roman" w:cs="Times New Roman" w:eastAsia="Times New Roman" w:hAnsi="Times New Roman"/>
          <w:sz w:val="18"/>
          <w:szCs w:val="18"/>
          <w:color w:val="auto"/>
        </w:rPr>
        <w:t>Second Amendment, dated as of March 14, 2013, to the Agreement Relating to Retention and Noncompetition and Other Covenants dated as of March 15, 2005 and amended on August 2, 2011, among the Registrant, Lazard Ltd and Ashish Bhutani (incorporated by reference to Exhibit 10.49 to the Registrant’s Quarterly Report (File No. 333-126751) on Form 10-Q filed on April 30, 2013).</w:t>
      </w:r>
    </w:p>
    <w:p>
      <w:pPr>
        <w:spacing w:after="0" w:line="78" w:lineRule="exact"/>
        <w:rPr>
          <w:sz w:val="20"/>
          <w:szCs w:val="20"/>
          <w:color w:val="auto"/>
        </w:rPr>
      </w:pPr>
    </w:p>
    <w:p>
      <w:pPr>
        <w:ind w:left="920" w:right="20" w:hanging="917"/>
        <w:spacing w:after="0" w:line="262" w:lineRule="auto"/>
        <w:tabs>
          <w:tab w:leader="none" w:pos="900" w:val="left"/>
        </w:tabs>
        <w:rPr>
          <w:sz w:val="20"/>
          <w:szCs w:val="20"/>
          <w:color w:val="auto"/>
        </w:rPr>
      </w:pPr>
      <w:r>
        <w:rPr>
          <w:rFonts w:ascii="Times New Roman" w:cs="Times New Roman" w:eastAsia="Times New Roman" w:hAnsi="Times New Roman"/>
          <w:sz w:val="18"/>
          <w:szCs w:val="18"/>
          <w:color w:val="auto"/>
        </w:rPr>
        <w:t>10.49*</w:t>
      </w:r>
      <w:r>
        <w:rPr>
          <w:sz w:val="20"/>
          <w:szCs w:val="20"/>
          <w:color w:val="auto"/>
        </w:rPr>
        <w:tab/>
      </w:r>
      <w:r>
        <w:rPr>
          <w:rFonts w:ascii="Times New Roman" w:cs="Times New Roman" w:eastAsia="Times New Roman" w:hAnsi="Times New Roman"/>
          <w:sz w:val="18"/>
          <w:szCs w:val="18"/>
          <w:color w:val="auto"/>
        </w:rPr>
        <w:t>Second Amendment, dated as of March 14, 2013, to the Agreement Relating to Retention and Noncompetition and Other Covenants dated as of October 4, 2004 and amended on April 1, 2011, among the Registrant, Lazard Ltd and Matthieu Bucaille (incorporated by reference to Exhibit 10.50 to the Registrant’s Quarterly Report (File No. 333-126751) on Form 10-Q filed on April 30, 2013).</w:t>
      </w:r>
    </w:p>
    <w:p>
      <w:pPr>
        <w:spacing w:after="0" w:line="78" w:lineRule="exact"/>
        <w:rPr>
          <w:sz w:val="20"/>
          <w:szCs w:val="20"/>
          <w:color w:val="auto"/>
        </w:rPr>
      </w:pPr>
    </w:p>
    <w:p>
      <w:pPr>
        <w:jc w:val="both"/>
        <w:ind w:left="920" w:hanging="917"/>
        <w:spacing w:after="0" w:line="262" w:lineRule="auto"/>
        <w:tabs>
          <w:tab w:leader="none" w:pos="900" w:val="left"/>
        </w:tabs>
        <w:rPr>
          <w:sz w:val="20"/>
          <w:szCs w:val="20"/>
          <w:color w:val="auto"/>
        </w:rPr>
      </w:pPr>
      <w:r>
        <w:rPr>
          <w:rFonts w:ascii="Times New Roman" w:cs="Times New Roman" w:eastAsia="Times New Roman" w:hAnsi="Times New Roman"/>
          <w:sz w:val="18"/>
          <w:szCs w:val="18"/>
          <w:color w:val="auto"/>
        </w:rPr>
        <w:t>10.50*</w:t>
      </w:r>
      <w:r>
        <w:rPr>
          <w:sz w:val="20"/>
          <w:szCs w:val="20"/>
          <w:color w:val="auto"/>
        </w:rPr>
        <w:tab/>
      </w:r>
      <w:r>
        <w:rPr>
          <w:rFonts w:ascii="Times New Roman" w:cs="Times New Roman" w:eastAsia="Times New Roman" w:hAnsi="Times New Roman"/>
          <w:sz w:val="18"/>
          <w:szCs w:val="18"/>
          <w:color w:val="auto"/>
        </w:rPr>
        <w:t>Second Amendment, dated as of March 14, 2013, to the Agreement Relating to Retention and Noncompetition and Other Covenants dated as of May 4, 2005 and amended on May 7, 2008 and February 23, 2011, among the Registrant, Lazard Ltd and Scott D. Hoffman (incorporated by reference to Exhibit 10.51 to the Registrant’s Quarterly Report (File No. 333-126751) on Form 10-Q filed on April 30, 20 13).</w:t>
      </w:r>
    </w:p>
    <w:p>
      <w:pPr>
        <w:spacing w:after="0" w:line="78" w:lineRule="exact"/>
        <w:rPr>
          <w:sz w:val="20"/>
          <w:szCs w:val="20"/>
          <w:color w:val="auto"/>
        </w:rPr>
      </w:pPr>
    </w:p>
    <w:p>
      <w:pPr>
        <w:ind w:left="920" w:right="220" w:hanging="917"/>
        <w:spacing w:after="0" w:line="262" w:lineRule="auto"/>
        <w:tabs>
          <w:tab w:leader="none" w:pos="900" w:val="left"/>
        </w:tabs>
        <w:rPr>
          <w:sz w:val="20"/>
          <w:szCs w:val="20"/>
          <w:color w:val="auto"/>
        </w:rPr>
      </w:pPr>
      <w:r>
        <w:rPr>
          <w:rFonts w:ascii="Times New Roman" w:cs="Times New Roman" w:eastAsia="Times New Roman" w:hAnsi="Times New Roman"/>
          <w:sz w:val="18"/>
          <w:szCs w:val="18"/>
          <w:color w:val="auto"/>
        </w:rPr>
        <w:t>10.51*</w:t>
      </w:r>
      <w:r>
        <w:rPr>
          <w:sz w:val="20"/>
          <w:szCs w:val="20"/>
          <w:color w:val="auto"/>
        </w:rPr>
        <w:tab/>
      </w:r>
      <w:r>
        <w:rPr>
          <w:rFonts w:ascii="Times New Roman" w:cs="Times New Roman" w:eastAsia="Times New Roman" w:hAnsi="Times New Roman"/>
          <w:sz w:val="18"/>
          <w:szCs w:val="18"/>
          <w:color w:val="auto"/>
        </w:rPr>
        <w:t>Second Amendment, dated as of March 14, 2013, to the Agreement Relating to Retention and Noncompetition and Other Covenants dated as of October 4, 2004 and amended on March 23, 2010, among the Registrant, Lazard Ltd and Alexander F. Stern (incorporated by reference to Exhibit 10.52 to the Registrant’s Quarterly Report (File No. 333-126751) on Form 10-Q filed on April 30, 2013).</w:t>
      </w:r>
    </w:p>
    <w:p>
      <w:pPr>
        <w:spacing w:after="0" w:line="78" w:lineRule="exact"/>
        <w:rPr>
          <w:sz w:val="20"/>
          <w:szCs w:val="20"/>
          <w:color w:val="auto"/>
        </w:rPr>
      </w:pPr>
    </w:p>
    <w:p>
      <w:pPr>
        <w:ind w:left="920" w:right="140" w:hanging="917"/>
        <w:spacing w:after="0" w:line="275" w:lineRule="auto"/>
        <w:tabs>
          <w:tab w:leader="none" w:pos="900" w:val="left"/>
        </w:tabs>
        <w:rPr>
          <w:sz w:val="20"/>
          <w:szCs w:val="20"/>
          <w:color w:val="auto"/>
        </w:rPr>
      </w:pPr>
      <w:r>
        <w:rPr>
          <w:rFonts w:ascii="Times New Roman" w:cs="Times New Roman" w:eastAsia="Times New Roman" w:hAnsi="Times New Roman"/>
          <w:sz w:val="18"/>
          <w:szCs w:val="18"/>
          <w:color w:val="auto"/>
        </w:rPr>
        <w:t>10.52*</w:t>
      </w:r>
      <w:r>
        <w:rPr>
          <w:sz w:val="20"/>
          <w:szCs w:val="20"/>
          <w:color w:val="auto"/>
        </w:rPr>
        <w:tab/>
      </w:r>
      <w:r>
        <w:rPr>
          <w:rFonts w:ascii="Times New Roman" w:cs="Times New Roman" w:eastAsia="Times New Roman" w:hAnsi="Times New Roman"/>
          <w:sz w:val="18"/>
          <w:szCs w:val="18"/>
          <w:color w:val="auto"/>
        </w:rPr>
        <w:t>Form of Agreement evidencing a grant of Performance-Based Stock Units under the 2008 Incentive Compensation Plan (incorporated by reference to Exhibit 10.53 to the Registrant’s Quarterly Report (File No. 333-126751) on Form 10-Q filed on April 30, 2013).</w:t>
      </w:r>
    </w:p>
    <w:p>
      <w:pPr>
        <w:spacing w:after="0" w:line="66" w:lineRule="exact"/>
        <w:rPr>
          <w:sz w:val="20"/>
          <w:szCs w:val="20"/>
          <w:color w:val="auto"/>
        </w:rPr>
      </w:pPr>
    </w:p>
    <w:p>
      <w:pPr>
        <w:ind w:left="920" w:right="440" w:hanging="917"/>
        <w:spacing w:after="0" w:line="339" w:lineRule="auto"/>
        <w:tabs>
          <w:tab w:leader="none" w:pos="900" w:val="left"/>
        </w:tabs>
        <w:rPr>
          <w:sz w:val="20"/>
          <w:szCs w:val="20"/>
          <w:color w:val="auto"/>
        </w:rPr>
      </w:pPr>
      <w:r>
        <w:rPr>
          <w:rFonts w:ascii="Times New Roman" w:cs="Times New Roman" w:eastAsia="Times New Roman" w:hAnsi="Times New Roman"/>
          <w:sz w:val="18"/>
          <w:szCs w:val="18"/>
          <w:color w:val="auto"/>
        </w:rPr>
        <w:t>10.53*</w:t>
      </w:r>
      <w:r>
        <w:rPr>
          <w:sz w:val="20"/>
          <w:szCs w:val="20"/>
          <w:color w:val="auto"/>
        </w:rPr>
        <w:tab/>
      </w:r>
      <w:r>
        <w:rPr>
          <w:rFonts w:ascii="Times New Roman" w:cs="Times New Roman" w:eastAsia="Times New Roman" w:hAnsi="Times New Roman"/>
          <w:sz w:val="16"/>
          <w:szCs w:val="16"/>
          <w:color w:val="auto"/>
        </w:rPr>
        <w:t>Form of Agreement evidencing a grant of Lazard Fund Interests to Named Executive Officers under the 2008 Incentive Compensation Plan (incorporated by reference to Exhibit 10.54 to the Registrant’s Quarterly Report (File No. 333-126751) on Form 10-Q filed on April 30, 2013).</w:t>
      </w:r>
    </w:p>
    <w:p>
      <w:pPr>
        <w:spacing w:after="0" w:line="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00"/>
          </w:cols>
          <w:pgMar w:left="240" w:top="455" w:right="2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10.54*</w:t>
            </w:r>
          </w:p>
        </w:tc>
        <w:tc>
          <w:tcPr>
            <w:tcW w:w="103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Form of Agreement evidencing a grant of Restricted Stock Units to Named Executive Officers under the 2008 Incentive Compensation Plan</w:t>
            </w:r>
          </w:p>
        </w:tc>
      </w:tr>
      <w:tr>
        <w:trPr>
          <w:trHeight w:val="228"/>
        </w:trPr>
        <w:tc>
          <w:tcPr>
            <w:tcW w:w="960" w:type="dxa"/>
            <w:vAlign w:val="bottom"/>
          </w:tcPr>
          <w:p>
            <w:pPr>
              <w:spacing w:after="0"/>
              <w:rPr>
                <w:sz w:val="19"/>
                <w:szCs w:val="19"/>
                <w:color w:val="auto"/>
              </w:rPr>
            </w:pPr>
          </w:p>
        </w:tc>
        <w:tc>
          <w:tcPr>
            <w:tcW w:w="103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(incorporated by reference to Exhibit 10.55 to the Registrant’s Quarterly Report (File No. 333-126751) on Form 10-Q filed on April 30, 2013).</w:t>
            </w:r>
          </w:p>
        </w:tc>
      </w:tr>
      <w:tr>
        <w:trPr>
          <w:trHeight w:val="324"/>
        </w:trPr>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12.1</w:t>
            </w:r>
          </w:p>
        </w:tc>
        <w:tc>
          <w:tcPr>
            <w:tcW w:w="10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Computation of Ratio of Earnings to Fixed Charges.</w:t>
            </w:r>
          </w:p>
        </w:tc>
      </w:tr>
      <w:tr>
        <w:trPr>
          <w:trHeight w:val="324"/>
        </w:trPr>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10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Rule l3a-14(a) Certification of Kenneth M. Jacobs.</w:t>
            </w:r>
          </w:p>
        </w:tc>
      </w:tr>
      <w:tr>
        <w:trPr>
          <w:trHeight w:val="324"/>
        </w:trPr>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0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Rule 13a-14(a) Certification of Matthieu Bucaille.</w:t>
            </w:r>
          </w:p>
        </w:tc>
      </w:tr>
      <w:tr>
        <w:trPr>
          <w:trHeight w:val="324"/>
        </w:trPr>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0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1350 Certification for Kenneth M. Jacobs.</w:t>
            </w:r>
          </w:p>
        </w:tc>
      </w:tr>
      <w:tr>
        <w:trPr>
          <w:trHeight w:val="324"/>
        </w:trPr>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10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1350 Certification for Matthieu Bucaille.</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300"/>
          </w:cols>
          <w:pgMar w:left="240" w:top="455" w:right="3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2013</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LAZARD GROUP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9"/>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t>
            </w:r>
          </w:p>
        </w:tc>
        <w:tc>
          <w:tcPr>
            <w:tcW w:w="3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Matthieu Bucaille</w:t>
            </w:r>
          </w:p>
        </w:tc>
      </w:tr>
      <w:tr>
        <w:trPr>
          <w:trHeight w:val="196"/>
        </w:trPr>
        <w:tc>
          <w:tcPr>
            <w:tcW w:w="280" w:type="dxa"/>
            <w:vAlign w:val="bottom"/>
          </w:tcPr>
          <w:p>
            <w:pPr>
              <w:spacing w:after="0"/>
              <w:rPr>
                <w:sz w:val="17"/>
                <w:szCs w:val="17"/>
                <w:color w:val="auto"/>
              </w:rPr>
            </w:pPr>
          </w:p>
        </w:tc>
        <w:tc>
          <w:tcPr>
            <w:tcW w:w="428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Name: Matthieu Bucaille</w:t>
            </w:r>
          </w:p>
        </w:tc>
      </w:tr>
      <w:tr>
        <w:trPr>
          <w:trHeight w:val="228"/>
        </w:trPr>
        <w:tc>
          <w:tcPr>
            <w:tcW w:w="280" w:type="dxa"/>
            <w:vAlign w:val="bottom"/>
          </w:tcPr>
          <w:p>
            <w:pPr>
              <w:spacing w:after="0"/>
              <w:rPr>
                <w:sz w:val="19"/>
                <w:szCs w:val="19"/>
                <w:color w:val="auto"/>
              </w:rPr>
            </w:pPr>
          </w:p>
        </w:tc>
        <w:tc>
          <w:tcPr>
            <w:tcW w:w="4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433"/>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t>
            </w:r>
          </w:p>
        </w:tc>
        <w:tc>
          <w:tcPr>
            <w:tcW w:w="3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Dominick Ragone</w:t>
            </w:r>
          </w:p>
        </w:tc>
      </w:tr>
      <w:tr>
        <w:trPr>
          <w:trHeight w:val="196"/>
        </w:trPr>
        <w:tc>
          <w:tcPr>
            <w:tcW w:w="280" w:type="dxa"/>
            <w:vAlign w:val="bottom"/>
          </w:tcPr>
          <w:p>
            <w:pPr>
              <w:spacing w:after="0"/>
              <w:rPr>
                <w:sz w:val="17"/>
                <w:szCs w:val="17"/>
                <w:color w:val="auto"/>
              </w:rPr>
            </w:pPr>
          </w:p>
        </w:tc>
        <w:tc>
          <w:tcPr>
            <w:tcW w:w="428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Name: Dominick Ragone</w:t>
            </w:r>
          </w:p>
        </w:tc>
      </w:tr>
      <w:tr>
        <w:trPr>
          <w:trHeight w:val="228"/>
        </w:trPr>
        <w:tc>
          <w:tcPr>
            <w:tcW w:w="280" w:type="dxa"/>
            <w:vAlign w:val="bottom"/>
          </w:tcPr>
          <w:p>
            <w:pPr>
              <w:spacing w:after="0"/>
              <w:rPr>
                <w:sz w:val="19"/>
                <w:szCs w:val="19"/>
                <w:color w:val="auto"/>
              </w:rPr>
            </w:pPr>
          </w:p>
        </w:tc>
        <w:tc>
          <w:tcPr>
            <w:tcW w:w="4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Title: Chief Accounting Officer</w:t>
            </w: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455" w:right="2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COMPUTATION OF RATIO OF EARNINGS TO FIXED CHARGES (a)</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ratio of earnings to fixed charges for Lazard Group LLC and its subsidiaries on a consolidated basis.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5"/>
              </w:rPr>
              <w:t>Nine Months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580"/>
              <w:spacing w:after="0" w:line="152"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2012</w:t>
            </w: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2011</w:t>
            </w:r>
          </w:p>
        </w:tc>
        <w:tc>
          <w:tcPr>
            <w:tcW w:w="96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2010</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2009</w:t>
            </w: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2008</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4"/>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144,230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121,593</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241,791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$246,809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6"/>
              </w:rPr>
              <w:t>(181,988)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Add—Fixed charges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84,979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116,255</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114,998</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121,656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132,785</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5"/>
              </w:rPr>
              <w:t>161,665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 before fixed charges</w:t>
            </w: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229,209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237,848</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356,789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368,465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(49,203)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203,694</w:t>
            </w:r>
          </w:p>
        </w:tc>
        <w:tc>
          <w:tcPr>
            <w:tcW w:w="0" w:type="dxa"/>
            <w:vAlign w:val="bottom"/>
          </w:tcPr>
          <w:p>
            <w:pPr>
              <w:spacing w:after="0"/>
              <w:rPr>
                <w:sz w:val="1"/>
                <w:szCs w:val="1"/>
                <w:color w:val="auto"/>
              </w:rPr>
            </w:pPr>
          </w:p>
        </w:tc>
      </w:tr>
      <w:tr>
        <w:trPr>
          <w:trHeight w:val="20"/>
        </w:trPr>
        <w:tc>
          <w:tcPr>
            <w:tcW w:w="36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Fixed Charges:</w:t>
            </w: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8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(b)</w:t>
            </w: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66,485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91,359</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94,211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$102,249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113,280</w:t>
            </w:r>
          </w:p>
        </w:tc>
        <w:tc>
          <w:tcPr>
            <w:tcW w:w="4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141,413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 (c)</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24,896</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20,787</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19,505</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fixed charges</w:t>
            </w: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84,979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116,255</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114,998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121,656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132,785</w:t>
            </w:r>
          </w:p>
        </w:tc>
        <w:tc>
          <w:tcPr>
            <w:tcW w:w="4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161,665</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2.70(d)</w:t>
            </w:r>
          </w:p>
        </w:tc>
        <w:tc>
          <w:tcPr>
            <w:tcW w:w="100" w:type="dxa"/>
            <w:vAlign w:val="bottom"/>
          </w:tcPr>
          <w:p>
            <w:pPr>
              <w:spacing w:after="0"/>
              <w:rPr>
                <w:sz w:val="24"/>
                <w:szCs w:val="24"/>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2.05(e)</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80" w:type="dxa"/>
            <w:vAlign w:val="bottom"/>
          </w:tcPr>
          <w:p>
            <w:pPr>
              <w:spacing w:after="0"/>
              <w:rPr>
                <w:sz w:val="24"/>
                <w:szCs w:val="24"/>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3.03(f)</w:t>
            </w:r>
          </w:p>
        </w:tc>
        <w:tc>
          <w:tcPr>
            <w:tcW w:w="10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–(g)</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66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Deficiency in the coverage of operating income</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before fixed charges to total fixed</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charges</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181,988</w:t>
            </w: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(dollars in thousands):</w:t>
      </w:r>
    </w:p>
    <w:p>
      <w:pPr>
        <w:spacing w:after="0" w:line="21" w:lineRule="exact"/>
        <w:rPr>
          <w:sz w:val="20"/>
          <w:szCs w:val="20"/>
          <w:color w:val="auto"/>
        </w:rPr>
      </w:pPr>
    </w:p>
    <w:p>
      <w:pPr>
        <w:ind w:left="460" w:hanging="452"/>
        <w:spacing w:after="0"/>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computing the ratio of earnings to fixed charges:</w:t>
      </w:r>
    </w:p>
    <w:p>
      <w:pPr>
        <w:spacing w:after="0" w:line="7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for the periods presented represent income before income taxes and fixed charges,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charges represent the interest expense and the portion of rental expense which represents an appropriate interest factor.</w:t>
      </w:r>
    </w:p>
    <w:p>
      <w:pPr>
        <w:spacing w:after="0" w:line="90" w:lineRule="exact"/>
        <w:rPr>
          <w:rFonts w:ascii="Times New Roman" w:cs="Times New Roman" w:eastAsia="Times New Roman" w:hAnsi="Times New Roman"/>
          <w:sz w:val="18"/>
          <w:szCs w:val="18"/>
          <w:color w:val="auto"/>
        </w:rPr>
      </w:pPr>
    </w:p>
    <w:p>
      <w:pPr>
        <w:ind w:left="460" w:hanging="452"/>
        <w:spacing w:after="0" w:line="275" w:lineRule="auto"/>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fixed charges consist of the interest factor in rentals.</w:t>
      </w:r>
    </w:p>
    <w:p>
      <w:pPr>
        <w:spacing w:after="0" w:line="90" w:lineRule="exact"/>
        <w:rPr>
          <w:rFonts w:ascii="Times New Roman" w:cs="Times New Roman" w:eastAsia="Times New Roman" w:hAnsi="Times New Roman"/>
          <w:sz w:val="18"/>
          <w:szCs w:val="18"/>
          <w:color w:val="auto"/>
        </w:rPr>
      </w:pPr>
    </w:p>
    <w:p>
      <w:pPr>
        <w:ind w:left="460" w:right="40" w:hanging="452"/>
        <w:spacing w:after="0" w:line="262" w:lineRule="auto"/>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for the nine month period ended September 30, 2013 is presented after giving effect to a charge of $64,703 associated with the cost saving initiatives announced by the Company in October 2012. Excluding the impact of such charge, the ratio of earnings to fixed charges would have been 3.46.</w:t>
      </w:r>
    </w:p>
    <w:p>
      <w:pPr>
        <w:spacing w:after="0" w:line="51" w:lineRule="exact"/>
        <w:rPr>
          <w:rFonts w:ascii="Times New Roman" w:cs="Times New Roman" w:eastAsia="Times New Roman" w:hAnsi="Times New Roman"/>
          <w:sz w:val="18"/>
          <w:szCs w:val="18"/>
          <w:color w:val="auto"/>
        </w:rPr>
      </w:pPr>
    </w:p>
    <w:p>
      <w:pPr>
        <w:ind w:left="460" w:right="160" w:hanging="452"/>
        <w:spacing w:after="0" w:line="301" w:lineRule="auto"/>
        <w:tabs>
          <w:tab w:leader="none" w:pos="4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and (ii) a charge in the fourth quarter of $102,576 associated with the cost saving initiatives announced by the Company in October 2012. Excluding the impact of such items, the ratio of earnings to fixed charges would have been 3.14.</w:t>
      </w:r>
    </w:p>
    <w:p>
      <w:pPr>
        <w:spacing w:after="0" w:line="22" w:lineRule="exact"/>
        <w:rPr>
          <w:rFonts w:ascii="Times New Roman" w:cs="Times New Roman" w:eastAsia="Times New Roman" w:hAnsi="Times New Roman"/>
          <w:sz w:val="16"/>
          <w:szCs w:val="16"/>
          <w:color w:val="auto"/>
        </w:rPr>
      </w:pPr>
    </w:p>
    <w:p>
      <w:pPr>
        <w:ind w:left="460" w:right="40" w:hanging="452"/>
        <w:spacing w:after="0" w:line="262" w:lineRule="auto"/>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for the year ended December 31, 2010 is presented after giving effect to (i) a restructuring charge of $87,108 and (ii) a charge of $24,860 relating to the amendment of Lazard’s retirement policy with respect to RSU awards. Excluding the impact of such items, the ratio of earnings to fixed charges would have been 3.95.</w:t>
      </w:r>
    </w:p>
    <w:p>
      <w:pPr>
        <w:sectPr>
          <w:pgSz w:w="11900" w:h="16838" w:orient="portrait"/>
          <w:cols w:equalWidth="0" w:num="1">
            <w:col w:w="11420"/>
          </w:cols>
          <w:pgMar w:left="240" w:top="123" w:right="239" w:bottom="1440" w:gutter="0" w:footer="0" w:header="0"/>
        </w:sectPr>
      </w:pPr>
    </w:p>
    <w:bookmarkStart w:id="83" w:name="page84"/>
    <w:bookmarkEnd w:id="83"/>
    <w:p>
      <w:pPr>
        <w:ind w:left="452" w:hanging="452"/>
        <w:spacing w:after="0" w:line="258" w:lineRule="auto"/>
        <w:tabs>
          <w:tab w:leader="none" w:pos="45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Operating loss for the year ended December 31, 2009 is presented after giving effect to (i) a restructuring charge of $62,550, (ii) the acceleration of amortization expense of $86,514 relating to the vesting of RSUs held by Lazard’s former Chairman and Chief Executive Officer as the result of his death in October 2009 and (iii) the acceleration of amortization expense of $60,512 relating to the accelerated vesting of the unamortized portion of previously awarded deferred cash incentive awards. Excluding the impact of such items, the ratio of earnings to fixed charges would have been 1.21.</w:t>
      </w:r>
    </w:p>
    <w:p>
      <w:pPr>
        <w:spacing w:after="0" w:line="55" w:lineRule="exact"/>
        <w:rPr>
          <w:rFonts w:ascii="Times New Roman" w:cs="Times New Roman" w:eastAsia="Times New Roman" w:hAnsi="Times New Roman"/>
          <w:sz w:val="18"/>
          <w:szCs w:val="18"/>
          <w:color w:val="auto"/>
        </w:rPr>
      </w:pPr>
    </w:p>
    <w:p>
      <w:pPr>
        <w:ind w:left="452" w:hanging="452"/>
        <w:spacing w:after="0" w:line="275" w:lineRule="auto"/>
        <w:tabs>
          <w:tab w:leader="none" w:pos="45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for the year ended December 31, 2008 is presented after giving effect to a charge of $199,550 relating to the LAM Merger. Excluding the impact of such charge, the ratio of earnings to fixed charges would have been 2.49.</w:t>
      </w:r>
    </w:p>
    <w:p>
      <w:pPr>
        <w:sectPr>
          <w:pgSz w:w="11900" w:h="16838" w:orient="portrait"/>
          <w:cols w:equalWidth="0" w:num="1">
            <w:col w:w="11392"/>
          </w:cols>
          <w:pgMar w:left="248" w:top="274" w:right="25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Kenneth M. Jacobs, certify that:</w:t>
      </w:r>
    </w:p>
    <w:p>
      <w:pPr>
        <w:spacing w:after="0" w:line="171" w:lineRule="exact"/>
        <w:rPr>
          <w:sz w:val="20"/>
          <w:szCs w:val="20"/>
          <w:color w:val="auto"/>
        </w:rPr>
      </w:pPr>
    </w:p>
    <w:p>
      <w:pPr>
        <w:ind w:left="640" w:hanging="176"/>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2013 of Lazard Group LLC (the “Registrant”);</w:t>
      </w:r>
    </w:p>
    <w:p>
      <w:pPr>
        <w:spacing w:after="0" w:line="171" w:lineRule="exact"/>
        <w:rPr>
          <w:rFonts w:ascii="Times New Roman" w:cs="Times New Roman" w:eastAsia="Times New Roman" w:hAnsi="Times New Roman"/>
          <w:sz w:val="18"/>
          <w:szCs w:val="18"/>
          <w:color w:val="auto"/>
        </w:rPr>
      </w:pPr>
    </w:p>
    <w:p>
      <w:pPr>
        <w:ind w:right="560" w:firstLine="464"/>
        <w:spacing w:after="0" w:line="339" w:lineRule="auto"/>
        <w:tabs>
          <w:tab w:leader="none" w:pos="632"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Times New Roman" w:cs="Times New Roman" w:eastAsia="Times New Roman" w:hAnsi="Times New Roman"/>
          <w:sz w:val="16"/>
          <w:szCs w:val="16"/>
          <w:color w:val="auto"/>
        </w:rPr>
      </w:pPr>
    </w:p>
    <w:p>
      <w:pPr>
        <w:ind w:right="540" w:firstLine="464"/>
        <w:spacing w:after="0" w:line="275" w:lineRule="auto"/>
        <w:tabs>
          <w:tab w:leader="none" w:pos="63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ind w:right="280" w:firstLine="464"/>
        <w:spacing w:after="0" w:line="262" w:lineRule="auto"/>
        <w:tabs>
          <w:tab w:leader="none" w:pos="63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460" w:right="320" w:firstLine="443"/>
        <w:spacing w:after="0" w:line="262" w:lineRule="auto"/>
        <w:tabs>
          <w:tab w:leader="none" w:pos="113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1" w:lineRule="exact"/>
        <w:rPr>
          <w:rFonts w:ascii="Times New Roman" w:cs="Times New Roman" w:eastAsia="Times New Roman" w:hAnsi="Times New Roman"/>
          <w:sz w:val="18"/>
          <w:szCs w:val="18"/>
          <w:color w:val="auto"/>
        </w:rPr>
      </w:pPr>
    </w:p>
    <w:p>
      <w:pPr>
        <w:ind w:left="46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ind w:left="460" w:right="760" w:firstLine="443"/>
        <w:spacing w:after="0" w:line="275" w:lineRule="auto"/>
        <w:tabs>
          <w:tab w:leader="none" w:pos="113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jc w:val="both"/>
        <w:ind w:left="460" w:right="160" w:firstLine="443"/>
        <w:spacing w:after="0" w:line="262" w:lineRule="auto"/>
        <w:tabs>
          <w:tab w:leader="none" w:pos="114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Times New Roman" w:cs="Times New Roman" w:eastAsia="Times New Roman" w:hAnsi="Times New Roman"/>
          <w:sz w:val="18"/>
          <w:szCs w:val="18"/>
          <w:color w:val="auto"/>
        </w:rPr>
      </w:pPr>
    </w:p>
    <w:p>
      <w:pPr>
        <w:ind w:right="400" w:firstLine="464"/>
        <w:spacing w:after="0" w:line="275" w:lineRule="auto"/>
        <w:tabs>
          <w:tab w:leader="none" w:pos="63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460" w:right="220" w:firstLine="443"/>
        <w:spacing w:after="0" w:line="275" w:lineRule="auto"/>
        <w:tabs>
          <w:tab w:leader="none" w:pos="113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460" w:right="120" w:firstLine="443"/>
        <w:spacing w:after="0" w:line="275" w:lineRule="auto"/>
        <w:tabs>
          <w:tab w:leader="none" w:pos="114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2013</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ectPr>
          <w:pgSz w:w="11900" w:h="16838" w:orient="portrait"/>
          <w:cols w:equalWidth="0" w:num="1">
            <w:col w:w="11420"/>
          </w:cols>
          <w:pgMar w:left="240" w:top="123" w:right="2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Matthieu Bucaille, certify that:</w:t>
      </w:r>
    </w:p>
    <w:p>
      <w:pPr>
        <w:spacing w:after="0" w:line="171" w:lineRule="exact"/>
        <w:rPr>
          <w:sz w:val="20"/>
          <w:szCs w:val="20"/>
          <w:color w:val="auto"/>
        </w:rPr>
      </w:pPr>
    </w:p>
    <w:p>
      <w:pPr>
        <w:ind w:left="640" w:hanging="176"/>
        <w:spacing w:after="0"/>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2013 of Lazard Group LLC (the “Registrant”);</w:t>
      </w:r>
    </w:p>
    <w:p>
      <w:pPr>
        <w:spacing w:after="0" w:line="171" w:lineRule="exact"/>
        <w:rPr>
          <w:rFonts w:ascii="Times New Roman" w:cs="Times New Roman" w:eastAsia="Times New Roman" w:hAnsi="Times New Roman"/>
          <w:sz w:val="18"/>
          <w:szCs w:val="18"/>
          <w:color w:val="auto"/>
        </w:rPr>
      </w:pPr>
    </w:p>
    <w:p>
      <w:pPr>
        <w:ind w:right="560" w:firstLine="464"/>
        <w:spacing w:after="0" w:line="339" w:lineRule="auto"/>
        <w:tabs>
          <w:tab w:leader="none" w:pos="632"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Times New Roman" w:cs="Times New Roman" w:eastAsia="Times New Roman" w:hAnsi="Times New Roman"/>
          <w:sz w:val="16"/>
          <w:szCs w:val="16"/>
          <w:color w:val="auto"/>
        </w:rPr>
      </w:pPr>
    </w:p>
    <w:p>
      <w:pPr>
        <w:ind w:right="540" w:firstLine="464"/>
        <w:spacing w:after="0" w:line="275" w:lineRule="auto"/>
        <w:tabs>
          <w:tab w:leader="none" w:pos="63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ind w:right="280" w:firstLine="464"/>
        <w:spacing w:after="0" w:line="262" w:lineRule="auto"/>
        <w:tabs>
          <w:tab w:leader="none" w:pos="63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460" w:right="320" w:firstLine="443"/>
        <w:spacing w:after="0" w:line="262" w:lineRule="auto"/>
        <w:tabs>
          <w:tab w:leader="none" w:pos="113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1" w:lineRule="exact"/>
        <w:rPr>
          <w:rFonts w:ascii="Times New Roman" w:cs="Times New Roman" w:eastAsia="Times New Roman" w:hAnsi="Times New Roman"/>
          <w:sz w:val="18"/>
          <w:szCs w:val="18"/>
          <w:color w:val="auto"/>
        </w:rPr>
      </w:pPr>
    </w:p>
    <w:p>
      <w:pPr>
        <w:ind w:left="46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ind w:left="460" w:right="760" w:firstLine="443"/>
        <w:spacing w:after="0" w:line="275" w:lineRule="auto"/>
        <w:tabs>
          <w:tab w:leader="none" w:pos="113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jc w:val="both"/>
        <w:ind w:left="460" w:right="160" w:firstLine="443"/>
        <w:spacing w:after="0" w:line="262" w:lineRule="auto"/>
        <w:tabs>
          <w:tab w:leader="none" w:pos="114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Times New Roman" w:cs="Times New Roman" w:eastAsia="Times New Roman" w:hAnsi="Times New Roman"/>
          <w:sz w:val="18"/>
          <w:szCs w:val="18"/>
          <w:color w:val="auto"/>
        </w:rPr>
      </w:pPr>
    </w:p>
    <w:p>
      <w:pPr>
        <w:ind w:right="400" w:firstLine="464"/>
        <w:spacing w:after="0" w:line="275" w:lineRule="auto"/>
        <w:tabs>
          <w:tab w:leader="none" w:pos="63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460" w:right="220" w:firstLine="443"/>
        <w:spacing w:after="0" w:line="275" w:lineRule="auto"/>
        <w:tabs>
          <w:tab w:leader="none" w:pos="113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460" w:right="120" w:firstLine="443"/>
        <w:spacing w:after="0" w:line="275" w:lineRule="auto"/>
        <w:tabs>
          <w:tab w:leader="none" w:pos="114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2013</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Matthieu Bucaille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23" w:right="2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2013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59"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Pursuant to 18 U.S.C. § 1350, the undersigned officer of Lazard Group LLC (the “Registrant”) hereby certifies that the Registrant’s Quarterly Report on Form 10-Q for the quarter ended September 30, 2013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9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172"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3" w:right="2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2013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59"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Pursuant to 18 U.S.C. § 1350, the undersigned officer of Lazard Group LLC (the “Registrant”) hereby certifies that the Registrant’s Quarterly Report on Form 10-Q for the quarter ended September 30, 2013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9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Matthieu Bucaille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71"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1."/>
      <w:numFmt w:val="decimal"/>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1."/>
      <w:numFmt w:val="decimal"/>
      <w:start w:val="2"/>
    </w:lvl>
  </w:abstractNum>
  <w:abstractNum w:abstractNumId="7">
    <w:nsid w:val="5577F8E1"/>
    <w:multiLevelType w:val="hybridMultilevel"/>
    <w:lvl w:ilvl="0">
      <w:lvlJc w:val="left"/>
      <w:lvlText w:val="%1."/>
      <w:numFmt w:val="decimal"/>
      <w:start w:val="3"/>
    </w:lvl>
  </w:abstractNum>
  <w:abstractNum w:abstractNumId="8">
    <w:nsid w:val="440BADFC"/>
    <w:multiLevelType w:val="hybridMultilevel"/>
    <w:lvl w:ilvl="0">
      <w:lvlJc w:val="left"/>
      <w:lvlText w:val="%1."/>
      <w:numFmt w:val="decimal"/>
      <w:start w:val="4"/>
    </w:lvl>
  </w:abstractNum>
  <w:abstractNum w:abstractNumId="9">
    <w:nsid w:val="5072367"/>
    <w:multiLevelType w:val="hybridMultilevel"/>
    <w:lvl w:ilvl="0">
      <w:lvlJc w:val="left"/>
      <w:lvlText w:val="(%1)"/>
      <w:numFmt w:val="lowerLetter"/>
      <w:start w:val="1"/>
    </w:lvl>
  </w:abstractNum>
  <w:abstractNum w:abstractNumId="10">
    <w:nsid w:val="3804823E"/>
    <w:multiLevelType w:val="hybridMultilevel"/>
    <w:lvl w:ilvl="0">
      <w:lvlJc w:val="left"/>
      <w:lvlText w:val="(%1)"/>
      <w:numFmt w:val="lowerRoman"/>
      <w:start w:val="3"/>
    </w:lvl>
  </w:abstractNum>
  <w:abstractNum w:abstractNumId="11">
    <w:nsid w:val="77465F01"/>
    <w:multiLevelType w:val="hybridMultilevel"/>
    <w:lvl w:ilvl="0">
      <w:lvlJc w:val="left"/>
      <w:lvlText w:val="%1."/>
      <w:numFmt w:val="decimal"/>
      <w:start w:val="5"/>
    </w:lvl>
  </w:abstractNum>
  <w:abstractNum w:abstractNumId="12">
    <w:nsid w:val="7724C67E"/>
    <w:multiLevelType w:val="hybridMultilevel"/>
    <w:lvl w:ilvl="0">
      <w:lvlJc w:val="left"/>
      <w:lvlText w:val="(%1)"/>
      <w:numFmt w:val="lowerLetter"/>
      <w:start w:val="1"/>
    </w:lvl>
  </w:abstractNum>
  <w:abstractNum w:abstractNumId="13">
    <w:nsid w:val="5C482A97"/>
    <w:multiLevelType w:val="hybridMultilevel"/>
    <w:lvl w:ilvl="0">
      <w:lvlJc w:val="left"/>
      <w:lvlText w:val="(%1)"/>
      <w:numFmt w:val="lowerLetter"/>
      <w:start w:val="1"/>
    </w:lvl>
  </w:abstractNum>
  <w:abstractNum w:abstractNumId="14">
    <w:nsid w:val="2463B9EA"/>
    <w:multiLevelType w:val="hybridMultilevel"/>
    <w:lvl w:ilvl="0">
      <w:lvlJc w:val="left"/>
      <w:lvlText w:val="(%1)"/>
      <w:numFmt w:val="lowerLetter"/>
      <w:start w:val="1"/>
    </w:lvl>
  </w:abstractNum>
  <w:abstractNum w:abstractNumId="15">
    <w:nsid w:val="5E884ADC"/>
    <w:multiLevelType w:val="hybridMultilevel"/>
    <w:lvl w:ilvl="0">
      <w:lvlJc w:val="left"/>
      <w:lvlText w:val="%1."/>
      <w:numFmt w:val="decimal"/>
      <w:start w:val="6"/>
    </w:lvl>
  </w:abstractNum>
  <w:abstractNum w:abstractNumId="16">
    <w:nsid w:val="51EAD36B"/>
    <w:multiLevelType w:val="hybridMultilevel"/>
    <w:lvl w:ilvl="0">
      <w:lvlJc w:val="left"/>
      <w:lvlText w:val="(%1)"/>
      <w:numFmt w:val="lowerLetter"/>
      <w:start w:val="1"/>
    </w:lvl>
  </w:abstractNum>
  <w:abstractNum w:abstractNumId="17">
    <w:nsid w:val="2D517796"/>
    <w:multiLevelType w:val="hybridMultilevel"/>
    <w:lvl w:ilvl="0">
      <w:lvlJc w:val="left"/>
      <w:lvlText w:val="%1."/>
      <w:numFmt w:val="decimal"/>
      <w:start w:val="7"/>
    </w:lvl>
  </w:abstractNum>
  <w:abstractNum w:abstractNumId="18">
    <w:nsid w:val="580BD78F"/>
    <w:multiLevelType w:val="hybridMultilevel"/>
    <w:lvl w:ilvl="0">
      <w:lvlJc w:val="left"/>
      <w:lvlText w:val="%1."/>
      <w:numFmt w:val="decimal"/>
      <w:start w:val="8"/>
    </w:lvl>
  </w:abstractNum>
  <w:abstractNum w:abstractNumId="19">
    <w:nsid w:val="153EA438"/>
    <w:multiLevelType w:val="hybridMultilevel"/>
    <w:lvl w:ilvl="0">
      <w:lvlJc w:val="left"/>
      <w:lvlText w:val="%1"/>
      <w:numFmt w:val="decimal"/>
      <w:start w:val="1"/>
    </w:lvl>
    <w:lvl w:ilvl="1">
      <w:lvlJc w:val="left"/>
      <w:lvlText w:val="(%2)"/>
      <w:numFmt w:val="lowerLetter"/>
      <w:start w:val="1"/>
    </w:lvl>
  </w:abstractNum>
  <w:abstractNum w:abstractNumId="20">
    <w:nsid w:val="3855585C"/>
    <w:multiLevelType w:val="hybridMultilevel"/>
    <w:lvl w:ilvl="0">
      <w:lvlJc w:val="left"/>
      <w:lvlText w:val="%1."/>
      <w:numFmt w:val="decimal"/>
      <w:start w:val="9"/>
    </w:lvl>
    <w:lvl w:ilvl="1">
      <w:lvlJc w:val="left"/>
      <w:lvlText w:val="%2"/>
      <w:numFmt w:val="lowerLetter"/>
      <w:start w:val="1"/>
    </w:lvl>
  </w:abstractNum>
  <w:abstractNum w:abstractNumId="21">
    <w:nsid w:val="70A64E2A"/>
    <w:multiLevelType w:val="hybridMultilevel"/>
    <w:lvl w:ilvl="0">
      <w:lvlJc w:val="left"/>
      <w:lvlText w:val="%1."/>
      <w:numFmt w:val="decimal"/>
      <w:start w:val="10"/>
    </w:lvl>
  </w:abstractNum>
  <w:abstractNum w:abstractNumId="22">
    <w:nsid w:val="6A2342EC"/>
    <w:multiLevelType w:val="hybridMultilevel"/>
    <w:lvl w:ilvl="0">
      <w:lvlJc w:val="left"/>
      <w:lvlText w:val="%1."/>
      <w:numFmt w:val="decimal"/>
      <w:start w:val="11"/>
    </w:lvl>
  </w:abstractNum>
  <w:abstractNum w:abstractNumId="23">
    <w:nsid w:val="2A487CB0"/>
    <w:multiLevelType w:val="hybridMultilevel"/>
    <w:lvl w:ilvl="0">
      <w:lvlJc w:val="left"/>
      <w:lvlText w:val="(%1)"/>
      <w:numFmt w:val="lowerLetter"/>
      <w:start w:val="1"/>
    </w:lvl>
  </w:abstractNum>
  <w:abstractNum w:abstractNumId="24">
    <w:nsid w:val="1D4ED43B"/>
    <w:multiLevelType w:val="hybridMultilevel"/>
    <w:lvl w:ilvl="0">
      <w:lvlJc w:val="left"/>
      <w:lvlText w:val="%1."/>
      <w:numFmt w:val="decimal"/>
      <w:start w:val="12"/>
    </w:lvl>
  </w:abstractNum>
  <w:abstractNum w:abstractNumId="25">
    <w:nsid w:val="725A06FB"/>
    <w:multiLevelType w:val="hybridMultilevel"/>
    <w:lvl w:ilvl="0">
      <w:lvlJc w:val="left"/>
      <w:lvlText w:val="(%1)"/>
      <w:numFmt w:val="lowerLetter"/>
      <w:start w:val="1"/>
    </w:lvl>
  </w:abstractNum>
  <w:abstractNum w:abstractNumId="26">
    <w:nsid w:val="2CD89A32"/>
    <w:multiLevelType w:val="hybridMultilevel"/>
    <w:lvl w:ilvl="0">
      <w:lvlJc w:val="left"/>
      <w:lvlText w:val="(%1)"/>
      <w:numFmt w:val="lowerLetter"/>
      <w:start w:val="1"/>
    </w:lvl>
  </w:abstractNum>
  <w:abstractNum w:abstractNumId="27">
    <w:nsid w:val="57E4CCAF"/>
    <w:multiLevelType w:val="hybridMultilevel"/>
    <w:lvl w:ilvl="0">
      <w:lvlJc w:val="left"/>
      <w:lvlText w:val="%1."/>
      <w:numFmt w:val="decimal"/>
      <w:start w:val="13"/>
    </w:lvl>
  </w:abstractNum>
  <w:abstractNum w:abstractNumId="28">
    <w:nsid w:val="7A6D8D3C"/>
    <w:multiLevelType w:val="hybridMultilevel"/>
    <w:lvl w:ilvl="0">
      <w:lvlJc w:val="left"/>
      <w:lvlText w:val="(%1)"/>
      <w:numFmt w:val="lowerLetter"/>
      <w:start w:val="1"/>
    </w:lvl>
  </w:abstractNum>
  <w:abstractNum w:abstractNumId="29">
    <w:nsid w:val="4B588F54"/>
    <w:multiLevelType w:val="hybridMultilevel"/>
    <w:lvl w:ilvl="0">
      <w:lvlJc w:val="left"/>
      <w:lvlText w:val="%1."/>
      <w:numFmt w:val="decimal"/>
      <w:start w:val="14"/>
    </w:lvl>
  </w:abstractNum>
  <w:abstractNum w:abstractNumId="30">
    <w:nsid w:val="542289EC"/>
    <w:multiLevelType w:val="hybridMultilevel"/>
    <w:lvl w:ilvl="0">
      <w:lvlJc w:val="left"/>
      <w:lvlText w:val="%1."/>
      <w:numFmt w:val="decimal"/>
      <w:start w:val="15"/>
    </w:lvl>
  </w:abstractNum>
  <w:abstractNum w:abstractNumId="31">
    <w:nsid w:val="6DE91B18"/>
    <w:multiLevelType w:val="hybridMultilevel"/>
    <w:lvl w:ilvl="0">
      <w:lvlJc w:val="left"/>
      <w:lvlText w:val="%1."/>
      <w:numFmt w:val="decimal"/>
      <w:start w:val="16"/>
    </w:lvl>
  </w:abstractNum>
  <w:abstractNum w:abstractNumId="32">
    <w:nsid w:val="38437FDB"/>
    <w:multiLevelType w:val="hybridMultilevel"/>
    <w:lvl w:ilvl="0">
      <w:lvlJc w:val="left"/>
      <w:lvlText w:val="%1."/>
      <w:numFmt w:val="decimal"/>
      <w:start w:val="17"/>
    </w:lvl>
  </w:abstractNum>
  <w:abstractNum w:abstractNumId="33">
    <w:nsid w:val="7644A45C"/>
    <w:multiLevelType w:val="hybridMultilevel"/>
    <w:lvl w:ilvl="0">
      <w:lvlJc w:val="left"/>
      <w:lvlText w:val="%1."/>
      <w:numFmt w:val="decimal"/>
      <w:start w:val="18"/>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1)"/>
      <w:numFmt w:val="lowerLetter"/>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1)"/>
      <w:numFmt w:val="lowerRoman"/>
      <w:start w:val="1"/>
    </w:lvl>
  </w:abstractNum>
  <w:abstractNum w:abstractNumId="41">
    <w:nsid w:val="75C6C33A"/>
    <w:multiLevelType w:val="hybridMultilevel"/>
    <w:lvl w:ilvl="0">
      <w:lvlJc w:val="left"/>
      <w:lvlText w:val="(%1)"/>
      <w:numFmt w:val="lowerRoman"/>
      <w:start w:val="3"/>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1)"/>
      <w:numFmt w:val="lowerLetter"/>
      <w:start w:val="1"/>
    </w:lvl>
  </w:abstractNum>
  <w:abstractNum w:abstractNumId="45">
    <w:nsid w:val="374A3FE6"/>
    <w:multiLevelType w:val="hybridMultilevel"/>
    <w:lvl w:ilvl="0">
      <w:lvlJc w:val="left"/>
      <w:lvlText w:val="(%1)"/>
      <w:numFmt w:val="lowerLetter"/>
      <w:start w:val="1"/>
    </w:lvl>
  </w:abstractNum>
  <w:abstractNum w:abstractNumId="46">
    <w:nsid w:val="4F4EF005"/>
    <w:multiLevelType w:val="hybridMultilevel"/>
    <w:lvl w:ilvl="0">
      <w:lvlJc w:val="left"/>
      <w:lvlText w:val="(%1)"/>
      <w:numFmt w:val="lowerLetter"/>
      <w:start w:val="1"/>
    </w:lvl>
  </w:abstractNum>
  <w:abstractNum w:abstractNumId="47">
    <w:nsid w:val="23F9C13C"/>
    <w:multiLevelType w:val="hybridMultilevel"/>
    <w:lvl w:ilvl="0">
      <w:lvlJc w:val="left"/>
      <w:lvlText w:val="(%1)"/>
      <w:numFmt w:val="lowerLetter"/>
      <w:start w:val="1"/>
    </w:lvl>
  </w:abstractNum>
  <w:abstractNum w:abstractNumId="48">
    <w:nsid w:val="649BB77C"/>
    <w:multiLevelType w:val="hybridMultilevel"/>
    <w:lvl w:ilvl="0">
      <w:lvlJc w:val="left"/>
      <w:lvlText w:val="(%1)"/>
      <w:numFmt w:val="lowerLetter"/>
      <w:start w:val="1"/>
    </w:lvl>
  </w:abstractNum>
  <w:abstractNum w:abstractNumId="49">
    <w:nsid w:val="275AC794"/>
    <w:multiLevelType w:val="hybridMultilevel"/>
    <w:lvl w:ilvl="0">
      <w:lvlJc w:val="left"/>
      <w:lvlText w:val="(%1)"/>
      <w:numFmt w:val="lowerLetter"/>
      <w:start w:val="1"/>
    </w:lvl>
  </w:abstractNum>
  <w:abstractNum w:abstractNumId="50">
    <w:nsid w:val="39386575"/>
    <w:multiLevelType w:val="hybridMultilevel"/>
    <w:lvl w:ilvl="0">
      <w:lvlJc w:val="left"/>
      <w:lvlText w:val="(%1)"/>
      <w:numFmt w:val="lowerLetter"/>
      <w:start w:val="1"/>
    </w:lvl>
  </w:abstractNum>
  <w:abstractNum w:abstractNumId="51">
    <w:nsid w:val="1CF10FD8"/>
    <w:multiLevelType w:val="hybridMultilevel"/>
    <w:lvl w:ilvl="0">
      <w:lvlJc w:val="left"/>
      <w:lvlText w:val="(%1)"/>
      <w:numFmt w:val="lowerLetter"/>
      <w:start w:val="1"/>
    </w:lvl>
  </w:abstractNum>
  <w:abstractNum w:abstractNumId="52">
    <w:nsid w:val="180115BE"/>
    <w:multiLevelType w:val="hybridMultilevel"/>
    <w:lvl w:ilvl="0">
      <w:lvlJc w:val="left"/>
      <w:lvlText w:val="(%1)"/>
      <w:numFmt w:val="lowerLetter"/>
      <w:start w:val="2"/>
    </w:lvl>
  </w:abstractNum>
  <w:abstractNum w:abstractNumId="53">
    <w:nsid w:val="235BA861"/>
    <w:multiLevelType w:val="hybridMultilevel"/>
    <w:lvl w:ilvl="0">
      <w:lvlJc w:val="left"/>
      <w:lvlText w:val="(%1)"/>
      <w:numFmt w:val="lowerLetter"/>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1)"/>
      <w:numFmt w:val="lowerLetter"/>
      <w:start w:val="1"/>
    </w:lvl>
  </w:abstractNum>
  <w:abstractNum w:abstractNumId="56">
    <w:nsid w:val="15B5AF5C"/>
    <w:multiLevelType w:val="hybridMultilevel"/>
    <w:lvl w:ilvl="0">
      <w:lvlJc w:val="left"/>
      <w:lvlText w:val="(%1)"/>
      <w:numFmt w:val="lowerLetter"/>
      <w:start w:val="4"/>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1)"/>
      <w:numFmt w:val="lowerLetter"/>
      <w:start w:val="1"/>
    </w:lvl>
    <w:lvl w:ilvl="1">
      <w:lvlJc w:val="left"/>
      <w:lvlText w:val="•"/>
      <w:numFmt w:val="bullet"/>
      <w:start w:val="1"/>
    </w:lvl>
  </w:abstractNum>
  <w:abstractNum w:abstractNumId="59">
    <w:nsid w:val="10233C99"/>
    <w:multiLevelType w:val="hybridMultilevel"/>
    <w:lvl w:ilvl="0">
      <w:lvlJc w:val="left"/>
      <w:lvlText w:val="(%1)"/>
      <w:numFmt w:val="lowerLetter"/>
      <w:start w:val="7"/>
    </w:lvl>
  </w:abstractNum>
  <w:abstractNum w:abstractNumId="60">
    <w:nsid w:val="3F6AB60F"/>
    <w:multiLevelType w:val="hybridMultilevel"/>
    <w:lvl w:ilvl="0">
      <w:lvlJc w:val="left"/>
      <w:lvlText w:val="%1."/>
      <w:numFmt w:val="decimal"/>
      <w:start w:val="1"/>
    </w:lvl>
    <w:lvl w:ilvl="1">
      <w:lvlJc w:val="left"/>
      <w:lvlText w:val="(%2)"/>
      <w:numFmt w:val="lowerLetter"/>
      <w:start w:val="1"/>
    </w:lvl>
  </w:abstractNum>
  <w:abstractNum w:abstractNumId="61">
    <w:nsid w:val="6157409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2019-12-07T09:59:34Z</dcterms:created>
  <dcterms:modified xsi:type="dcterms:W3CDTF">2019-12-07T09:59:34Z</dcterms:modified>
</cp:coreProperties>
</file>