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57"/>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8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1"/>
              </w:rPr>
              <w:t>Delaware</w:t>
            </w:r>
          </w:p>
        </w:tc>
        <w:tc>
          <w:tcPr>
            <w:tcW w:w="218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80" w:type="dxa"/>
            <w:vAlign w:val="bottom"/>
            <w:gridSpan w:val="3"/>
          </w:tcPr>
          <w:p>
            <w:pPr>
              <w:jc w:val="center"/>
              <w:ind w:right="33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1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8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w w:val="88"/>
              </w:rPr>
              <w:t>or Organization)</w:t>
            </w:r>
          </w:p>
        </w:tc>
        <w:tc>
          <w:tcPr>
            <w:tcW w:w="2180" w:type="dxa"/>
            <w:vAlign w:val="bottom"/>
          </w:tcPr>
          <w:p>
            <w:pPr>
              <w:spacing w:after="0"/>
              <w:rPr>
                <w:sz w:val="15"/>
                <w:szCs w:val="15"/>
                <w:color w:val="auto"/>
              </w:rPr>
            </w:pPr>
          </w:p>
        </w:tc>
      </w:tr>
      <w:tr>
        <w:trPr>
          <w:trHeight w:val="230"/>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30"/>
        </w:trPr>
        <w:tc>
          <w:tcPr>
            <w:tcW w:w="2900" w:type="dxa"/>
            <w:vAlign w:val="bottom"/>
          </w:tcPr>
          <w:p>
            <w:pPr>
              <w:spacing w:after="0"/>
              <w:rPr>
                <w:sz w:val="24"/>
                <w:szCs w:val="24"/>
                <w:color w:val="auto"/>
              </w:rPr>
            </w:pPr>
          </w:p>
        </w:tc>
        <w:tc>
          <w:tcPr>
            <w:tcW w:w="30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30 Rockefeller Plaza</w:t>
            </w:r>
          </w:p>
        </w:tc>
        <w:tc>
          <w:tcPr>
            <w:tcW w:w="21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New York, NY 10112</w:t>
            </w:r>
          </w:p>
        </w:tc>
        <w:tc>
          <w:tcPr>
            <w:tcW w:w="2180" w:type="dxa"/>
            <w:vAlign w:val="bottom"/>
          </w:tcPr>
          <w:p>
            <w:pPr>
              <w:spacing w:after="0"/>
              <w:rPr>
                <w:sz w:val="18"/>
                <w:szCs w:val="18"/>
                <w:color w:val="auto"/>
              </w:rPr>
            </w:pPr>
          </w:p>
        </w:tc>
      </w:tr>
      <w:tr>
        <w:trPr>
          <w:trHeight w:val="228"/>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180" w:type="dxa"/>
            <w:vAlign w:val="bottom"/>
          </w:tcPr>
          <w:p>
            <w:pPr>
              <w:spacing w:after="0"/>
              <w:rPr>
                <w:sz w:val="19"/>
                <w:szCs w:val="19"/>
                <w:color w:val="auto"/>
              </w:rPr>
            </w:pPr>
          </w:p>
        </w:tc>
      </w:tr>
      <w:tr>
        <w:trPr>
          <w:trHeight w:val="351"/>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8"/>
              </w:rPr>
              <w:t>Registrant’s telephone number: (212)-632-6000</w:t>
            </w:r>
          </w:p>
        </w:tc>
        <w:tc>
          <w:tcPr>
            <w:tcW w:w="2180" w:type="dxa"/>
            <w:vAlign w:val="bottom"/>
          </w:tcPr>
          <w:p>
            <w:pPr>
              <w:spacing w:after="0"/>
              <w:rPr>
                <w:sz w:val="24"/>
                <w:szCs w:val="24"/>
                <w:color w:val="auto"/>
              </w:rPr>
            </w:pPr>
          </w:p>
        </w:tc>
      </w:tr>
    </w:tbl>
    <w:p>
      <w:pPr>
        <w:spacing w:after="0" w:line="129"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3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right="1700"/>
        <w:spacing w:after="0" w:line="30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15, 2016,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March 31, 2016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14"/>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1">
              <w:r>
                <w:rPr>
                  <w:rFonts w:ascii="Arial" w:cs="Arial" w:eastAsia="Arial" w:hAnsi="Arial"/>
                  <w:sz w:val="18"/>
                  <w:szCs w:val="18"/>
                  <w:b w:val="1"/>
                  <w:bCs w:val="1"/>
                  <w:color w:val="0000EE"/>
                  <w:w w:val="94"/>
                </w:rPr>
                <w:t>Part II. Other Information</w:t>
              </w:r>
            </w:hyperlink>
          </w:p>
        </w:tc>
        <w:tc>
          <w:tcPr>
            <w:tcW w:w="90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3"/>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4"/>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6"/>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2016 and December 31, 2015</w:t>
              </w:r>
            </w:hyperlink>
          </w:p>
        </w:tc>
        <w:tc>
          <w:tcPr>
            <w:tcW w:w="352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6"/>
            <w:vMerge w:val="continue"/>
          </w:tcPr>
          <w:p>
            <w:pPr>
              <w:spacing w:after="0"/>
              <w:rPr>
                <w:sz w:val="13"/>
                <w:szCs w:val="13"/>
                <w:color w:val="auto"/>
              </w:rPr>
            </w:pPr>
          </w:p>
        </w:tc>
        <w:tc>
          <w:tcPr>
            <w:tcW w:w="352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60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w:t>
              </w:r>
            </w:hyperlink>
          </w:p>
        </w:tc>
        <w:tc>
          <w:tcPr>
            <w:tcW w:w="500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2016 and 2015</w:t>
              </w:r>
            </w:hyperlink>
          </w:p>
        </w:tc>
        <w:tc>
          <w:tcPr>
            <w:tcW w:w="89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2016 and 2015</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2016 and 2015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three month periods ended March 31, 2016 and 2015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140" w:type="dxa"/>
            <w:vAlign w:val="bottom"/>
            <w:tcBorders>
              <w:top w:val="single" w:sz="8" w:color="0000EE"/>
            </w:tcBorders>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214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2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691,537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$ 1,025,844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34,034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34,948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5"/>
              </w:rPr>
              <w:t>Receivables (net of allowance for doubtful accounts of $11,230 and $12,882 at March 31, 2016 and December 31, 2015,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414,464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423,817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100,058</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Lazard Ltd subsidiaries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538,109</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448,539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530,712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Property (net of accumulated amortization and depreciation of $279,431 and $265,505 at March 31, 2016 and December 31,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2015,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206,856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207,165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Goodwill and other intangible assets (net of accumulated amortization of $58,205 and $57,561 at March 31, 2016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2015, 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332,621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55,572</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245,614</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2,940,432</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$ 3,389,054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525,439</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989,735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Lazard Ltd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2,336,244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2,686,154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0"/>
              </w:rPr>
              <w:t>Members’ equity (net of 2,071,999 and 3,322,385 shares of Lazard Ltd Class A common stock, at a cost of $83,608 and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Arial" w:cs="Arial" w:eastAsia="Arial" w:hAnsi="Arial"/>
                <w:sz w:val="18"/>
                <w:szCs w:val="18"/>
                <w:color w:val="auto"/>
              </w:rPr>
              <w:t>$161,288 at March 31, 2016 and December 31, 2015, respectively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728,690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(181,212)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(189,758)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2,940,432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3,389,054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24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$301,372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800" w:type="dxa"/>
            <w:vAlign w:val="bottom"/>
          </w:tcPr>
          <w:p>
            <w:pPr>
              <w:jc w:val="right"/>
              <w:spacing w:after="0"/>
              <w:rPr>
                <w:sz w:val="20"/>
                <w:szCs w:val="20"/>
                <w:color w:val="auto"/>
              </w:rPr>
            </w:pPr>
            <w:r>
              <w:rPr>
                <w:rFonts w:ascii="Arial" w:cs="Arial" w:eastAsia="Arial" w:hAnsi="Arial"/>
                <w:sz w:val="18"/>
                <w:szCs w:val="18"/>
                <w:color w:val="auto"/>
              </w:rPr>
              <w:t>233,731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497,604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297,198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800" w:type="dxa"/>
            <w:vAlign w:val="bottom"/>
          </w:tcPr>
          <w:p>
            <w:pPr>
              <w:jc w:val="right"/>
              <w:spacing w:after="0"/>
              <w:rPr>
                <w:sz w:val="20"/>
                <w:szCs w:val="20"/>
                <w:color w:val="auto"/>
              </w:rPr>
            </w:pPr>
            <w:r>
              <w:rPr>
                <w:rFonts w:ascii="Arial" w:cs="Arial" w:eastAsia="Arial" w:hAnsi="Arial"/>
                <w:sz w:val="18"/>
                <w:szCs w:val="18"/>
                <w:color w:val="auto"/>
              </w:rPr>
              <w:t>27,002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22,931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800" w:type="dxa"/>
            <w:vAlign w:val="bottom"/>
          </w:tcPr>
          <w:p>
            <w:pPr>
              <w:jc w:val="right"/>
              <w:spacing w:after="0"/>
              <w:rPr>
                <w:sz w:val="20"/>
                <w:szCs w:val="20"/>
                <w:color w:val="auto"/>
              </w:rPr>
            </w:pPr>
            <w:r>
              <w:rPr>
                <w:rFonts w:ascii="Arial" w:cs="Arial" w:eastAsia="Arial" w:hAnsi="Arial"/>
                <w:sz w:val="18"/>
                <w:szCs w:val="18"/>
                <w:color w:val="auto"/>
              </w:rPr>
              <w:t>13,435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399,557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98,047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86,312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$82,412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86,312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$ 69,153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 (net of tax expense of $9 for the three months ended March 31, 2016)</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7,501</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(29,386)</w:t>
            </w: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Actuarial gain (loss) (net of tax expense (benefit) of $(70) and $115 for the three months ended March 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2016 and 2015, respectively)</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08"/>
        </w:trPr>
        <w:tc>
          <w:tcPr>
            <w:tcW w:w="20" w:type="dxa"/>
            <w:vAlign w:val="bottom"/>
          </w:tcPr>
          <w:p>
            <w:pPr>
              <w:spacing w:after="0"/>
              <w:rPr>
                <w:sz w:val="18"/>
                <w:szCs w:val="18"/>
                <w:color w:val="auto"/>
              </w:rPr>
            </w:pPr>
          </w:p>
        </w:tc>
        <w:tc>
          <w:tcPr>
            <w:tcW w:w="9280" w:type="dxa"/>
            <w:vAlign w:val="bottom"/>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$393 and $563 for the three months ended</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9280" w:type="dxa"/>
            <w:vAlign w:val="bottom"/>
          </w:tcPr>
          <w:p>
            <w:pPr>
              <w:ind w:left="1060"/>
              <w:spacing w:after="0"/>
              <w:rPr>
                <w:sz w:val="20"/>
                <w:szCs w:val="20"/>
                <w:color w:val="auto"/>
              </w:rPr>
            </w:pPr>
            <w:r>
              <w:rPr>
                <w:rFonts w:ascii="Arial" w:cs="Arial" w:eastAsia="Arial" w:hAnsi="Arial"/>
                <w:sz w:val="18"/>
                <w:szCs w:val="18"/>
                <w:color w:val="auto"/>
              </w:rPr>
              <w:t>March 31, 2016 and 2015, respectively)</w:t>
            </w:r>
          </w:p>
        </w:tc>
        <w:tc>
          <w:tcPr>
            <w:tcW w:w="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(27,981)</w:t>
            </w:r>
          </w:p>
        </w:tc>
      </w:tr>
      <w:tr>
        <w:trPr>
          <w:trHeight w:val="221"/>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94,858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8"/>
                <w:szCs w:val="18"/>
                <w:color w:val="auto"/>
              </w:rPr>
            </w:pPr>
          </w:p>
        </w:tc>
      </w:tr>
      <w:tr>
        <w:trPr>
          <w:trHeight w:val="222"/>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90,958</w:t>
            </w:r>
          </w:p>
        </w:tc>
        <w:tc>
          <w:tcPr>
            <w:tcW w:w="6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$ 34,478</w:t>
            </w: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86,312</w:t>
            </w:r>
          </w:p>
        </w:tc>
        <w:tc>
          <w:tcPr>
            <w:tcW w:w="3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69,153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expenses and share-based incentive compensation</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117,108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644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benefit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(3,819)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60,219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 and short-term investments</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19,498</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73,473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86,712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(46,174)</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(42,137)</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(356,297)</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(216,918)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280"/>
              <w:spacing w:after="0"/>
              <w:rPr>
                <w:sz w:val="20"/>
                <w:szCs w:val="20"/>
                <w:color w:val="auto"/>
              </w:rPr>
            </w:pPr>
            <w:r>
              <w:rPr>
                <w:rFonts w:ascii="Arial" w:cs="Arial" w:eastAsia="Arial" w:hAnsi="Arial"/>
                <w:sz w:val="14"/>
                <w:szCs w:val="14"/>
                <w:color w:val="auto"/>
              </w:rPr>
              <w:t>Net cash (used in) provided by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9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(54,817)</w:t>
            </w:r>
          </w:p>
        </w:tc>
        <w:tc>
          <w:tcPr>
            <w:tcW w:w="200" w:type="dxa"/>
            <w:vAlign w:val="bottom"/>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35,575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(5,454)</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3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4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4"/>
                <w:szCs w:val="14"/>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(5,350)</w:t>
            </w:r>
          </w:p>
        </w:tc>
        <w:tc>
          <w:tcPr>
            <w:tcW w:w="20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Issuance of senior debt, net of expenses</w:t>
            </w:r>
          </w:p>
        </w:tc>
        <w:tc>
          <w:tcPr>
            <w:tcW w:w="1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396,272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debt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(509,098)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(417)</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(83,140)</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 to members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(153,090)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6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(50,455)</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(101,885)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(286,327)</w:t>
            </w: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(316,078)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12,187</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(37,175)</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DECREASE IN CASH AND CASH EQUIVALENTS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(334,307)</w:t>
            </w:r>
          </w:p>
        </w:tc>
        <w:tc>
          <w:tcPr>
            <w:tcW w:w="20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(321,689)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1,025,844</w:t>
            </w:r>
          </w:p>
        </w:tc>
        <w:tc>
          <w:tcPr>
            <w:tcW w:w="3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917,212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EQUIVALENTS—March 31</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691,537</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02"/>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Members’</w:t>
            </w:r>
          </w:p>
        </w:tc>
        <w:tc>
          <w:tcPr>
            <w:tcW w:w="124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Members’</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88"/>
              </w:rPr>
              <w:t>Net of Tax</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6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2015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$594,834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(163,288)</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$431,546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62,460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69,153</w:t>
            </w:r>
          </w:p>
        </w:tc>
      </w:tr>
      <w:tr>
        <w:trPr>
          <w:trHeight w:val="228"/>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Other comprehensive income (loss) - net of tax</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2"/>
              <w:spacing w:after="0"/>
              <w:rPr>
                <w:sz w:val="20"/>
                <w:szCs w:val="20"/>
                <w:color w:val="auto"/>
              </w:rPr>
            </w:pPr>
            <w:r>
              <w:rPr>
                <w:rFonts w:ascii="Arial" w:cs="Arial" w:eastAsia="Arial" w:hAnsi="Arial"/>
                <w:sz w:val="18"/>
                <w:szCs w:val="18"/>
                <w:color w:val="auto"/>
              </w:rPr>
              <w:t>(27,982)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(27,982)</w:t>
            </w: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(27,981)</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77,923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77,923</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(9,442)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(9,442)</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(5,774)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(15,216)</w:t>
            </w:r>
          </w:p>
        </w:tc>
      </w:tr>
      <w:tr>
        <w:trPr>
          <w:trHeight w:val="23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(93,963)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(93,963)</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(93,963)</w:t>
            </w:r>
          </w:p>
        </w:tc>
      </w:tr>
      <w:tr>
        <w:trPr>
          <w:trHeight w:val="208"/>
        </w:trPr>
        <w:tc>
          <w:tcPr>
            <w:tcW w:w="620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 share-based</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200" w:type="dxa"/>
            <w:vAlign w:val="bottom"/>
            <w:gridSpan w:val="2"/>
          </w:tcPr>
          <w:p>
            <w:pPr>
              <w:ind w:left="220"/>
              <w:spacing w:after="0"/>
              <w:rPr>
                <w:sz w:val="20"/>
                <w:szCs w:val="20"/>
                <w:color w:val="auto"/>
              </w:rPr>
            </w:pPr>
            <w:r>
              <w:rPr>
                <w:rFonts w:ascii="Arial" w:cs="Arial" w:eastAsia="Arial" w:hAnsi="Arial"/>
                <w:sz w:val="18"/>
                <w:szCs w:val="18"/>
                <w:color w:val="auto"/>
              </w:rPr>
              <w:t>incentive compensation awards and related tax benefit of $9,495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(92,390)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(92,390)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(92,390)</w:t>
            </w:r>
          </w:p>
        </w:tc>
      </w:tr>
      <w:tr>
        <w:trPr>
          <w:trHeight w:val="232"/>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8"/>
        </w:trPr>
        <w:tc>
          <w:tcPr>
            <w:tcW w:w="6200" w:type="dxa"/>
            <w:vAlign w:val="bottom"/>
            <w:gridSpan w:val="2"/>
          </w:tcPr>
          <w:p>
            <w:pPr>
              <w:ind w:left="440"/>
              <w:spacing w:after="0"/>
              <w:rPr>
                <w:sz w:val="20"/>
                <w:szCs w:val="20"/>
                <w:color w:val="auto"/>
              </w:rPr>
            </w:pPr>
            <w:r>
              <w:rPr>
                <w:rFonts w:ascii="Arial" w:cs="Arial" w:eastAsia="Arial" w:hAnsi="Arial"/>
                <w:sz w:val="18"/>
                <w:szCs w:val="18"/>
                <w:color w:val="auto"/>
                <w:w w:val="96"/>
              </w:rPr>
              <w:t>Lazard Ltd Class A common stock issuable (including related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89</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(1,165)</w:t>
            </w: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2015 (*)</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538,346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(191,270</w:t>
            </w:r>
          </w:p>
        </w:tc>
        <w:tc>
          <w:tcPr>
            <w:tcW w:w="320" w:type="dxa"/>
            <w:vAlign w:val="bottom"/>
          </w:tcPr>
          <w:p>
            <w:pPr>
              <w:jc w:val="right"/>
              <w:ind w:right="242"/>
              <w:spacing w:after="0"/>
              <w:rPr>
                <w:sz w:val="20"/>
                <w:szCs w:val="20"/>
                <w:color w:val="auto"/>
              </w:rPr>
            </w:pPr>
            <w:r>
              <w:rPr>
                <w:rFonts w:ascii="Arial" w:cs="Arial" w:eastAsia="Arial" w:hAnsi="Arial"/>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347,076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410,589</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2015 and March 31, 2015. Also includes profit participation interests and two managing member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2016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$ 839,517</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(189,758)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$ 649,759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53,141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$ 702,900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82,412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82,412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86,312</w:t>
            </w: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Other comprehensive income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8,546</w:t>
            </w:r>
          </w:p>
        </w:tc>
        <w:tc>
          <w:tcPr>
            <w:tcW w:w="2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8,546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8,546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94,638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94,638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94,638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w w:val="98"/>
              </w:rPr>
              <w:t>(153,090)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(153,090)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(153,421)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(83,140)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(83,140)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(83,140)</w:t>
            </w: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w w:val="99"/>
              </w:rPr>
              <w:t>Delivery of Lazard Ltd Class A common stock in connection with share-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8"/>
                <w:szCs w:val="18"/>
                <w:color w:val="auto"/>
                <w:w w:val="97"/>
              </w:rPr>
              <w:t>based incentive compensation awards and related tax benefit of $422</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(50,033)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(50,033)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(50,033)</w:t>
            </w: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(1,614)</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Balance – March 31, 2016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$ 728,690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(181,212</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$ 547,478</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$ 604,188</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3680" w:right="1640" w:hanging="3672"/>
        <w:spacing w:after="0" w:line="475" w:lineRule="auto"/>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both January 1, 2016 and March 31, 2016, in addition to profit participation interests, there were two managing member interests. See 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4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Amended and Restated Operating Agreement dated as of October 26, 2015 (the “Operating Agreement”).</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Lazard Ltd indirectly held 100% of all outstanding Lazard Group common membership interests as of March 31, 2016 and December 31, 2015. Lazard Ltd, through its control of the managing members of Lazard Group, controls Lazard Group.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2015 (the “Form 10-K”). The accompanying December 31, 2015 unaudited condensed consolidated statement of financial condition data was derived from audited consolidated financial statements, but does not include 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4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period ended March 31, 2016 are not indicative of the results to be expected for any future interim or annual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90" w:lineRule="exact"/>
        <w:rPr>
          <w:rFonts w:ascii="Arial" w:cs="Arial" w:eastAsia="Arial" w:hAnsi="Arial"/>
          <w:sz w:val="18"/>
          <w:szCs w:val="18"/>
          <w:color w:val="auto"/>
        </w:rPr>
      </w:pPr>
    </w:p>
    <w:p>
      <w:pPr>
        <w:ind w:left="900" w:right="5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4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18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Amendments to the Consolidation Analysis</w:t>
      </w:r>
      <w:r>
        <w:rPr>
          <w:rFonts w:ascii="Arial" w:cs="Arial" w:eastAsia="Arial" w:hAnsi="Arial"/>
          <w:sz w:val="16"/>
          <w:szCs w:val="16"/>
          <w:color w:val="auto"/>
        </w:rPr>
        <w:t>—In February 2015, the FASB issued updated guidance for the consolidation of certain legal entities.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updated guidance eliminates the deferral of certain consolidation standards for entities considered to be investment companies and modifies the evaluation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limited partnerships and similar legal entities are VIEs or VOEs. The new guidance is effective for annual reporting periods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2015, with early adoption permitted. The Company adopted this guidance using the modified retrospective method with an effective adoption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January 1, 2016. The adoption of this guidance did not have a material impact on our consolidated financial statements or related disclosures.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—In April 2015, the FASB issued updated guidance which requires a company to classify debt issuance costs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w:t>
      </w:r>
      <w:r>
        <w:rPr>
          <w:rFonts w:ascii="Arial" w:cs="Arial" w:eastAsia="Arial" w:hAnsi="Arial"/>
          <w:sz w:val="16"/>
          <w:szCs w:val="16"/>
          <w:i w:val="1"/>
          <w:iCs w:val="1"/>
          <w:color w:val="auto"/>
        </w:rPr>
        <w:t xml:space="preserve"> Customers Accounting for Fees Paid in a Cloud Computing Arrangement</w:t>
      </w:r>
      <w:r>
        <w:rPr>
          <w:rFonts w:ascii="Arial" w:cs="Arial" w:eastAsia="Arial" w:hAnsi="Arial"/>
          <w:sz w:val="16"/>
          <w:szCs w:val="16"/>
          <w:color w:val="auto"/>
        </w:rPr>
        <w:t>—In April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 lease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In March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26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The Company’s receivables represent fee receivables, amounts due from customers and other receivables, and amounts due from Lazard Ltd subsidiaries.</w:t>
      </w:r>
    </w:p>
    <w:p>
      <w:pPr>
        <w:spacing w:after="0" w:line="20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periods ended March 31, 2016 and 2015 was as follows:</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$12,882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580" w:type="dxa"/>
            <w:vAlign w:val="bottom"/>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11,230</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18,459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2016 and December 31, 2015, the Company had receivables past due or deemed uncollectible of $16,038 and $19,923, respectively.</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Of the Company’s fee receivables at March 31, 2016 and December 31, 2015, $78,271 and $81,774, respectively, represented interest-bearing financing receivables. In addition, at March 31, 2016 and December 31, 2015, the Company had interest-bearing receivables from Lazard Ltd subsidiaries of $18,692 and $106,567,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$441,146 and $417,689 at March 31, 2016 and December 31, 2015, respectively, approximates fair value.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2016 and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39,481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47,273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137,132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104,224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343,536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421,541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448,539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383,017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2,876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Interests in alternative investment funds, debt funds and equity funds include investments with fair values of $11,715, $22,628 and $99,898, respectively, at March 31,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three month periods ended March 31, 2016 and 2015, the Company reported in “revenue-other” on its condensed consolidated statements of operations net unrealized investment gains and losses pertaining to “trading” securities still held as of the reporting date as follows:</w:t>
      </w:r>
    </w:p>
    <w:p>
      <w:pPr>
        <w:spacing w:after="0" w:line="121"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Three Months Ended</w:t>
      </w:r>
    </w:p>
    <w:p>
      <w:pPr>
        <w:jc w:val="center"/>
        <w:ind w:left="962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w:t>
            </w:r>
          </w:p>
        </w:tc>
        <w:tc>
          <w:tcPr>
            <w:tcW w:w="3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$ 4,992</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$ 1,995</w:t>
            </w:r>
          </w:p>
        </w:tc>
        <w:tc>
          <w:tcPr>
            <w:tcW w:w="100" w:type="dxa"/>
            <w:vAlign w:val="bottom"/>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14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Company’s investments in debt securities are classified as Level 1 when their respective fair values are based on unadjusted quoted prices in active markets.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fair value of investments in private equity funds were classified as Level 3 for certain investments that were valued based on a potential transaction value as of March 31, 2015.</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44"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4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following tables present, as of March 31,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March 31, 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2"/>
                <w:szCs w:val="12"/>
                <w:color w:val="auto"/>
              </w:rPr>
            </w:pPr>
          </w:p>
        </w:tc>
        <w:tc>
          <w:tcPr>
            <w:tcW w:w="8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1,301</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Alternative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54,907</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Debt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47,267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Equity</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137,094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137,132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104,224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252,166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1,301</w:t>
            </w:r>
          </w:p>
        </w:tc>
        <w:tc>
          <w:tcPr>
            <w:tcW w:w="3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129,550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383,561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189,457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189,457</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189,457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192,333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00" w:type="dxa"/>
            <w:vAlign w:val="bottom"/>
            <w:vMerge w:val="restart"/>
          </w:tcPr>
          <w:p>
            <w:pPr>
              <w:jc w:val="right"/>
              <w:ind w:right="49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6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NAV (a)</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43,558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55,935</w:t>
            </w:r>
          </w:p>
        </w:tc>
        <w:tc>
          <w:tcPr>
            <w:tcW w:w="0" w:type="dxa"/>
            <w:vAlign w:val="bottom"/>
          </w:tcPr>
          <w:p>
            <w:pPr>
              <w:spacing w:after="0"/>
              <w:rPr>
                <w:sz w:val="1"/>
                <w:szCs w:val="1"/>
                <w:color w:val="auto"/>
              </w:rPr>
            </w:pPr>
          </w:p>
        </w:tc>
      </w:tr>
      <w:tr>
        <w:trPr>
          <w:trHeight w:val="216"/>
        </w:trPr>
        <w:tc>
          <w:tcPr>
            <w:tcW w:w="6380" w:type="dxa"/>
            <w:vAlign w:val="bottom"/>
          </w:tcPr>
          <w:p>
            <w:pPr>
              <w:ind w:left="88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197,745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197,787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100,219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122,732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467,958</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195,689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195,689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195,689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198,928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2016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4"/>
                <w:szCs w:val="14"/>
                <w:b w:val="1"/>
                <w:bCs w:val="1"/>
                <w:color w:val="auto"/>
              </w:rPr>
              <w:t>Three Months Ended March 31, 2016</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Realized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Included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1"/>
              </w:rPr>
              <w:t>Beginning</w:t>
            </w:r>
          </w:p>
        </w:tc>
        <w:tc>
          <w:tcPr>
            <w:tcW w:w="180" w:type="dxa"/>
            <w:vAlign w:val="bottom"/>
          </w:tcPr>
          <w:p>
            <w:pPr>
              <w:spacing w:after="0"/>
              <w:rPr>
                <w:sz w:val="12"/>
                <w:szCs w:val="12"/>
                <w:color w:val="auto"/>
              </w:rPr>
            </w:pPr>
          </w:p>
        </w:tc>
        <w:tc>
          <w:tcPr>
            <w:tcW w:w="13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520" w:type="dxa"/>
            <w:vAlign w:val="bottom"/>
          </w:tcPr>
          <w:p>
            <w:pPr>
              <w:spacing w:after="0"/>
              <w:rPr>
                <w:sz w:val="12"/>
                <w:szCs w:val="12"/>
                <w:color w:val="auto"/>
              </w:rPr>
            </w:pPr>
          </w:p>
        </w:tc>
        <w:tc>
          <w:tcPr>
            <w:tcW w:w="110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18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1"/>
              </w:rPr>
              <w:t>Other (b)</w:t>
            </w:r>
          </w:p>
        </w:tc>
        <w:tc>
          <w:tcPr>
            <w:tcW w:w="5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1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0"/>
              </w:rPr>
              <w:t>Dispositions</w:t>
            </w:r>
          </w:p>
        </w:tc>
        <w:tc>
          <w:tcPr>
            <w:tcW w:w="18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1,276</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1,276</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2"/>
          </w:tcPr>
          <w:p>
            <w:pPr>
              <w:jc w:val="right"/>
              <w:ind w:right="160"/>
              <w:spacing w:after="0"/>
              <w:rPr>
                <w:sz w:val="20"/>
                <w:szCs w:val="20"/>
                <w:color w:val="auto"/>
              </w:rPr>
            </w:pPr>
            <w:r>
              <w:rPr>
                <w:rFonts w:ascii="Arial" w:cs="Arial" w:eastAsia="Arial" w:hAnsi="Arial"/>
                <w:sz w:val="14"/>
                <w:szCs w:val="14"/>
                <w:b w:val="1"/>
                <w:bCs w:val="1"/>
                <w:color w:val="auto"/>
              </w:rPr>
              <w:t>Three Months Ended March 31, 2015 (a)</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Included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10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Other (b)</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Transfers (c)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75"/>
              </w:rPr>
              <w:t>1,315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w w:val="75"/>
              </w:rPr>
              <w:t>1,315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2,631</w:t>
            </w:r>
          </w:p>
        </w:tc>
        <w:tc>
          <w:tcPr>
            <w:tcW w:w="8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19,887</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60"/>
              <w:spacing w:after="0"/>
              <w:rPr>
                <w:sz w:val="20"/>
                <w:szCs w:val="20"/>
                <w:color w:val="auto"/>
              </w:rPr>
            </w:pPr>
            <w:r>
              <w:rPr>
                <w:rFonts w:ascii="Arial" w:cs="Arial" w:eastAsia="Arial" w:hAnsi="Arial"/>
                <w:sz w:val="18"/>
                <w:szCs w:val="18"/>
                <w:color w:val="auto"/>
                <w:w w:val="99"/>
              </w:rPr>
              <w:t>16</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 for the three month period ended March 31, 2015 reflects the retrospective application of new disclosure guidance adopted by the Company for investments using NAV or its equivalent as a practical expedient when measuring fair value. See Note 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for the three month periods ended March 31, 2016 and 2015 include net unrealized gains of $3 and $2,631, respectively.</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investments that were valued at NAV as of December 31, 2014 of $19,255 were transferred to Level 3 from the NAV category in the three months ended March 31, 2015 as these investments were valued based on potential transaction value as of March 31, 2015.</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2016 and 2015.</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present, at March 31, 2016 and December 31, 2015,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March 31, 2016</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23,763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9,183(f)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129,550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9,183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(34%), monthly (57%) and quarterly (9%)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(30%) and monthly (70%)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(18%), monthly (52%) and quarterly (30%)</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$5,013 are excluded. Such commitments are required to be funded by capital contributions from noncontrolling interest 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10,242(f)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122,732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10,242</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3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2016, the Company’s maximum unfunded commitments for capital contributions to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primarily arose from commitments to EGCP III, which amounted to $8,613, through the earlier of October 12,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6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LFI and other similar deferred compensation arrangements, the fair value of which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March 31, 2016 and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1,846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180,479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193,574</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189,457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195,689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$58 and $7,144 as of March 31, 2016, respectively, and</w:t>
      </w:r>
    </w:p>
    <w:p>
      <w:pPr>
        <w:spacing w:after="0" w:line="38" w:lineRule="exact"/>
        <w:rPr>
          <w:rFonts w:ascii="Arial" w:cs="Arial" w:eastAsia="Arial" w:hAnsi="Arial"/>
          <w:sz w:val="16"/>
          <w:szCs w:val="16"/>
          <w:color w:val="auto"/>
        </w:rPr>
      </w:pPr>
    </w:p>
    <w:p>
      <w:pPr>
        <w:jc w:val="both"/>
        <w:ind w:left="460" w:right="100"/>
        <w:spacing w:after="0" w:line="255" w:lineRule="auto"/>
        <w:rPr>
          <w:rFonts w:ascii="Arial" w:cs="Arial" w:eastAsia="Arial" w:hAnsi="Arial"/>
          <w:sz w:val="16"/>
          <w:szCs w:val="16"/>
          <w:color w:val="auto"/>
        </w:rPr>
      </w:pPr>
      <w:r>
        <w:rPr>
          <w:rFonts w:ascii="Arial" w:cs="Arial" w:eastAsia="Arial" w:hAnsi="Arial"/>
          <w:sz w:val="18"/>
          <w:szCs w:val="18"/>
          <w:color w:val="auto"/>
        </w:rPr>
        <w:t>$460 and $958 as of December 31, 2015, respectively, for contracts with the same counterparty under legally enforceable master netting agreements. Such amounts are recorded “net” in “other assets”, with receivables for net cash collateral under such contracts of $13,436 and $9,636 as of March 31, 2016 and December 31, 2015, respectively.</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2016 and 2015,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4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$(7,300)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5860" w:type="dxa"/>
            <w:vAlign w:val="bottom"/>
            <w:gridSpan w:val="3"/>
          </w:tcPr>
          <w:p>
            <w:pPr>
              <w:jc w:val="right"/>
              <w:ind w:right="460"/>
              <w:spacing w:after="0"/>
              <w:rPr>
                <w:sz w:val="20"/>
                <w:szCs w:val="20"/>
                <w:color w:val="auto"/>
              </w:rPr>
            </w:pPr>
            <w:r>
              <w:rPr>
                <w:rFonts w:ascii="Arial" w:cs="Arial" w:eastAsia="Arial" w:hAnsi="Arial"/>
                <w:sz w:val="18"/>
                <w:szCs w:val="18"/>
                <w:color w:val="auto"/>
              </w:rPr>
              <w:t>2,514</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(4,136)</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48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(2,931)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58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860" w:type="dxa"/>
            <w:vAlign w:val="bottom"/>
            <w:vMerge w:val="restart"/>
          </w:tcPr>
          <w:p>
            <w:pPr>
              <w:jc w:val="right"/>
              <w:ind w:right="3852"/>
              <w:spacing w:after="0"/>
              <w:rPr>
                <w:sz w:val="20"/>
                <w:szCs w:val="20"/>
                <w:color w:val="auto"/>
              </w:rPr>
            </w:pPr>
            <w:r>
              <w:rPr>
                <w:rFonts w:ascii="Arial" w:cs="Arial" w:eastAsia="Arial" w:hAnsi="Arial"/>
                <w:sz w:val="18"/>
                <w:szCs w:val="18"/>
                <w:color w:val="auto"/>
              </w:rPr>
              <w:t>19</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2016 and December 31, 2015,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93"/>
        </w:trPr>
        <w:tc>
          <w:tcPr>
            <w:tcW w:w="5160" w:type="dxa"/>
            <w:vAlign w:val="bottom"/>
          </w:tcPr>
          <w:p>
            <w:pPr>
              <w:spacing w:after="0"/>
              <w:rPr>
                <w:sz w:val="8"/>
                <w:szCs w:val="8"/>
                <w:color w:val="auto"/>
              </w:rPr>
            </w:pPr>
          </w:p>
        </w:tc>
        <w:tc>
          <w:tcPr>
            <w:tcW w:w="12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5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$143,456</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137,181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169,350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472,670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279,431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206,856</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2016 and December 31, 2015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26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$327,050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320,761</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332,621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326,976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March 31, 2016 and December 31, 2015, goodwill of $262,509 and $256,220,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2016 and 2015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$320,761</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$335,402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6,289</w:t>
            </w:r>
          </w:p>
        </w:tc>
        <w:tc>
          <w:tcPr>
            <w:tcW w:w="4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327,050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changes in the carrying amount of goodwill for the three month periods ended March 31, 2016 and 2015 are attributable to the Company’s Financial Advisory segment.</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2016 and December 31, 2015,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2016</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2015</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98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98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$ 5,234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32,699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32,369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$ 5,571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$ 6,215</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2016 and 2015 was $644 and $1,033,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gridSpan w:val="4"/>
            <w:vMerge w:val="continue"/>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2016 (April 1 through December 31)</w:t>
            </w:r>
          </w:p>
        </w:tc>
        <w:tc>
          <w:tcPr>
            <w:tcW w:w="2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2017</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8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2016 and December 31,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9"/>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December 31, 2015</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Principal</w:t>
            </w:r>
          </w:p>
        </w:tc>
        <w:tc>
          <w:tcPr>
            <w:tcW w:w="9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Maturity</w:t>
            </w:r>
          </w:p>
        </w:tc>
        <w:tc>
          <w:tcPr>
            <w:tcW w:w="8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Unamortized</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Date</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Rate(b)</w:t>
            </w: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Debt Costs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Lazard Group 2017</w:t>
            </w:r>
          </w:p>
        </w:tc>
        <w:tc>
          <w:tcPr>
            <w:tcW w:w="1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600,000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Arial" w:cs="Arial" w:eastAsia="Arial" w:hAnsi="Arial"/>
                <w:sz w:val="18"/>
                <w:szCs w:val="18"/>
                <w:color w:val="auto"/>
                <w:w w:val="88"/>
              </w:rPr>
              <w:t>Lazard Group 2020</w:t>
            </w:r>
          </w:p>
        </w:tc>
        <w:tc>
          <w:tcPr>
            <w:tcW w:w="17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500,000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11/14/20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495,740</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500,000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495,509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Lazard Group 2025</w:t>
            </w:r>
          </w:p>
        </w:tc>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395,777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400,000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998,350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8,615</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989,735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998,350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989,358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three month period ended March 31, 2015.</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the 2017 Notes, Lazard Group’s 4.25% senior notes due November 14, 2020 (the “2020 Notes”) and the 2025 Notes are 6.96%, 4.43% and 3.87%,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as of December 31, 2015, reflects the retrospective application of new guidance adopted by the Company for debt issuance costs. See Note 2.</w:t>
      </w:r>
    </w:p>
    <w:p>
      <w:pPr>
        <w:spacing w:after="0" w:line="194"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2016 and December 31, 2015, no amounts were outstanding under the Amended and Restated Credit Agreement.</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2016, the Company was in compliance with such provisions. All of the Company’s senior debt obligations are unsecured.</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March 31, 2016, the Company had approximately $241,000 in unused lines of credit available to it, including the credit facility provided under the Amended and Restated Credit Agreement, and unused lines of credit available to LFB of approximately $34,000 (at March 31, 2016 exchange rates) and Edgewater of $55,000. In addition, LFB has access to the Eurosystem Covered Bond Purchase Program of the Banque de France.</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Company’s senior debt at March 31, 2016 and December 31, 2015 is carried at historical amounts. At those dates, the fair value of such senior debt was approximately $984,000 and $994,000, respectively. The fair value of the Company’s senior debt is based on market quotations. The Company’s senior debt would be categorized within Level 2 of the hierarchy of fair value measurements if carried at fair value.</w:t>
      </w:r>
    </w:p>
    <w:p>
      <w:pPr>
        <w:spacing w:after="0" w:line="22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2016, LFB had $5,822 of such indemnifications and held $5,473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stock (the “Initial Shares”) and (iii) up to 1,142,857 additional shares of Class A common stock (the “Earnout Shares”) that are subject to earnout criteria and payable over time. The Earnout Shares will be issued only if certain performance thresholds are met. As of March 31, 2016 and December 31, 2015, 913,722 shares are issuable on a contingent basis, and 1,371,992 shares have been earned because applicable performance thresholds have been satisfied. As of March 31, 2016 and December 31, 2015, 1,371,992 of the earned shares have been settled.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March 31, 2016, LFB and LFNY had no such underwriting commitments.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—Distributions in respect of Lazard Group’s common membership interests are allocated to the holders of such interests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 periods ended March 31, 2016 and 2015, Lazard Group distributed $153,090 and $9,442, respectively, to the subsidiaries of Lazard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Ltd.</w:t>
      </w:r>
    </w:p>
    <w:p>
      <w:pPr>
        <w:spacing w:after="0" w:line="16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2016 and the years ended December 31, 2015, 2014 and 2013,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Lazard authorized the 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4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2013</w:t>
            </w:r>
          </w:p>
        </w:tc>
        <w:tc>
          <w:tcPr>
            <w:tcW w:w="2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2015</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22"/>
        </w:trPr>
        <w:tc>
          <w:tcPr>
            <w:tcW w:w="322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18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188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18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964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 March 31:</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2015</w:t>
            </w:r>
          </w:p>
        </w:tc>
        <w:tc>
          <w:tcPr>
            <w:tcW w:w="77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1,677,464</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$49.46</w:t>
            </w:r>
          </w:p>
        </w:tc>
        <w:tc>
          <w:tcPr>
            <w:tcW w:w="100" w:type="dxa"/>
            <w:vAlign w:val="bottom"/>
            <w:tcBorders>
              <w:top w:val="single" w:sz="8" w:color="CCEEFF"/>
            </w:tcBorders>
          </w:tcPr>
          <w:p>
            <w:pPr>
              <w:spacing w:after="0"/>
              <w:rPr>
                <w:sz w:val="24"/>
                <w:szCs w:val="24"/>
                <w:color w:val="auto"/>
              </w:rPr>
            </w:pPr>
          </w:p>
        </w:tc>
      </w:tr>
      <w:tr>
        <w:trPr>
          <w:trHeight w:val="218"/>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7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2,424,571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$34.29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three month periods ended March 31, 2016 and 2015, certain of our executive officers received Lazard Ltd Class A common stock in connection with the vesting of previously-granted deferred equity incentive awards. The vesting of such equity awards gave rise to a tax payable by the executive officers, and, consistent with our past practice, the Company purchased shares of Lazard Ltd Class A common stock from the executive officers equal in value to the estimated amount of such tax. The aggregate value of such purchases during the three month periods ended March 31, 2016 and 2015 was approximately $3,100 and $17,700, respectively.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three month period ended March 31, 2015, Lazard Group purchased 215,729 shares of Lazard Ltd Class A common stock from subsidiaries of Lazard Ltd for $11,000. There were no such purchases during the three month period ended March 31, 2016.</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2016, a total of $223,021 of share repurchase authorization remained available under Lazard Ltd’s share repurchase program, $23,021 of which will expire on December 31, 2016 and $200,000 of which will expire on December 31,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on April 20, 2016, the Board of Directors of Lazard authorized the repurchase of additional shares of Lazard Ltd’s Class A common stock, which authorization will expire on December 31, 2017, bringing the total share repurchase authorization to $300,000.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three month period ended March 31, 2016, Lazard Ltd had in place trading plans under Rule 10b5-1 of the Securities Exchange Act of 1934, pursuant to which it effected stock repurchases in the open market.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Accumulated Other Comprehensive Income (Loss), Net of Tax </w:t>
      </w:r>
      <w:r>
        <w:rPr>
          <w:rFonts w:ascii="Arial" w:cs="Arial" w:eastAsia="Arial" w:hAnsi="Arial"/>
          <w:sz w:val="16"/>
          <w:szCs w:val="16"/>
          <w:b w:val="1"/>
          <w:bCs w:val="1"/>
          <w:color w:val="auto"/>
        </w:rPr>
        <w:t>(“AOCI”)</w:t>
      </w:r>
      <w:r>
        <w:rPr>
          <w:rFonts w:ascii="Arial" w:cs="Arial" w:eastAsia="Arial" w:hAnsi="Arial"/>
          <w:sz w:val="16"/>
          <w:szCs w:val="16"/>
          <w:color w:val="auto"/>
        </w:rPr>
        <w:t>—The tables below reflect the balances of each component of AOCI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 and activity during the three month periods then 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(52,687</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(137,073</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(189,760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(189,758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March 31, 2016:</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98"/>
              <w:spacing w:after="0"/>
              <w:rPr>
                <w:sz w:val="20"/>
                <w:szCs w:val="20"/>
                <w:color w:val="auto"/>
              </w:rPr>
            </w:pPr>
            <w:r>
              <w:rPr>
                <w:rFonts w:ascii="Arial" w:cs="Arial" w:eastAsia="Arial" w:hAnsi="Arial"/>
                <w:sz w:val="18"/>
                <w:szCs w:val="18"/>
                <w:color w:val="auto"/>
              </w:rPr>
              <w:t>1,186</w:t>
            </w:r>
          </w:p>
        </w:tc>
        <w:tc>
          <w:tcPr>
            <w:tcW w:w="740" w:type="dxa"/>
            <w:vAlign w:val="bottom"/>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March 31, 2016</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(45,186)</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(136,028)</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(181,214)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(181,212)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March 31, 2015:</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(29,386)</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219</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(29,167)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(29,168)</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(29,386)</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1,405</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(27,981)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(38,011)</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(153,260)</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(191,271)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(191,270)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table below reflects adjustments for items reclassified out of AOCI, by component, for the three month periods ended March 31, 2016 and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$ 1,579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Less – related income taxes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$ 1,186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2016 and 2015 and noncontrolling interests as of March 31, 2016 and December 31, 2015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123"/>
              <w:spacing w:after="0"/>
              <w:rPr>
                <w:sz w:val="20"/>
                <w:szCs w:val="20"/>
                <w:color w:val="auto"/>
              </w:rPr>
            </w:pPr>
            <w:r>
              <w:rPr>
                <w:rFonts w:ascii="Arial" w:cs="Arial" w:eastAsia="Arial" w:hAnsi="Arial"/>
                <w:sz w:val="14"/>
                <w:szCs w:val="14"/>
                <w:b w:val="1"/>
                <w:bCs w:val="1"/>
                <w:color w:val="auto"/>
                <w:w w:val="87"/>
              </w:rPr>
              <w:t>Net Income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7"/>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3"/>
              <w:spacing w:after="0"/>
              <w:rPr>
                <w:sz w:val="20"/>
                <w:szCs w:val="20"/>
                <w:color w:val="auto"/>
              </w:rPr>
            </w:pPr>
            <w:r>
              <w:rPr>
                <w:rFonts w:ascii="Arial" w:cs="Arial" w:eastAsia="Arial" w:hAnsi="Arial"/>
                <w:sz w:val="14"/>
                <w:szCs w:val="14"/>
                <w:b w:val="1"/>
                <w:bCs w:val="1"/>
                <w:color w:val="auto"/>
                <w:w w:val="85"/>
              </w:rPr>
              <w:t>Interests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center"/>
              <w:ind w:left="303"/>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23"/>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0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840" w:type="dxa"/>
            <w:vAlign w:val="bottom"/>
            <w:shd w:val="clear" w:color="auto" w:fill="CCEEFF"/>
          </w:tcPr>
          <w:p>
            <w:pPr>
              <w:spacing w:after="0"/>
              <w:rPr>
                <w:sz w:val="18"/>
                <w:szCs w:val="18"/>
                <w:color w:val="auto"/>
              </w:rPr>
            </w:pPr>
          </w:p>
        </w:tc>
        <w:tc>
          <w:tcPr>
            <w:tcW w:w="260" w:type="dxa"/>
            <w:vAlign w:val="bottom"/>
            <w:tcBorders>
              <w:left w:val="single" w:sz="8" w:color="CCEEFF"/>
              <w:bottom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6"/>
              </w:rPr>
              <w:t>Noncontrolling Interests As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100"/>
              <w:spacing w:after="0" w:line="143" w:lineRule="exact"/>
              <w:rPr>
                <w:sz w:val="20"/>
                <w:szCs w:val="20"/>
                <w:color w:val="auto"/>
              </w:rPr>
            </w:pPr>
            <w:r>
              <w:rPr>
                <w:rFonts w:ascii="Arial" w:cs="Arial" w:eastAsia="Arial" w:hAnsi="Arial"/>
                <w:sz w:val="14"/>
                <w:szCs w:val="14"/>
                <w:b w:val="1"/>
                <w:bCs w:val="1"/>
                <w:color w:val="auto"/>
                <w:w w:val="92"/>
              </w:rPr>
              <w:t>March 31,</w:t>
            </w:r>
          </w:p>
        </w:tc>
        <w:tc>
          <w:tcPr>
            <w:tcW w:w="8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right"/>
              <w:ind w:right="80"/>
              <w:spacing w:after="0" w:line="143" w:lineRule="exact"/>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56,702</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53,132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56,710</w:t>
            </w:r>
          </w:p>
        </w:tc>
        <w:tc>
          <w:tcPr>
            <w:tcW w:w="11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periods ended March 31, 2016 and 2015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restricted stock awards) and “professional services” expense (with respect to deferred stock units (“DSUs”)) within the Company’s accompanying condensed consolidated statements of operations for the three month periods ended March 31,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42"/>
        </w:trPr>
        <w:tc>
          <w:tcPr>
            <w:tcW w:w="8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RSUs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54,408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59,071</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23,476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12,623</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22"/>
        </w:trPr>
        <w:tc>
          <w:tcPr>
            <w:tcW w:w="878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94,606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77,908</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RSUs generally include a dividend participation right that provides that during vesting periods each RSU is attributed additional RSUs (or fractions thereof) equivalent to any dividends paid on Class A common stock during such period. During the three month periods ended March 31, 2016 and 2015, dividend participation rights required the issuance of 700,651 and 453,751 RSUs, respectively.</w:t>
      </w:r>
    </w:p>
    <w:p>
      <w:pPr>
        <w:spacing w:after="0" w:line="10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No such DSUs were granted in connection with annual compensation during the three month periods ended March 31, 2016 and 2015.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three month periods ended March 31, 2016 and 2015, 2,110 and 619 DSUs, respectively, had been granted pursuant to such Plan.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2016 and 2015:</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9,599,658</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312,670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700,651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6,140,020</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34.54</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(55,826)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(4,100,192)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39.12</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11,583,660</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314,780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13,529,116</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286,227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453,751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3,865,598</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(110,530)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38.80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(6,608,777)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10,675,407</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43.16</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286,846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RSUs that vested during the three month periods ended March 31, 2016 and 2015, the Company satisfied its minimum statutory tax withholding requirements in lieu of delivering 1,327,399 and 1,892,454 shares of Class A common stock during such respective three month periods. Accordingly, 2,772,793 and 4,716,323 shares of Class A common stock held by the Company were delivered during the three month periods ended March 31, 2016 and 2015, respectively.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March 31, 2016, estimated unrecognized RSU compensation expense was approximately $244,292, with such expense expected to be recognized over a weighted average period of approximately 1.1 years subsequent to March 31, 2016.</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2016 and 2015:</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1,795,258</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(25,662)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(627,110)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1,856,224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729,827</w:t>
            </w:r>
          </w:p>
        </w:tc>
        <w:tc>
          <w:tcPr>
            <w:tcW w:w="30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576,886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(438,743)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March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866,670</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2016 and 2015, the Company satisfied its minimum statutory tax withholding requirements in lieu of delivering 77,795 and 88,492 shares of Class A common stock during such respective three month periods. Accordingly, 549,315 and 350,251 shares of Class A common stock held by the Company were delivered during the three month periods ended March 31, 2016 and 2015, respectively.</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March 31, 2016, estimated unrecognized restricted stock expense was approximately $52,971, with such expense to be recognized over a weighted average period of approximately 1.2 years subsequent to March 31, 2016.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common stock during such period. These dividend equivalents are credited as RSUs that are not subject to the performance-based vesting criteria but are otherwise subject to the same restrictions as the underlying PRSUs to which they relate.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three month periods ended March 31, 2016 and 2015: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92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1,019,038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627,956</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(417,018)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March 31, 2016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1,229,976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1,347,148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368,389</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(328,793)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Balance, March 31, 2015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1,386,744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171"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connection with PRSUs that vested during the three month periods ended March 31, 2016 and 2015, the Company satisfied its minimum statutory tax withholding requirements in lieu of delivering 64,169 and 25,239 shares of Class A common stock during such respective three month periods. Accordingly, 352,849 and 303,554 shares of Class A common stock held by the Company were delivered during the three month periods ended March 31, 2016 and 2015.</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March 31, 2016, the total estimated unrecognized compensation expense was approximately $21,330, and the Company expects to amortize such expense over a weighted-average period of approximately 0.9 years subsequent to March 31, 2016.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75,703</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51,871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51,871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(64,488)</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(19,436)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March 31, 2016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107,930</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180,479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78"/>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89,965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89,965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(75,002)</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(24,614)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March 31, 2015</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137,681</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226,107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years subsequent to March 31, 2016.</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periods ended March 31, 2016 and 2015:</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$20,899</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Change in the fair value of underlying investments</w:t>
            </w:r>
          </w:p>
        </w:tc>
        <w:tc>
          <w:tcPr>
            <w:tcW w:w="29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(2,514)</w:t>
            </w:r>
          </w:p>
        </w:tc>
        <w:tc>
          <w:tcPr>
            <w:tcW w:w="580" w:type="dxa"/>
            <w:vAlign w:val="bottom"/>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18,385</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00" w:type="dxa"/>
            <w:vAlign w:val="bottom"/>
            <w:vMerge w:val="restart"/>
          </w:tcPr>
          <w:p>
            <w:pPr>
              <w:jc w:val="right"/>
              <w:ind w:right="2292"/>
              <w:spacing w:after="0"/>
              <w:rPr>
                <w:sz w:val="20"/>
                <w:szCs w:val="20"/>
                <w:color w:val="auto"/>
              </w:rPr>
            </w:pPr>
            <w:r>
              <w:rPr>
                <w:rFonts w:ascii="Arial" w:cs="Arial" w:eastAsia="Arial" w:hAnsi="Arial"/>
                <w:sz w:val="18"/>
                <w:szCs w:val="18"/>
                <w:color w:val="auto"/>
              </w:rPr>
              <w:t>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Pension Plans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ind w:left="28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8"/>
          </w:tcPr>
          <w:p>
            <w:pPr>
              <w:ind w:left="140"/>
              <w:spacing w:after="0" w:line="142" w:lineRule="exact"/>
              <w:rPr>
                <w:sz w:val="20"/>
                <w:szCs w:val="20"/>
                <w:color w:val="auto"/>
              </w:rPr>
            </w:pPr>
            <w:r>
              <w:rPr>
                <w:rFonts w:ascii="Arial" w:cs="Arial" w:eastAsia="Arial" w:hAnsi="Arial"/>
                <w:sz w:val="14"/>
                <w:szCs w:val="14"/>
                <w:b w:val="1"/>
                <w:bCs w:val="1"/>
                <w:color w:val="auto"/>
                <w:w w:val="97"/>
              </w:rPr>
              <w:t>Three Months Ended March 31,</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6,106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(7,166)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1,144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recorded income tax provisions of $11,735 and $11,458 for the three month periods ended March 31, 2016 and 2015, respectively, representing effective tax rates of 12.0% and 14.2%,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and (iv) U.S. state and local taxes (primarily UBT), which are incremental to the U.S. federal statutory tax rate.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RELATED PARTIES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 from and Payable to Lazard Ltd Subsidaries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March 31, 2016 and December 31, 2015 included interest-bearing loans of $18,692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$106,567, respectively, including accrued interest thereon. Interest income relating to interest-bearing loans with subsidiaries of Lazard Ltd amounted to $185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 period ended March 31, 2016. There was no such interest income for the three month period ended March 31, 2015.</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2016 and December 31, 2015, Lazard Group’s payables to subsidiaries of Lazard Ltd included interest-bearing loans, including accrued interest thereon, of approximately $62,500 and $102,000, respectively. Interest expense relating to interest-bearing loans with subsidiaries of Lazard Ltd amounted to $867 and $1,021 for the three month periods ended March 31, 2016 and 2015, respectively. In addition, as of both March 31, 2016 and December 31, 2015, Lazard Group’s payables to subsidiaries of Lazard Ltd included $2,840 in connection with Lazard Group’s prior year business acquisitions.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Funds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$118,910 and $135,346 for the three month periods ended March 31, 2016 and 2015, respectively, and are included in “asset management fees” on the condensed consolidated statements of operations. Of such amounts, $48,291 and $42,002 remained as a receivable at March 31, 2016 and December 31, 2015, respectively, and is included in “fees receivable” on the condensed consolidated statements of financial condition.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 and subsidiaries of Lazard Ltd.</w:t>
      </w:r>
    </w:p>
    <w:p>
      <w:pPr>
        <w:spacing w:after="0" w:line="25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March 31, 2016, LFNY’s regulatory net capital was $90,470, which exceeded the minimum requirement by $87,155. LFNY’s aggregate indebtedness to net capital ratio was 0.55:1 as of March 31, 2016.</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2016, the aggregate regulatory net capital of the U.K. Subsidiaries was $149,828, which exceeded the minimum requirement by $132,962.</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March 31, 2016, the consolidated regulatory net capital of CFLF was $136,054, which exceeded the minimum requirement set for regulatory capital levels by $90,432.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2015, the regulatory net capital of the combined European regulated group was $165,662, which exceeded the minimum requirement set for regulatory capital levels by $91,445.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2016, for those subsidiaries with regulatory capital requirements, their aggregate net capital was $100,172, which exceeded the minimum required capital by $74,113.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2016,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2016 and 2015 is prepared using the following methodology:</w:t>
      </w:r>
    </w:p>
    <w:p>
      <w:pPr>
        <w:spacing w:after="0" w:line="113" w:lineRule="exact"/>
        <w:rPr>
          <w:sz w:val="20"/>
          <w:szCs w:val="20"/>
          <w:color w:val="auto"/>
        </w:rPr>
      </w:pPr>
    </w:p>
    <w:p>
      <w:pPr>
        <w:ind w:left="5620" w:right="2880" w:hanging="5045"/>
        <w:spacing w:after="0" w:line="440" w:lineRule="auto"/>
        <w:tabs>
          <w:tab w:leader="none" w:pos="8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227,078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242,935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Operating Income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220" w:type="dxa"/>
            <w:vAlign w:val="bottom"/>
            <w:gridSpan w:val="2"/>
            <w:vMerge w:val="continue"/>
          </w:tcPr>
          <w:p>
            <w:pPr>
              <w:spacing w:after="0"/>
              <w:rPr>
                <w:sz w:val="24"/>
                <w:szCs w:val="24"/>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Net Revenue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279,807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175,161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Operating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70,598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Revenue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(14,169)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Operating Loss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(75,988)</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4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220" w:type="dxa"/>
            <w:vAlign w:val="bottom"/>
            <w:gridSpan w:val="2"/>
            <w:vMerge w:val="continue"/>
          </w:tcPr>
          <w:p>
            <w:pPr>
              <w:spacing w:after="0"/>
              <w:rPr>
                <w:sz w:val="24"/>
                <w:szCs w:val="24"/>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Net Revenue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497,604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576,853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47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399,557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496,242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760" w:type="dxa"/>
            <w:vAlign w:val="bottom"/>
          </w:tcPr>
          <w:p>
            <w:pPr>
              <w:ind w:left="1780"/>
              <w:spacing w:after="0"/>
              <w:rPr>
                <w:sz w:val="20"/>
                <w:szCs w:val="20"/>
                <w:color w:val="auto"/>
              </w:rPr>
            </w:pPr>
            <w:r>
              <w:rPr>
                <w:rFonts w:ascii="Arial" w:cs="Arial" w:eastAsia="Arial" w:hAnsi="Arial"/>
                <w:sz w:val="18"/>
                <w:szCs w:val="18"/>
                <w:color w:val="auto"/>
              </w:rPr>
              <w:t>Operating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98,047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760" w:type="dxa"/>
            <w:vAlign w:val="bottom"/>
            <w:vMerge w:val="restart"/>
          </w:tcPr>
          <w:p>
            <w:pPr>
              <w:ind w:left="2400"/>
              <w:spacing w:after="0"/>
              <w:rPr>
                <w:sz w:val="20"/>
                <w:szCs w:val="20"/>
                <w:color w:val="auto"/>
              </w:rPr>
            </w:pPr>
            <w:r>
              <w:rPr>
                <w:rFonts w:ascii="Arial" w:cs="Arial" w:eastAsia="Arial" w:hAnsi="Arial"/>
                <w:sz w:val="18"/>
                <w:szCs w:val="18"/>
                <w:color w:val="auto"/>
              </w:rPr>
              <w:t>35</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r>
      <w:tr>
        <w:trPr>
          <w:trHeight w:val="161"/>
        </w:trPr>
        <w:tc>
          <w:tcPr>
            <w:tcW w:w="552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714,484</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763,374</w:t>
            </w: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598,382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640,034</w:t>
            </w:r>
          </w:p>
        </w:tc>
      </w:tr>
      <w:tr>
        <w:trPr>
          <w:trHeight w:val="223"/>
        </w:trPr>
        <w:tc>
          <w:tcPr>
            <w:tcW w:w="5520" w:type="dxa"/>
            <w:vAlign w:val="bottom"/>
          </w:tcPr>
          <w:p>
            <w:pPr>
              <w:ind w:left="440"/>
              <w:spacing w:after="0"/>
              <w:rPr>
                <w:sz w:val="20"/>
                <w:szCs w:val="20"/>
                <w:color w:val="auto"/>
              </w:rPr>
            </w:pPr>
            <w:r>
              <w:rPr>
                <w:rFonts w:ascii="Arial" w:cs="Arial" w:eastAsia="Arial" w:hAnsi="Arial"/>
                <w:sz w:val="18"/>
                <w:szCs w:val="18"/>
                <w:color w:val="auto"/>
              </w:rPr>
              <w:t>Corporate (a)</w:t>
            </w:r>
          </w:p>
        </w:tc>
        <w:tc>
          <w:tcPr>
            <w:tcW w:w="3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1,627,566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1,985,646</w:t>
            </w:r>
          </w:p>
        </w:tc>
        <w:tc>
          <w:tcPr>
            <w:tcW w:w="100" w:type="dxa"/>
            <w:vAlign w:val="bottom"/>
          </w:tcPr>
          <w:p>
            <w:pPr>
              <w:spacing w:after="0"/>
              <w:rPr>
                <w:sz w:val="19"/>
                <w:szCs w:val="19"/>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2,940,432</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3,389,054</w:t>
            </w:r>
          </w:p>
        </w:tc>
      </w:tr>
      <w:tr>
        <w:trPr>
          <w:trHeight w:val="20"/>
        </w:trPr>
        <w:tc>
          <w:tcPr>
            <w:tcW w:w="5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December 31, 2015, reflects the retrospective application of new disclosure guidance adopted by the Company for debt issuance costs. See Note 2.</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“first quarter”, “three months” or “the period” refer to, as the context requires, the three month periods ended March 31, 2016 and March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ability to deploy surplus cash through distributions to members, purchases of Lazard Ltd Class A common stock and debt repurchases;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8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59" w:lineRule="exact"/>
        <w:rPr>
          <w:rFonts w:ascii="Arial" w:cs="Arial" w:eastAsia="Arial" w:hAnsi="Arial"/>
          <w:sz w:val="18"/>
          <w:szCs w:val="18"/>
          <w:color w:val="auto"/>
        </w:rPr>
      </w:pPr>
    </w:p>
    <w:p>
      <w:pPr>
        <w:jc w:val="both"/>
        <w:ind w:left="900" w:right="4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8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Equity market indices for developed markets at March 31, 2016 generally decreased as compared to such indices at March 31, 2015. Emerging markets equity indices at March 31, 2016 decreased as compared to March 31, 2015, but increased in the first quarter of 2016 compared to December 31, 2015. In the global M&amp;A markets during the first quarter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quarter of 2016, global restructuring activity, as measured by the number of corporate defaults, increased as compared to the first quarter of 2015. The aggregate value of debt defaults (measured on a global basis) remained consistent with the 2015 period.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first quarter of 2016, volatile market conditions continued. On an ongoing basis, volatile conditions may persist, and regional macroeconomic and geopolitical factors, including the United Kingdom’s consideration of whether to exit, or significantly change, its relationship with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55" w:lineRule="auto"/>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Advisory </w:t>
      </w:r>
      <w:r>
        <w:rPr>
          <w:rFonts w:ascii="Arial" w:cs="Arial" w:eastAsia="Arial" w:hAnsi="Arial"/>
          <w:sz w:val="18"/>
          <w:szCs w:val="18"/>
          <w:color w:val="auto"/>
        </w:rPr>
        <w:t>– The fundamentals for continued M&amp;A activity appear to remain in place. Demand continues for expert, independent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other economies.</w:t>
      </w:r>
    </w:p>
    <w:p>
      <w:pPr>
        <w:spacing w:after="0" w:line="61" w:lineRule="exact"/>
        <w:rPr>
          <w:rFonts w:ascii="Arial" w:cs="Arial" w:eastAsia="Arial" w:hAnsi="Arial"/>
          <w:sz w:val="18"/>
          <w:szCs w:val="18"/>
          <w:color w:val="auto"/>
        </w:rPr>
      </w:pPr>
    </w:p>
    <w:p>
      <w:pPr>
        <w:ind w:left="920" w:right="80" w:hanging="345"/>
        <w:spacing w:after="0" w:line="288" w:lineRule="auto"/>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In the short to intermediate term, we expect most investor demand will come from defined benefit and defined contribution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and Middle East North African Equities.</w:t>
      </w:r>
    </w:p>
    <w:p>
      <w:pPr>
        <w:spacing w:after="0" w:line="12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quarter of 2016 as compared to 2015. With respect to announced M&amp;A transactions, the value and number of all transactions, including announced transactions with values greater than $500 million, also decreased in the first quarter of 2016 as compared to 2015.</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2016</w:t>
            </w:r>
          </w:p>
        </w:tc>
        <w:tc>
          <w:tcPr>
            <w:tcW w:w="780" w:type="dxa"/>
            <w:vAlign w:val="bottom"/>
          </w:tcPr>
          <w:p>
            <w:pPr>
              <w:spacing w:after="0"/>
              <w:rPr>
                <w:sz w:val="14"/>
                <w:szCs w:val="14"/>
                <w:color w:val="auto"/>
              </w:rPr>
            </w:pPr>
          </w:p>
        </w:tc>
        <w:tc>
          <w:tcPr>
            <w:tcW w:w="1280" w:type="dxa"/>
            <w:vAlign w:val="bottom"/>
          </w:tcPr>
          <w:p>
            <w:pPr>
              <w:jc w:val="right"/>
              <w:ind w:right="874"/>
              <w:spacing w:after="0"/>
              <w:rPr>
                <w:sz w:val="20"/>
                <w:szCs w:val="20"/>
                <w:color w:val="auto"/>
              </w:rPr>
            </w:pPr>
            <w:r>
              <w:rPr>
                <w:rFonts w:ascii="Arial" w:cs="Arial" w:eastAsia="Arial" w:hAnsi="Arial"/>
                <w:sz w:val="14"/>
                <w:szCs w:val="14"/>
                <w:b w:val="1"/>
                <w:bCs w:val="1"/>
                <w:color w:val="auto"/>
                <w:w w:val="96"/>
              </w:rPr>
              <w:t>2015</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4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2"/>
          </w:tcPr>
          <w:p>
            <w:pPr>
              <w:jc w:val="right"/>
              <w:ind w:right="494"/>
              <w:spacing w:after="0" w:line="155" w:lineRule="exact"/>
              <w:rPr>
                <w:sz w:val="20"/>
                <w:szCs w:val="20"/>
                <w:color w:val="auto"/>
              </w:rPr>
            </w:pPr>
            <w:r>
              <w:rPr>
                <w:rFonts w:ascii="Arial" w:cs="Arial" w:eastAsia="Arial" w:hAnsi="Arial"/>
                <w:sz w:val="14"/>
                <w:szCs w:val="14"/>
                <w:b w:val="1"/>
                <w:bCs w:val="1"/>
                <w:color w:val="auto"/>
              </w:rPr>
              <w:t>($ in billions)</w:t>
            </w: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900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8,389</w:t>
            </w:r>
          </w:p>
        </w:tc>
        <w:tc>
          <w:tcPr>
            <w:tcW w:w="780" w:type="dxa"/>
            <w:vAlign w:val="bottom"/>
          </w:tcPr>
          <w:p>
            <w:pPr>
              <w:spacing w:after="0"/>
              <w:rPr>
                <w:sz w:val="18"/>
                <w:szCs w:val="18"/>
                <w:color w:val="auto"/>
              </w:rPr>
            </w:pPr>
          </w:p>
        </w:tc>
        <w:tc>
          <w:tcPr>
            <w:tcW w:w="1280" w:type="dxa"/>
            <w:vAlign w:val="bottom"/>
          </w:tcPr>
          <w:p>
            <w:pPr>
              <w:jc w:val="right"/>
              <w:ind w:right="714"/>
              <w:spacing w:after="0"/>
              <w:rPr>
                <w:sz w:val="20"/>
                <w:szCs w:val="20"/>
                <w:color w:val="auto"/>
              </w:rPr>
            </w:pPr>
            <w:r>
              <w:rPr>
                <w:rFonts w:ascii="Arial" w:cs="Arial" w:eastAsia="Arial" w:hAnsi="Arial"/>
                <w:sz w:val="18"/>
                <w:szCs w:val="18"/>
                <w:color w:val="auto"/>
                <w:w w:val="83"/>
              </w:rPr>
              <w:t>10,153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633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4"/>
              <w:spacing w:after="0"/>
              <w:rPr>
                <w:sz w:val="20"/>
                <w:szCs w:val="20"/>
                <w:color w:val="auto"/>
              </w:rPr>
            </w:pPr>
            <w:r>
              <w:rPr>
                <w:rFonts w:ascii="Arial" w:cs="Arial" w:eastAsia="Arial" w:hAnsi="Arial"/>
                <w:sz w:val="18"/>
                <w:szCs w:val="18"/>
                <w:color w:val="auto"/>
              </w:rPr>
              <w:t>694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223</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281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4"/>
              <w:spacing w:after="0"/>
              <w:rPr>
                <w:sz w:val="20"/>
                <w:szCs w:val="20"/>
                <w:color w:val="auto"/>
              </w:rPr>
            </w:pPr>
            <w:r>
              <w:rPr>
                <w:rFonts w:ascii="Arial" w:cs="Arial" w:eastAsia="Arial" w:hAnsi="Arial"/>
                <w:sz w:val="18"/>
                <w:szCs w:val="18"/>
                <w:color w:val="auto"/>
              </w:rPr>
              <w:t>934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4"/>
              </w:rPr>
              <w:t>9,243</w:t>
            </w: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83"/>
              </w:rPr>
              <w:t>10,317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723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22"/>
        </w:trPr>
        <w:tc>
          <w:tcPr>
            <w:tcW w:w="4260" w:type="dxa"/>
            <w:vAlign w:val="bottom"/>
          </w:tcPr>
          <w:p>
            <w:pPr>
              <w:ind w:left="880"/>
              <w:spacing w:after="0"/>
              <w:rPr>
                <w:sz w:val="20"/>
                <w:szCs w:val="20"/>
                <w:color w:val="auto"/>
              </w:rPr>
            </w:pPr>
            <w:r>
              <w:rPr>
                <w:rFonts w:ascii="Arial" w:cs="Arial" w:eastAsia="Arial" w:hAnsi="Arial"/>
                <w:sz w:val="18"/>
                <w:szCs w:val="18"/>
                <w:color w:val="auto"/>
              </w:rPr>
              <w:t>Number</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252</w:t>
            </w:r>
          </w:p>
        </w:tc>
        <w:tc>
          <w:tcPr>
            <w:tcW w:w="780" w:type="dxa"/>
            <w:vAlign w:val="bottom"/>
          </w:tcPr>
          <w:p>
            <w:pPr>
              <w:spacing w:after="0"/>
              <w:rPr>
                <w:sz w:val="19"/>
                <w:szCs w:val="19"/>
                <w:color w:val="auto"/>
              </w:rPr>
            </w:pPr>
          </w:p>
        </w:tc>
        <w:tc>
          <w:tcPr>
            <w:tcW w:w="1280" w:type="dxa"/>
            <w:vAlign w:val="bottom"/>
          </w:tcPr>
          <w:p>
            <w:pPr>
              <w:jc w:val="right"/>
              <w:ind w:right="714"/>
              <w:spacing w:after="0"/>
              <w:rPr>
                <w:sz w:val="20"/>
                <w:szCs w:val="20"/>
                <w:color w:val="auto"/>
              </w:rPr>
            </w:pPr>
            <w:r>
              <w:rPr>
                <w:rFonts w:ascii="Arial" w:cs="Arial" w:eastAsia="Arial" w:hAnsi="Arial"/>
                <w:sz w:val="18"/>
                <w:szCs w:val="18"/>
                <w:color w:val="auto"/>
              </w:rPr>
              <w:t>278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1,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Global restructuring activity during the first quarter of 2016, as measured by the number of corporate defaults, increased as compared to the first quarter of</w:t>
      </w:r>
    </w:p>
    <w:p>
      <w:pPr>
        <w:spacing w:after="0" w:line="3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2015. The number of defaulting issuers increased to 33 in the first quarter of 2016, according to Moody’s Investors Service, Inc., as compared to 16 in the first quarter of 2015. The aggregate value of debt defaults (measured on a global basis) remained consistent with the 2015 period.</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percentage change in major equity market indices at March 31, 2016, as compared to such indices at December 31, 2015, and at March 31, 2015,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 2016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740" w:type="dxa"/>
            <w:vAlign w:val="bottom"/>
          </w:tcPr>
          <w:p>
            <w:pPr>
              <w:spacing w:after="0"/>
              <w:rPr>
                <w:sz w:val="11"/>
                <w:szCs w:val="11"/>
                <w:color w:val="auto"/>
              </w:rPr>
            </w:pPr>
          </w:p>
        </w:tc>
        <w:tc>
          <w:tcPr>
            <w:tcW w:w="2000" w:type="dxa"/>
            <w:vAlign w:val="bottom"/>
            <w:gridSpan w:val="2"/>
          </w:tcPr>
          <w:p>
            <w:pPr>
              <w:jc w:val="center"/>
              <w:ind w:right="1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Euro Stoxx</w:t>
            </w:r>
          </w:p>
        </w:tc>
        <w:tc>
          <w:tcPr>
            <w:tcW w:w="2000" w:type="dxa"/>
            <w:vAlign w:val="bottom"/>
            <w:gridSpan w:val="2"/>
          </w:tcPr>
          <w:p>
            <w:pPr>
              <w:jc w:val="right"/>
              <w:ind w:right="100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March 31, 2016 increased 2% versus AUM at December 31, 2015, primarily due to foreign exchange and market appreciation, partially offset by net outflows. Average AUM for the first quarter of 2016 decreased 7% as compared to average AUM in the first quarter of 2015 and 2% as compared to the fourth quarter of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Although Corporate segment net revenue during 2016 represented (2)% of Lazard’s net revenue, total assets in the Corporate segment represented 55% of Lazard’s consolidated total assets as of March 31, 2016, which are attributable to cash and cash equivalents, investments in debt and equity securities, interests in alternative investment, debt, equity and private equity funds, deferred tax assets and certain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w:t>
      </w:r>
    </w:p>
    <w:p>
      <w:pPr>
        <w:ind w:left="240" w:hanging="232"/>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share-based incentive compensation under the Lazard Ltd 2008 Incentive Compensation Plan (the “2008 Plan”) and the Lazard Ltd 2005 Equity Incentive</w:t>
      </w:r>
    </w:p>
    <w:p>
      <w:pPr>
        <w:spacing w:after="0" w:line="3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4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9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xml:space="preserve"> deferred incentive compensation awards granted in 2016 related to the 2015 year-end compensation process), including Performance-based restricted stock unit (“PRSU”) awards (based on the target payout level);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hanging="567"/>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 or retention awards) and other special deferred incentive compensation awards that is applicable to the fiscal year the award becomes effective; and</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 55.8% and 55.4%, respectively, for the year ended December 31, 2015.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operating expenses also include the “amortization of intangible assets related to acquisitions”. For all periods, the amortization of intangible assets related to acquisitions pertains primarily to the acquisition of Edgewater.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months ended March 31,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9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-7620</wp:posOffset>
            </wp:positionV>
            <wp:extent cx="12007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497,604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576,853</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297,198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101,715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399,557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496,242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98,047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11,735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86,312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 LLC</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62,460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40" w:type="dxa"/>
            <w:vAlign w:val="bottom"/>
            <w:vMerge w:val="restart"/>
          </w:tcPr>
          <w:p>
            <w:pPr>
              <w:jc w:val="right"/>
              <w:ind w:right="343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$ 497,604</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$ 576,853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12,348</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LFI (c)</w:t>
            </w:r>
          </w:p>
        </w:tc>
        <w:tc>
          <w:tcPr>
            <w:tcW w:w="2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2,514</w:t>
            </w:r>
          </w:p>
        </w:tc>
        <w:tc>
          <w:tcPr>
            <w:tcW w:w="5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$ 506,254</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$ 581,064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280" w:type="dxa"/>
            <w:vAlign w:val="bottom"/>
            <w:gridSpan w:val="3"/>
          </w:tcPr>
          <w:p>
            <w:pPr>
              <w:jc w:val="right"/>
              <w:ind w:right="540"/>
              <w:spacing w:after="0"/>
              <w:rPr>
                <w:sz w:val="20"/>
                <w:szCs w:val="20"/>
                <w:color w:val="auto"/>
              </w:rPr>
            </w:pPr>
            <w:r>
              <w:rPr>
                <w:rFonts w:ascii="Arial" w:cs="Arial" w:eastAsia="Arial" w:hAnsi="Arial"/>
                <w:sz w:val="18"/>
                <w:szCs w:val="18"/>
                <w:color w:val="auto"/>
              </w:rPr>
              <w:t>$297,198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$328,490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280" w:type="dxa"/>
            <w:vAlign w:val="bottom"/>
            <w:gridSpan w:val="3"/>
          </w:tcPr>
          <w:p>
            <w:pPr>
              <w:jc w:val="right"/>
              <w:ind w:right="480"/>
              <w:spacing w:after="0"/>
              <w:rPr>
                <w:sz w:val="20"/>
                <w:szCs w:val="20"/>
                <w:color w:val="auto"/>
              </w:rPr>
            </w:pPr>
            <w:r>
              <w:rPr>
                <w:rFonts w:ascii="Arial" w:cs="Arial" w:eastAsia="Arial" w:hAnsi="Arial"/>
                <w:sz w:val="18"/>
                <w:szCs w:val="18"/>
                <w:color w:val="auto"/>
              </w:rPr>
              <w:t>(1,752)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(b)</w:t>
            </w:r>
          </w:p>
        </w:tc>
        <w:tc>
          <w:tcPr>
            <w:tcW w:w="20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6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297,960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323,137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3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$101,715</w:t>
            </w:r>
          </w:p>
        </w:tc>
        <w:tc>
          <w:tcPr>
            <w:tcW w:w="5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$166,719</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600" w:type="dxa"/>
            <w:vAlign w:val="bottom"/>
            <w:gridSpan w:val="3"/>
          </w:tcPr>
          <w:p>
            <w:pPr>
              <w:jc w:val="right"/>
              <w:ind w:right="520"/>
              <w:spacing w:after="0"/>
              <w:rPr>
                <w:sz w:val="20"/>
                <w:szCs w:val="20"/>
                <w:color w:val="auto"/>
              </w:rPr>
            </w:pPr>
            <w:r>
              <w:rPr>
                <w:rFonts w:ascii="Arial" w:cs="Arial" w:eastAsia="Arial" w:hAnsi="Arial"/>
                <w:sz w:val="18"/>
                <w:szCs w:val="18"/>
                <w:color w:val="auto"/>
              </w:rPr>
              <w:t>(398)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(60,219)</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2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101,317</w:t>
            </w:r>
          </w:p>
        </w:tc>
        <w:tc>
          <w:tcPr>
            <w:tcW w:w="5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106,137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3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52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9"/>
          </w:tcPr>
          <w:p>
            <w:pPr>
              <w:jc w:val="center"/>
              <w:ind w:right="46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$ 506,254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200"/>
              <w:spacing w:after="0"/>
              <w:rPr>
                <w:sz w:val="20"/>
                <w:szCs w:val="20"/>
                <w:color w:val="auto"/>
              </w:rPr>
            </w:pPr>
            <w:r>
              <w:rPr>
                <w:rFonts w:ascii="Arial" w:cs="Arial" w:eastAsia="Arial" w:hAnsi="Arial"/>
                <w:sz w:val="18"/>
                <w:szCs w:val="18"/>
                <w:color w:val="auto"/>
                <w:w w:val="94"/>
              </w:rPr>
              <w:t>$ 581,064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5"/>
          </w:tcPr>
          <w:p>
            <w:pPr>
              <w:jc w:val="right"/>
              <w:ind w:right="52"/>
              <w:spacing w:after="0"/>
              <w:rPr>
                <w:sz w:val="20"/>
                <w:szCs w:val="20"/>
                <w:color w:val="auto"/>
              </w:rPr>
            </w:pPr>
            <w:r>
              <w:rPr>
                <w:rFonts w:ascii="Arial" w:cs="Arial" w:eastAsia="Arial" w:hAnsi="Arial"/>
                <w:sz w:val="18"/>
                <w:szCs w:val="18"/>
                <w:color w:val="auto"/>
              </w:rPr>
              <w:t>(297,960)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jc w:val="right"/>
              <w:ind w:right="140"/>
              <w:spacing w:after="0"/>
              <w:rPr>
                <w:sz w:val="20"/>
                <w:szCs w:val="20"/>
                <w:color w:val="auto"/>
              </w:rPr>
            </w:pPr>
            <w:r>
              <w:rPr>
                <w:rFonts w:ascii="Arial" w:cs="Arial" w:eastAsia="Arial" w:hAnsi="Arial"/>
                <w:sz w:val="18"/>
                <w:szCs w:val="18"/>
                <w:color w:val="auto"/>
              </w:rPr>
              <w:t>(323,137)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(101,317)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(106,137)</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$ 106,977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$ 151,790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4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4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6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6"/>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1"/>
                <w:szCs w:val="11"/>
                <w:color w:val="auto"/>
              </w:rPr>
            </w:pPr>
          </w:p>
        </w:tc>
        <w:tc>
          <w:tcPr>
            <w:tcW w:w="940" w:type="dxa"/>
            <w:vAlign w:val="bottom"/>
            <w:gridSpan w:val="4"/>
          </w:tcPr>
          <w:p>
            <w:pPr>
              <w:jc w:val="right"/>
              <w:ind w:right="240"/>
              <w:spacing w:after="0" w:line="12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37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08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40" w:type="dxa"/>
            <w:vAlign w:val="bottom"/>
            <w:vMerge w:val="continue"/>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4080" w:type="dxa"/>
            <w:vAlign w:val="bottom"/>
            <w:gridSpan w:val="4"/>
          </w:tcPr>
          <w:p>
            <w:pPr>
              <w:jc w:val="right"/>
              <w:ind w:right="300"/>
              <w:spacing w:after="0"/>
              <w:rPr>
                <w:sz w:val="20"/>
                <w:szCs w:val="20"/>
                <w:color w:val="auto"/>
              </w:rPr>
            </w:pPr>
            <w:r>
              <w:rPr>
                <w:rFonts w:ascii="Arial" w:cs="Arial" w:eastAsia="Arial" w:hAnsi="Arial"/>
                <w:sz w:val="18"/>
                <w:szCs w:val="18"/>
                <w:color w:val="auto"/>
              </w:rPr>
              <w:t>96</w:t>
            </w:r>
          </w:p>
        </w:tc>
        <w:tc>
          <w:tcPr>
            <w:tcW w:w="1160" w:type="dxa"/>
            <w:vAlign w:val="bottom"/>
            <w:gridSpan w:val="6"/>
          </w:tcPr>
          <w:p>
            <w:pPr>
              <w:jc w:val="right"/>
              <w:ind w:right="8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3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33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62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0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1,174</w:t>
            </w:r>
          </w:p>
        </w:tc>
        <w:tc>
          <w:tcPr>
            <w:tcW w:w="11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32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1,193</w:t>
            </w:r>
          </w:p>
        </w:tc>
        <w:tc>
          <w:tcPr>
            <w:tcW w:w="300" w:type="dxa"/>
            <w:vAlign w:val="bottom"/>
          </w:tcPr>
          <w:p>
            <w:pPr>
              <w:spacing w:after="0"/>
              <w:rPr>
                <w:sz w:val="18"/>
                <w:szCs w:val="18"/>
                <w:color w:val="auto"/>
              </w:rPr>
            </w:pPr>
          </w:p>
        </w:tc>
        <w:tc>
          <w:tcPr>
            <w:tcW w:w="620" w:type="dxa"/>
            <w:vAlign w:val="bottom"/>
            <w:gridSpan w:val="3"/>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1,190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2,629</w:t>
            </w: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2,610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20" w:type="dxa"/>
            <w:vAlign w:val="bottom"/>
            <w:vMerge w:val="restart"/>
          </w:tcPr>
          <w:p>
            <w:pPr>
              <w:jc w:val="right"/>
              <w:ind w:right="1876"/>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March 31, 2015</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$82 million, as compared to net income of $62 million in the 2015 period. The changes in the Company’s operating results during these periods are described below.</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Net revenue decreased $79 million, or 14%, with operating revenue decreasing $75 million, or 13%, as compared to the 2015 period. Fee revenue from investment banking and other advisory activities decreased $36 million, or 12%, primarily due to decreases in M&amp;A and Other Advisory fees. The decrease in M&amp;A and Other Advisory fee revenue primarily reflected a lower level of closings and a decrease in the average transaction fee with respect to completed transactions involving fees greater than $1 million as compared to the 2015 period. Asset management fees, including incentive fees, decreased $28 million, or 11%, as compared to the 2015 period, due to a decrease in average AUM, a change in the mix of AUM and a decrease in incentive fees relating to traditional investment products. In the aggregate, interest income, other revenue and interest expense decreased $15 million as compared to the 2015 period, primarily due to investment losses, partially offset by a decrease in interest expense.</w:t>
      </w:r>
    </w:p>
    <w:p>
      <w:pPr>
        <w:spacing w:after="0" w:line="11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Compensation and benefits expense decreased $31 million, or 10%, as compared to the 2015 period, primarily due to a decrease in discretionary compensation associated with decreased operating revenue.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$298 million, a decrease of $25 million, or 8%, as compared to $323 million in the 2015 period. The ratio of adjusted compensation and benefits expense to operating revenue was 58.9% for the 2016 period, as compared to 55.6% for the 2015 period and 55.4% for full-year 2015. The ratio of adjusted compensation and benefits expense in the 2016 period generally reflected lower operating revenue in the 2016 period and seasonally high amortization expense.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Non-compensation expense decreased $65 million, or 39%,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decreased $5 million, or 5%, as compared to the 2015 period. The ratio of adjusted non-compensation expense to operating revenue was 20.0%, as compared to 18.3% in the 2015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2015 period.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Operating income increased $17 million as compared to the 2015 period, which included a charge relating to the redemption of a significant portion of the Company’s 2017 Notes.</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Earnings from operations decreased $45 million, or 30%, as compared to the 2015 period, which excluded the charge related to the redemption of a significant portion of the Company’s 2017 Notes, and, as a percentage of operating revenue, was 21.1%, as compared to 26.1% in the 2015 period.</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provision for income taxes reflects an effective tax rate of 12.0%, as compared to 14.2% for the 2015 period. The increase in the effective tax rate primarily reflects the change in the geographic mix of earnings. See Note 14 of Notes to Condensed Consolidated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decreased $3 million, or 42%, as compared to the 2015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214,591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260,804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Capital Raising</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17,569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223,464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Restructuring</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42,550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266,014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301,519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227,078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58,584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18% in 2016 as compared to 2015. The industry statistics for global M&amp;A transactions described above reflect a 10% and 17% decrease in the value and number, respectively, of all completed transactions in the 2016 period as compared to the 2015 period. For M&amp;A deals with values greater than $500 million, the value and number of completed transactions in the 2016 period decreased 9% and 21%, respectively, as compared to the 2015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924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66</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68</w:t>
            </w: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55</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56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3"/>
              </w:rPr>
              <w:t>35%</w:t>
            </w:r>
          </w:p>
        </w:tc>
        <w:tc>
          <w:tcPr>
            <w:tcW w:w="150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w w:val="99"/>
              </w:rPr>
              <w:t>39%</w:t>
            </w: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13</w:t>
            </w:r>
          </w:p>
        </w:tc>
        <w:tc>
          <w:tcPr>
            <w:tcW w:w="1500" w:type="dxa"/>
            <w:vAlign w:val="bottom"/>
            <w:gridSpan w:val="3"/>
          </w:tcPr>
          <w:p>
            <w:pPr>
              <w:ind w:left="112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1, 2016.</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Europe</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March 31, 2015</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Financial Advisory net revenue decreased $36 million, or 12%, as compared to the 2015 period. Total Strategic Advisory net revenue, representing fees from our M&amp;A and Other Advisory and Capital Raising businesses, decreased $55 million, or 20%, and Restructuring revenue increased $19 million, or 84%, as compared to the 2015 period.</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M&amp;A and Other Advisory revenue decreased $46 million, or 18%, while Capital Raising revenue decreased $9 million, or 50%, as compared to the 2015 period. The decrease in M&amp;A and Other Advisory revenue primarily reflected a lower level of closings and a decrease in the average transaction fee with respect to completed transactions involving fees greater than $1 million as compared to the 2015 period. Our major clients,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which in the aggregate represented a significant portion of our M&amp;A and Other Advisory revenue in the 2016 period, included Kraton Polymers, PartnerRe, Pepco Holdings, Reynolds American, Shell and Whiting Petroleum.</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Restructuring revenue in the 2016 period primarily reflected the closing of several large assignments, as well as a higher level of activity in the U.S. energy sector in the 2016 period. Our major clients, which in the aggregate represented a significant portion of our Restructuring revenue in the 2016 period, included Hovensa, Paragon Offshore, Vantage Drilling and Walter Energy.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Operating expenses decreased $16 million, or 7%, as compared to the 2015 period, primarily due to a decrease in compensation and benefits expense.</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Advisory operating income was $39 million, a decrease of $20 million, or 34%, as compared to operating income of $59 million in the 2015 period and, as a percentage of net revenue, was 14.6%, as compared to 19.4% in the 2015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155,812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151,495</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30,387</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190,554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186,380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Total AUM at March 31, 2016 was $191 billion, an increase of $5 billion, or 2%, as compared to total AUM of $186 billion at December 31, 2015, primarily due to foreign exchange and market appreciation, partially offset by net outflows. Average AUM for the three months ended March 31, 2016 decreased 7% as compared to the first quarter of 2015 and 2% as compared to the fourth quarter of 2015.</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March 31,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March 31, 2016, approximately 12% of our AUM was managed on behalf of individual client relationships, which are principally with family offices and individuals, compared to approximately 11% at December 31, 2015.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2016, AUM with foreign currency exposure represented approximately 71% of our total AUM, as compared to 72% at December 31,</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2015. AUM with foreign currency exposure generally declines in value with the strengthening of the U.S. Dollar and increases in value as the U.S. Dollar weakens, with all other factors held constant.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months ended March 31, 2016 and 2015: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w w:val="89"/>
              </w:rPr>
              <w:t>Three Months Ended March 31, 2016</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4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Inflows</w:t>
            </w:r>
          </w:p>
        </w:tc>
        <w:tc>
          <w:tcPr>
            <w:tcW w:w="2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Outflows</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Flows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$151,495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$8,042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(6,989)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$ 1,053</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Fixed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30,387</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1,324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(2,719)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186,380</w:t>
            </w:r>
          </w:p>
        </w:tc>
        <w:tc>
          <w:tcPr>
            <w:tcW w:w="4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9,808</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(10,169)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  (361)</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609</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3,926</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Inflows in the Equity asset class were primarily attributable to the Multi-Regional and Global equity platforms, and inflows in the Fixed Income asset class were primarily attributable to the Emerging Markets and Multi-Regional platforms. Outflows in the Equity asset class were primarily attributable to the Emerging Markets and Global equity platforms, and outflows in the Fixed Income asset class were primarily attributable to the Emerging Markets and Multi-Regional platforms.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rPr>
              <w:t>Three Months Ended March 31, 2015</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AUM</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Inflows</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Outflows</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Flows</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 in millions)</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$160,912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(6,930)</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(780)</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31,110</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3,403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(1,231)</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(2,077)</w:t>
            </w:r>
          </w:p>
        </w:tc>
        <w:tc>
          <w:tcPr>
            <w:tcW w:w="660" w:type="dxa"/>
            <w:vAlign w:val="bottom"/>
          </w:tcPr>
          <w:p>
            <w:pPr>
              <w:jc w:val="right"/>
              <w:spacing w:after="0"/>
              <w:rPr>
                <w:sz w:val="20"/>
                <w:szCs w:val="20"/>
                <w:color w:val="auto"/>
              </w:rPr>
            </w:pPr>
            <w:r>
              <w:rPr>
                <w:rFonts w:ascii="Arial" w:cs="Arial" w:eastAsia="Arial" w:hAnsi="Arial"/>
                <w:sz w:val="18"/>
                <w:szCs w:val="18"/>
                <w:color w:val="auto"/>
              </w:rPr>
              <w:t>31,722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197,103</w:t>
            </w:r>
          </w:p>
        </w:tc>
        <w:tc>
          <w:tcPr>
            <w:tcW w:w="3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(8,595)</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1,041</w:t>
            </w:r>
          </w:p>
        </w:tc>
        <w:tc>
          <w:tcPr>
            <w:tcW w:w="4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8,949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(7,912)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199,181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April 14, 2016, AUM was $192.5 billion, a $1.9 billion increase since March 31, 2016. The increase in AUM was due to market appreciation of $2.6 billion, partially offset by net outflows of $0.2 billion and foreign exchange depreciation of $0.5 billion.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Average AUM for the three month periods ended March 31, 2016 and 2015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7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5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Equity</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$ 149,969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$ 161,440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32,180</w:t>
            </w: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3,435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3"/>
        </w:trPr>
        <w:tc>
          <w:tcPr>
            <w:tcW w:w="396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5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$ 184,801</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$ 198,406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600" w:type="dxa"/>
            <w:vAlign w:val="bottom"/>
            <w:vMerge w:val="restart"/>
          </w:tcPr>
          <w:p>
            <w:pPr>
              <w:jc w:val="right"/>
              <w:ind w:right="3672"/>
              <w:spacing w:after="0"/>
              <w:rPr>
                <w:sz w:val="20"/>
                <w:szCs w:val="20"/>
                <w:color w:val="auto"/>
              </w:rPr>
            </w:pPr>
            <w:r>
              <w:rPr>
                <w:rFonts w:ascii="Arial" w:cs="Arial" w:eastAsia="Arial" w:hAnsi="Arial"/>
                <w:sz w:val="18"/>
                <w:szCs w:val="18"/>
                <w:color w:val="auto"/>
              </w:rPr>
              <w:t>52</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226,450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17,503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245,759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175,161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181,792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98,015</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2"/>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Europe</w:t>
            </w: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March 31, 2015</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Asset Management net revenue decreased $34 million, or 12%, as compared to the 2015 period. Management fees decreased $26 million, or 10%, as compared to the 2015 period, primarily due to a decrease in average AUM and a change in the mix of AUM. Incentive fees decreased $4 million, or 71%, as compared to the 2015 period, primarily due to incentive fees related to traditional investment products. Other revenue decreased $4 million, or 18%, as compared to the 2015 period, principally due to lower revenue attributable to noncontrolling interests from the 2015 period.</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Operating expenses decreased $7 million, or 4%, as compared to the 2015 period, primarily due to decreases in (i) compensation and benefits expense related to a decrease in discretionary compensation reflecting lower operating revenue and (ii) non-compensation expense related to fund administration and outsourced services.</w:t>
      </w:r>
    </w:p>
    <w:p>
      <w:pPr>
        <w:spacing w:after="0" w:line="140"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Asset Management operating income was $71 million, a decrease of $27 million, or 28%, as compared to operating income of $98 million in the 2015 period and, as a percentage of net revenue, was 28.7%, as compared to 35.0% in the 2015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20" w:type="dxa"/>
            <w:vAlign w:val="bottom"/>
            <w:gridSpan w:val="3"/>
          </w:tcPr>
          <w:p>
            <w:pPr>
              <w:jc w:val="center"/>
              <w:ind w:left="48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(12,671)</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3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(11,664)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3320" w:type="dxa"/>
            <w:vAlign w:val="bottom"/>
          </w:tcPr>
          <w:p>
            <w:pPr>
              <w:spacing w:after="0"/>
              <w:rPr>
                <w:sz w:val="18"/>
                <w:szCs w:val="18"/>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11,897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3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(14,169)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Expenses (Credit) (a)</w:t>
            </w:r>
          </w:p>
        </w:tc>
        <w:tc>
          <w:tcPr>
            <w:tcW w:w="3320" w:type="dxa"/>
            <w:vAlign w:val="bottom"/>
          </w:tcPr>
          <w:p>
            <w:pPr>
              <w:spacing w:after="0"/>
              <w:rPr>
                <w:sz w:val="18"/>
                <w:szCs w:val="18"/>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8"/>
                <w:szCs w:val="18"/>
                <w:color w:val="auto"/>
              </w:rPr>
              <w:t>(2,682)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71,515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68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 (11,487)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(75,988)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2015 period, includes $60,219 relating to the redemption of a significant portion of the Company’s 2017 Notes.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versus March 31, 2015</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interest expense decreased $5 million, or 29%, as compared to the 2015 period, primarily due to the redemption of $450 million of the 2017 Notes and the issuance of $400 million aggregate principal amount of 3.75% senior notes due 2025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decreased $14 million as compared to the 2015 period, primarily due to investment losses mainly from investments held in connection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Operating expenses decreased $74 million as compared to the 2015 period, including, in the 2015 period a charge of $60 million related to the redemption of a significant portion of the Company’s 2017 Notes. Excluding the impact of such charge, operating expenses decreased $14 million compared to the 2015 period, primarily due to decreased compensation and benefits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89"/>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86.3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12"/>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(263.4)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provided by operating activities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672"/>
              <w:spacing w:after="0"/>
              <w:rPr>
                <w:sz w:val="20"/>
                <w:szCs w:val="20"/>
                <w:color w:val="auto"/>
              </w:rPr>
            </w:pPr>
            <w:r>
              <w:rPr>
                <w:rFonts w:ascii="Arial" w:cs="Arial" w:eastAsia="Arial" w:hAnsi="Arial"/>
                <w:sz w:val="18"/>
                <w:szCs w:val="18"/>
                <w:color w:val="auto"/>
              </w:rPr>
              <w:t>(54.8)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72"/>
              <w:spacing w:after="0"/>
              <w:rPr>
                <w:sz w:val="20"/>
                <w:szCs w:val="20"/>
                <w:color w:val="auto"/>
              </w:rPr>
            </w:pPr>
            <w:r>
              <w:rPr>
                <w:rFonts w:ascii="Arial" w:cs="Arial" w:eastAsia="Arial" w:hAnsi="Arial"/>
                <w:sz w:val="18"/>
                <w:szCs w:val="18"/>
                <w:color w:val="auto"/>
              </w:rPr>
              <w:t>(286.3)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672"/>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691.5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 in millions)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876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and stock units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provision (benefit)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122.3</w:t>
            </w:r>
          </w:p>
        </w:tc>
        <w:tc>
          <w:tcPr>
            <w:tcW w:w="780" w:type="dxa"/>
            <w:vAlign w:val="bottom"/>
          </w:tcPr>
          <w:p>
            <w:pPr>
              <w:spacing w:after="0"/>
              <w:rPr>
                <w:sz w:val="19"/>
                <w:szCs w:val="19"/>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primarily of purchases of shares of Lazard Ltd Class A common stock, tax withholdings related to the settlement of vested restricted stock units (“RSUs”), vested restricted stock awards and vested PRSUs, distributions to members and noncontrolling interest holders, and activity relating to borrowings, including, in 2015, the redemption of a majority of the Company’s 2017 Notes and issuance of the 2025 Notes.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March 31, 2016, Lazard had approximately $692 million of cash, with such amount including approximately $421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2016, Lazard had approximately $241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$34 million (at March 31, 2016 exchange rates) and Edgewater of $55 million. In addition, LFB has access to the Eurosystem Covered Bond Purchase Program of the Banque de France.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table below sets forth our corporate indebtedness as of March 31,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Outstanding as of</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Maturity</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March 31, 2016</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center"/>
              <w:ind w:left="59"/>
              <w:spacing w:after="0" w:line="142" w:lineRule="exact"/>
              <w:rPr>
                <w:sz w:val="20"/>
                <w:szCs w:val="20"/>
                <w:color w:val="auto"/>
              </w:rPr>
            </w:pPr>
            <w:r>
              <w:rPr>
                <w:rFonts w:ascii="Arial" w:cs="Arial" w:eastAsia="Arial" w:hAnsi="Arial"/>
                <w:sz w:val="14"/>
                <w:szCs w:val="14"/>
                <w:b w:val="1"/>
                <w:bCs w:val="1"/>
                <w:color w:val="auto"/>
                <w:w w:val="87"/>
              </w:rPr>
              <w:t>December 31, 2015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Senior Debt</w:t>
            </w: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14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gridSpan w:val="2"/>
            <w:vMerge w:val="continue"/>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w:t>
            </w:r>
          </w:p>
        </w:tc>
        <w:tc>
          <w:tcPr>
            <w:tcW w:w="44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Debt Costs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w:t>
            </w:r>
          </w:p>
        </w:tc>
        <w:tc>
          <w:tcPr>
            <w:tcW w:w="44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Debt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0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right"/>
              <w:ind w:right="272"/>
              <w:spacing w:after="0" w:line="155" w:lineRule="exact"/>
              <w:rPr>
                <w:sz w:val="20"/>
                <w:szCs w:val="20"/>
                <w:color w:val="auto"/>
              </w:rPr>
            </w:pPr>
            <w:r>
              <w:rPr>
                <w:rFonts w:ascii="Arial" w:cs="Arial" w:eastAsia="Arial" w:hAnsi="Arial"/>
                <w:sz w:val="14"/>
                <w:szCs w:val="14"/>
                <w:b w:val="1"/>
                <w:bCs w:val="1"/>
                <w:color w:val="auto"/>
              </w:rPr>
              <w:t>($ in millions)</w:t>
            </w:r>
          </w:p>
        </w:tc>
        <w:tc>
          <w:tcPr>
            <w:tcW w:w="4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2017 Senior Notes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  98.2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7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495.7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2025 Senior Notes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4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$ 989.7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998.4</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2016, Lazard Group was in compliance with such ratios, with its Consolidated Leverage Ratio being 1.10 to 1.00 and its Consolidated Interest Coverage Ratio being 21.22 to 1.00. In any event, no amounts were outstanding under the Amended and Restated Credit Agreement as of March 31, 2016.</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March 31,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March 31, 2016, total members’ equity was $604 million, as compared to $703 million at December 31, 2015, including $547 million and $650 million attributable to Lazard Group on the respective dates. The net activity in members’ equity during the three month period ended March 31, 2016 is reflected in the table below (in millions of dollars):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Equity—January 1, 2016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$ 703</w:t>
            </w:r>
          </w:p>
        </w:tc>
        <w:tc>
          <w:tcPr>
            <w:tcW w:w="100" w:type="dxa"/>
            <w:vAlign w:val="bottom"/>
            <w:shd w:val="clear" w:color="auto" w:fill="CCEEFF"/>
          </w:tcPr>
          <w:p>
            <w:pPr>
              <w:spacing w:after="0"/>
              <w:rPr>
                <w:sz w:val="18"/>
                <w:szCs w:val="18"/>
                <w:color w:val="auto"/>
              </w:rPr>
            </w:pPr>
          </w:p>
        </w:tc>
      </w:tr>
      <w:tr>
        <w:trPr>
          <w:trHeight w:val="283"/>
        </w:trPr>
        <w:tc>
          <w:tcPr>
            <w:tcW w:w="10440" w:type="dxa"/>
            <w:vAlign w:val="bottom"/>
            <w:gridSpan w:val="3"/>
          </w:tcPr>
          <w:p>
            <w:pPr>
              <w:ind w:left="460"/>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980" w:type="dxa"/>
            <w:vAlign w:val="bottom"/>
            <w:gridSpan w:val="2"/>
          </w:tcPr>
          <w:p>
            <w:pPr>
              <w:ind w:left="44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980" w:type="dxa"/>
            <w:vAlign w:val="bottom"/>
            <w:gridSpan w:val="2"/>
          </w:tcPr>
          <w:p>
            <w:pPr>
              <w:ind w:left="440"/>
              <w:spacing w:after="0"/>
              <w:rPr>
                <w:sz w:val="20"/>
                <w:szCs w:val="20"/>
                <w:color w:val="auto"/>
              </w:rPr>
            </w:pPr>
            <w:r>
              <w:rPr>
                <w:rFonts w:ascii="Arial" w:cs="Arial" w:eastAsia="Arial" w:hAnsi="Arial"/>
                <w:sz w:val="18"/>
                <w:szCs w:val="18"/>
                <w:color w:val="auto"/>
              </w:rPr>
              <w:t>Purchase of Lazard Ltd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460" w:type="dxa"/>
            <w:vAlign w:val="bottom"/>
          </w:tcPr>
          <w:p>
            <w:pPr>
              <w:spacing w:after="0"/>
              <w:rPr>
                <w:sz w:val="18"/>
                <w:szCs w:val="18"/>
                <w:color w:val="auto"/>
              </w:rPr>
            </w:pPr>
          </w:p>
        </w:tc>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$0.4(a)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60" w:type="dxa"/>
            <w:vAlign w:val="bottom"/>
          </w:tcPr>
          <w:p>
            <w:pPr>
              <w:spacing w:after="0"/>
              <w:rPr>
                <w:sz w:val="18"/>
                <w:szCs w:val="18"/>
                <w:color w:val="auto"/>
              </w:rPr>
            </w:pPr>
          </w:p>
        </w:tc>
        <w:tc>
          <w:tcPr>
            <w:tcW w:w="9980" w:type="dxa"/>
            <w:vAlign w:val="bottom"/>
            <w:gridSpan w:val="2"/>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460" w:type="dxa"/>
            <w:vAlign w:val="bottom"/>
          </w:tcPr>
          <w:p>
            <w:pPr>
              <w:spacing w:after="0"/>
              <w:rPr>
                <w:sz w:val="18"/>
                <w:szCs w:val="18"/>
                <w:color w:val="auto"/>
              </w:rPr>
            </w:pPr>
          </w:p>
        </w:tc>
        <w:tc>
          <w:tcPr>
            <w:tcW w:w="9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2"/>
        </w:trPr>
        <w:tc>
          <w:tcPr>
            <w:tcW w:w="10440" w:type="dxa"/>
            <w:vAlign w:val="bottom"/>
            <w:gridSpan w:val="3"/>
          </w:tcPr>
          <w:p>
            <w:pPr>
              <w:ind w:left="460"/>
              <w:spacing w:after="0"/>
              <w:rPr>
                <w:sz w:val="20"/>
                <w:szCs w:val="20"/>
                <w:color w:val="auto"/>
              </w:rPr>
            </w:pPr>
            <w:r>
              <w:rPr>
                <w:rFonts w:ascii="Arial" w:cs="Arial" w:eastAsia="Arial" w:hAnsi="Arial"/>
                <w:sz w:val="18"/>
                <w:szCs w:val="18"/>
                <w:color w:val="auto"/>
              </w:rPr>
              <w:t>Members’—March 31, 2016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$ 604</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20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Three Months Ended March 31:</w:t>
            </w:r>
          </w:p>
        </w:tc>
        <w:tc>
          <w:tcPr>
            <w:tcW w:w="76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2015</w:t>
            </w:r>
          </w:p>
        </w:tc>
        <w:tc>
          <w:tcPr>
            <w:tcW w:w="8800" w:type="dxa"/>
            <w:vAlign w:val="bottom"/>
            <w:gridSpan w:val="3"/>
          </w:tcPr>
          <w:p>
            <w:pPr>
              <w:ind w:left="7680"/>
              <w:spacing w:after="0"/>
              <w:rPr>
                <w:sz w:val="20"/>
                <w:szCs w:val="20"/>
                <w:color w:val="auto"/>
              </w:rPr>
            </w:pPr>
            <w:r>
              <w:rPr>
                <w:rFonts w:ascii="Arial" w:cs="Arial" w:eastAsia="Arial" w:hAnsi="Arial"/>
                <w:sz w:val="18"/>
                <w:szCs w:val="18"/>
                <w:color w:val="auto"/>
              </w:rPr>
              <w:t>1,677,464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$49.46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800" w:type="dxa"/>
            <w:vAlign w:val="bottom"/>
            <w:gridSpan w:val="3"/>
            <w:shd w:val="clear" w:color="auto" w:fill="CCEEFF"/>
          </w:tcPr>
          <w:p>
            <w:pPr>
              <w:ind w:left="7680"/>
              <w:spacing w:after="0"/>
              <w:rPr>
                <w:sz w:val="20"/>
                <w:szCs w:val="20"/>
                <w:color w:val="auto"/>
              </w:rPr>
            </w:pPr>
            <w:r>
              <w:rPr>
                <w:rFonts w:ascii="Arial" w:cs="Arial" w:eastAsia="Arial" w:hAnsi="Arial"/>
                <w:sz w:val="18"/>
                <w:szCs w:val="18"/>
                <w:color w:val="auto"/>
              </w:rPr>
              <w:t>2,424,571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$34.29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2016, a total of $223 million of share repurchase authorization remained available under the Lazard Ltd’s share repurchase program, $23 million of which will expire on December 31, 2016 and $200 million of which will expire on December 31,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on April 20, 2016, the Board of Directors of Lazard authorized the repurchase of additional shares of Lazard Ltd’s Class A common stock, which authorization will expire on December 31, 2017, bringing the total share repurchase authorization to $300 million.</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three month period ended March 31, 2016,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$ 1,248,997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42,987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$ 174,218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$ 572,500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$ 459,292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Operating leases (exclusive of $59,743 of committed sublease income)</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851,500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77,763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140,391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121,066</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9,522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9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9,183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9,183</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$ 2,119,202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$ 132,063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$ 321,981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$ 693,586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$ 971,572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$5,013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$170 million, with such amount partially offset by a valuation allowance of approximately $89 million.</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not yet attained a sustained level of profitability.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$89 million as of December 31, 2015.</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any significant valuation allowance reduction were to occur, for subsequent annual periods, we expect that, our effective tax rate, with all other factors being held constant, would increase and could be significantly higher than our effective tax rate in the period preceding the period of the reduction in the valuation allowance. In such a situation, with all other factors being held constant, an increase in our effective tax rate as a result of the reduction in the valuation allowance would not impact the amount of cash income taxes we would pay to taxing authorities.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ind w:left="5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75,580</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85,419</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43,093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123,115</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146,144</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87,575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57,399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54,885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21,437</w:t>
            </w:r>
          </w:p>
        </w:tc>
        <w:tc>
          <w:tcPr>
            <w:tcW w:w="6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166,411</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289,526</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306,630</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16,649</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134,241</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198,675</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448,539</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530,712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March 31, 2016 and December 31, 2015,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7"/>
              </w:rPr>
              <w:t>March</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December</w:t>
            </w:r>
          </w:p>
        </w:tc>
      </w:tr>
      <w:tr>
        <w:trPr>
          <w:trHeight w:val="149"/>
        </w:trPr>
        <w:tc>
          <w:tcPr>
            <w:tcW w:w="8400" w:type="dxa"/>
            <w:vAlign w:val="bottom"/>
          </w:tcPr>
          <w:p>
            <w:pPr>
              <w:spacing w:after="0"/>
              <w:rPr>
                <w:sz w:val="12"/>
                <w:szCs w:val="12"/>
                <w:color w:val="auto"/>
              </w:rPr>
            </w:pPr>
          </w:p>
        </w:tc>
        <w:tc>
          <w:tcPr>
            <w:tcW w:w="4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31,</w:t>
            </w:r>
          </w:p>
        </w:tc>
        <w:tc>
          <w:tcPr>
            <w:tcW w:w="860" w:type="dxa"/>
            <w:vAlign w:val="bottom"/>
          </w:tcPr>
          <w:p>
            <w:pPr>
              <w:spacing w:after="0"/>
              <w:rPr>
                <w:sz w:val="12"/>
                <w:szCs w:val="12"/>
                <w:color w:val="auto"/>
              </w:rPr>
            </w:pPr>
          </w:p>
        </w:tc>
        <w:tc>
          <w:tcPr>
            <w:tcW w:w="6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r>
      <w:tr>
        <w:trPr>
          <w:trHeight w:val="161"/>
        </w:trPr>
        <w:tc>
          <w:tcPr>
            <w:tcW w:w="84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196"/>
        </w:trPr>
        <w:tc>
          <w:tcPr>
            <w:tcW w:w="84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40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84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1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r>
        <w:trPr>
          <w:trHeight w:val="216"/>
        </w:trPr>
        <w:tc>
          <w:tcPr>
            <w:tcW w:w="84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280" w:type="dxa"/>
            <w:vAlign w:val="bottom"/>
            <w:gridSpan w:val="2"/>
          </w:tcPr>
          <w:p>
            <w:pPr>
              <w:jc w:val="right"/>
              <w:ind w:right="860"/>
              <w:spacing w:after="0"/>
              <w:rPr>
                <w:sz w:val="20"/>
                <w:szCs w:val="20"/>
                <w:color w:val="auto"/>
              </w:rPr>
            </w:pPr>
            <w:r>
              <w:rPr>
                <w:rFonts w:ascii="Arial" w:cs="Arial" w:eastAsia="Arial" w:hAnsi="Arial"/>
                <w:sz w:val="18"/>
                <w:szCs w:val="18"/>
                <w:color w:val="auto"/>
              </w:rPr>
              <w:t>13</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4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1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400" w:type="dxa"/>
            <w:vAlign w:val="bottom"/>
          </w:tcPr>
          <w:p>
            <w:pPr>
              <w:ind w:left="148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860"/>
              <w:spacing w:after="0"/>
              <w:rPr>
                <w:sz w:val="20"/>
                <w:szCs w:val="20"/>
                <w:color w:val="auto"/>
              </w:rPr>
            </w:pPr>
            <w:r>
              <w:rPr>
                <w:rFonts w:ascii="Arial" w:cs="Arial" w:eastAsia="Arial" w:hAnsi="Arial"/>
                <w:sz w:val="18"/>
                <w:szCs w:val="18"/>
                <w:color w:val="auto"/>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r>
      <w:tr>
        <w:trPr>
          <w:trHeight w:val="27"/>
        </w:trPr>
        <w:tc>
          <w:tcPr>
            <w:tcW w:w="8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4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$32 million and $30 million as of March 31, 2016 and December 31, 2015, respectively.</w:t>
      </w:r>
    </w:p>
    <w:p>
      <w:pPr>
        <w:spacing w:after="0" w:line="4" w:lineRule="exact"/>
        <w:rPr>
          <w:rFonts w:ascii="Arial" w:cs="Arial" w:eastAsia="Arial" w:hAnsi="Arial"/>
          <w:sz w:val="16"/>
          <w:szCs w:val="16"/>
          <w:color w:val="auto"/>
        </w:rPr>
      </w:pPr>
    </w:p>
    <w:p>
      <w:pPr>
        <w:ind w:left="460" w:right="160" w:hanging="452"/>
        <w:spacing w:after="0" w:line="256"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58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March 31, 2016 and December 31, 2015, total investments with a fair value of $383 million and $467 million, respectively, included $1 million at each such date, or less than 1%, respectively, of investments that were classified as Level 3 investments and $130 million and $123 million, respectively, or 34% and 26%,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March 31, 2016 and December 31, 2015, the Company held seed investments of approximately $123 million and $146 million, respectively. Seed investments held in entities in which the Company maintained a controlling interest were $21 million in eight entities as of March 31, 2016, as compared to $49 million in eleven entities as of December 31, 2015.</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As of March 31, 2016 and December 31, 2015, the Company did not consolidate or deconsolidate any seed investment entities. As such, 100% of the recorded balance of seed investments as of March 31, 2016 and December 31, 2015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340" w:hanging="325"/>
        <w:spacing w:after="0" w:line="30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25" w:lineRule="exact"/>
        <w:rPr>
          <w:rFonts w:ascii="Arial" w:cs="Arial" w:eastAsia="Arial" w:hAnsi="Arial"/>
          <w:sz w:val="16"/>
          <w:szCs w:val="16"/>
          <w:color w:val="auto"/>
        </w:rPr>
      </w:pPr>
    </w:p>
    <w:p>
      <w:pPr>
        <w:ind w:left="900" w:hanging="325"/>
        <w:spacing w:after="0" w:line="284"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(ii) the obligation to absorb losses of, or receive benefits from, the VIE that could be potentially significant to the VIE.</w:t>
      </w:r>
    </w:p>
    <w:p>
      <w:pPr>
        <w:spacing w:after="0" w:line="165"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43"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Equity Market Price Risk—At March 31, 2016 and December 31, 2015, the Company’s exposure to equity market price risk in its investment portfolio, which primarily relates to investments in equity securities, equity funds and hedge funds, was approximately $105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$0.3 million and $1.8 million in the carrying value of such investments as of March 31, 2016 and December 31, 2015,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Risk—At March 31, 2016 and December 31, 2015, the Company’s exposure to interest rate and credit spread risk in its investment portfolio related to investments in debt securities or funds which invest primarily in debt securities was $38 million and $38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$0.1 million in the carrying value of such investments as of both March 31, 2016 and December 31, 2015, respectively, including the effect of the hedging transactions.</w:t>
      </w:r>
    </w:p>
    <w:p>
      <w:pPr>
        <w:spacing w:after="0" w:line="11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Foreign Exchange Rate Risk—At March 31, 2016 and December 31, 2015, the Company’s exposure to foreign exchange rate risk in its investment portfolio, which primarily relates to investments in foreign currency denominated equity and debt securities, was $58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$1.2 million and $1.0 million in the carrying value of such investments as of March 31, 2016 and December 31, 2015, respectively, including the effect of the hedging transactions.</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March 31, 2016 and December 31, 2015, the Company’s exposure to changes in fair value of such investments was approximately $88 million and $84 million, respectively. The Company estimates that a hypothetical 10% adverse change in fair value would result in a decrease of approximately $8.8 million and $8.4 million in the carrying value of such investments as of March 31, 2016 and December 31, 2015,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2016, total receivables amounted to $538 million, net of an allowance for doubtful accounts of $11 million. As of that date, Financial Advisory and Asset Management fees, receivables from Lazard Ltd subsidiaries, and customers and other receivables comprised 77%, 4% and 19% of total receivables, respectively. At December 31, 2015, total receivables amounted to $606 million, net of an allowance for doubtful accounts of $13 million. As of that date, Financial Advisory and Asset Management fees, receivables from Lazard Ltd subsidiaries, and customers and other receivables comprised 70%, 18% and 12% of total receivables, respectively. At March 31, 2016 and December 31, 2015, the Company had receivables past due or deemed uncollectible of approximately $16 million and $20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2016 and December 31, 2015, customer receivables included $46 million and $38 million of LFB loans, respectively, with such loans being fully collateralized and closely monitored for counterparty creditworthiness.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 million and $1 million at March 31, 2016 and December 31, 2015, respectively, and derivative liabilities, excluding the derivative liability arising from the Company’s obligation pertaining to LFI and other similar deferred compensation arrangements, amounted to $9 million and $2 million at such respective dates.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$180 million and $194 million at March 31, 2016 and December 31,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2016, Lazard estimates that its annual operating income relating to cash and cash equivalents would increase by approximately $7 million in the event interest rates were to increase by 1% and decrease by approximately $7 million if rates were to decrease by 1%.</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of March 31, 2016, the Company’s cash and cash equivalents totaled approximately $692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Except for the updated risk factor set forth below, there were no material changes from the risk factors previously disclosed in the Company’s Annual Report on Form 10-K.</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4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existing tax laws and regulations are under review in the U.S. and in many other jurisdictions in which we and our clients operate. Actual and proposed changes to these laws and regulations may reduce the level of M&amp;A activity, including cross-border M&amp;A activity.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2015, our Asset Management business obtained research and other services through third-party soft dollar arrangements, the total cost of which we estimate to be approximately $24 million. If the use of soft dollars were to be limited, we would have to bear some of these costs. In addition, new regulations regarding the management of hedge funds, UCITs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“Business—Regulation” in our Annual Report on Form 10-K for the year ended December 31, 2015 for a further discussion of the regulatory environment in which we conduct our businesses.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Amended and Restated Operating Agreement of Lazard Group LLC, dated as of October 26, 2015 (incorporated by reference to Exhibit 3.3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the Registrant’s Quarterly Report (File No. 333-126751) on Form 10-Q filed on October 28, 2015).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2"/>
              </w:rPr>
              <w:t>Sixth Supplemental Indenture, dated as of February 13, 2015,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(incorporated by reference to Exhibit 4.1 of the Registrant’s Current Report on Form 8-K (File No. 333-126751) filed on February 13, 2015).</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 (included in Exhibits 4.2, 4.3 and 4.4).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Amendment dated as of February 16, 2011, by and among RCPI Landmark Properties, L.L.C. (as the successor in interest to Rockefeller</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10.4*</w:t>
            </w:r>
          </w:p>
        </w:tc>
        <w:tc>
          <w:tcPr>
            <w:tcW w:w="10620" w:type="dxa"/>
            <w:vAlign w:val="bottom"/>
          </w:tcPr>
          <w:p>
            <w:pPr>
              <w:ind w:left="60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10.5*</w:t>
            </w:r>
          </w:p>
        </w:tc>
        <w:tc>
          <w:tcPr>
            <w:tcW w:w="10620" w:type="dxa"/>
            <w:vAlign w:val="bottom"/>
          </w:tcPr>
          <w:p>
            <w:pPr>
              <w:ind w:left="60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Lazard Ltd’s 2016 French Sub-plan (incorporated by reference to Annex B to Lazard Ltd’s Definitive Proxy Statement on Schedule 14A (File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No. 001-32492) filed on March 10, 2016).</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10.7*</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Amended and Restated Agreement relating to Retention and Noncompetition and Other Covenants, dated as of March 9, 2016, by and among</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the Registrant, Lazard Ltd and Kenneth M. Jacobs.</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March 9, 2016, by and among</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the Registrant, Lazard Ltd and Ashish Bhutani.</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March 9, 2016, by and among</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the Registrant, Lazard Ltd and Matthieu Bucaille.</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March 9, 2016, by and among</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the Registrant, Lazard Ltd and Scott D. Hoffman.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Amended and Restated Agreement relating to Retention and Noncompetition and Other Covenants, dated as of March 9, 2016, by and among</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the Registrant, Lazard Ltd and Alexander F. Stern.</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40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Deferred Cash Award to Executive Officers (incorporated by reference to Exhibit 10.42 to Lazard</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Ltd’s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Amended and Restated Credit Agreement, dated as of September 25, 2015, among the Registrant, the Banks from time to time parties thereto,</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7"/>
              </w:rPr>
              <w:t>and Citibank, N.A., as Administrative Agent (incorporated by reference to Exhibit 10.25 to the Registrant’s Quarterly Report (File</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No. 333-126751) on Form 10-Q filed on October 28, 2015).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(incorporated by reference to Exhibit 10.54 to</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the Registrant’s Quarterly Report (File No. 333-126751) on Form 10-Q filed on May 1, 2013).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tcPr>
          <w:p>
            <w:pPr>
              <w:ind w:left="400"/>
              <w:spacing w:after="0"/>
              <w:rPr>
                <w:sz w:val="20"/>
                <w:szCs w:val="20"/>
                <w:color w:val="auto"/>
              </w:rPr>
            </w:pPr>
            <w:r>
              <w:rPr>
                <w:rFonts w:ascii="Arial" w:cs="Arial" w:eastAsia="Arial" w:hAnsi="Arial"/>
                <w:sz w:val="18"/>
                <w:szCs w:val="18"/>
                <w:color w:val="auto"/>
                <w:w w:val="87"/>
              </w:rPr>
              <w:t>Agreement between Lazard Ltd and Kenneth M. Jacobs, dated as of February 20, 2014, evidencing a grant of Performance-Based Stock Units</w:t>
            </w:r>
          </w:p>
        </w:tc>
      </w:tr>
      <w:tr>
        <w:trPr>
          <w:trHeight w:val="216"/>
        </w:trPr>
        <w:tc>
          <w:tcPr>
            <w:tcW w:w="88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88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No. 333-126751) on Form 10-Q filed on May 6, 2014).</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12.1</w:t>
            </w:r>
          </w:p>
        </w:tc>
        <w:tc>
          <w:tcPr>
            <w:tcW w:w="10380" w:type="dxa"/>
            <w:vAlign w:val="bottom"/>
          </w:tcPr>
          <w:p>
            <w:pPr>
              <w:ind w:left="4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4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4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4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400"/>
              <w:spacing w:after="0"/>
              <w:rPr>
                <w:sz w:val="20"/>
                <w:szCs w:val="20"/>
                <w:color w:val="auto"/>
              </w:rPr>
            </w:pPr>
            <w:r>
              <w:rPr>
                <w:rFonts w:ascii="Arial" w:cs="Arial" w:eastAsia="Arial" w:hAnsi="Arial"/>
                <w:sz w:val="18"/>
                <w:szCs w:val="18"/>
                <w:color w:val="auto"/>
              </w:rPr>
              <w:t>Section 1350 Certification for Matthieu Bucaille.</w:t>
            </w:r>
          </w:p>
        </w:tc>
      </w:tr>
      <w:tr>
        <w:trPr>
          <w:trHeight w:val="365"/>
        </w:trPr>
        <w:tc>
          <w:tcPr>
            <w:tcW w:w="880" w:type="dxa"/>
            <w:vAlign w:val="bottom"/>
          </w:tcPr>
          <w:p>
            <w:pPr>
              <w:spacing w:after="0"/>
              <w:rPr>
                <w:sz w:val="24"/>
                <w:szCs w:val="24"/>
                <w:color w:val="auto"/>
              </w:rPr>
            </w:pPr>
          </w:p>
        </w:tc>
        <w:tc>
          <w:tcPr>
            <w:tcW w:w="10380" w:type="dxa"/>
            <w:vAlign w:val="bottom"/>
          </w:tcPr>
          <w:p>
            <w:pPr>
              <w:ind w:left="46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360"/>
              <w:spacing w:after="0"/>
              <w:rPr>
                <w:sz w:val="20"/>
                <w:szCs w:val="20"/>
                <w:color w:val="auto"/>
              </w:rPr>
            </w:pPr>
            <w:r>
              <w:rPr>
                <w:rFonts w:ascii="Arial" w:cs="Arial" w:eastAsia="Arial" w:hAnsi="Arial"/>
                <w:sz w:val="18"/>
                <w:szCs w:val="18"/>
                <w:color w:val="auto"/>
                <w:w w:val="90"/>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360"/>
              <w:spacing w:after="0"/>
              <w:rPr>
                <w:sz w:val="20"/>
                <w:szCs w:val="20"/>
                <w:color w:val="auto"/>
              </w:rPr>
            </w:pPr>
            <w:r>
              <w:rPr>
                <w:rFonts w:ascii="Arial" w:cs="Arial" w:eastAsia="Arial" w:hAnsi="Arial"/>
                <w:sz w:val="18"/>
                <w:szCs w:val="18"/>
                <w:color w:val="auto"/>
                <w:w w:val="93"/>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10.7</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AGREEMENT RELATING TO RETENTION AND</w:t>
      </w:r>
    </w:p>
    <w:p>
      <w:pPr>
        <w:jc w:val="center"/>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21"/>
          <w:szCs w:val="21"/>
          <w:color w:val="auto"/>
        </w:rPr>
        <w:t>AMENDED AND RESTATED AGREEMENT, dated as of March 9,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Lazard Ltd, a company incorporated under the laws of Bermuda (“</w:t>
      </w:r>
      <w:r>
        <w:rPr>
          <w:rFonts w:ascii="Arial" w:cs="Arial" w:eastAsia="Arial" w:hAnsi="Arial"/>
          <w:sz w:val="21"/>
          <w:szCs w:val="21"/>
          <w:u w:val="single" w:color="auto"/>
          <w:color w:val="auto"/>
        </w:rPr>
        <w:t>Lazard</w:t>
      </w:r>
      <w:r>
        <w:rPr>
          <w:rFonts w:ascii="Arial" w:cs="Arial" w:eastAsia="Arial" w:hAnsi="Arial"/>
          <w:sz w:val="21"/>
          <w:szCs w:val="21"/>
          <w:color w:val="auto"/>
        </w:rPr>
        <w:t>”), Lazard Group LLC, a Delaware limited liability company (“</w:t>
      </w:r>
      <w:r>
        <w:rPr>
          <w:rFonts w:ascii="Arial" w:cs="Arial" w:eastAsia="Arial" w:hAnsi="Arial"/>
          <w:sz w:val="21"/>
          <w:szCs w:val="21"/>
          <w:u w:val="single" w:color="auto"/>
          <w:color w:val="auto"/>
        </w:rPr>
        <w:t>Lazard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its behalf and on behalf of its subsidiaries and affiliates (collectively with Lazard and Lazard Group, and its and their predecessors and successors, the “</w:t>
      </w:r>
      <w:r>
        <w:rPr>
          <w:rFonts w:ascii="Arial" w:cs="Arial" w:eastAsia="Arial" w:hAnsi="Arial"/>
          <w:sz w:val="21"/>
          <w:szCs w:val="21"/>
          <w:u w:val="single" w:color="auto"/>
          <w:color w:val="auto"/>
        </w:rPr>
        <w:t>Firm</w:t>
      </w:r>
      <w:r>
        <w:rPr>
          <w:rFonts w:ascii="Arial" w:cs="Arial" w:eastAsia="Arial" w:hAnsi="Arial"/>
          <w:sz w:val="21"/>
          <w:szCs w:val="21"/>
          <w:color w:val="auto"/>
        </w:rPr>
        <w:t>”), and Kenneth M. Jacobs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4" w:lineRule="exact"/>
        <w:rPr>
          <w:sz w:val="20"/>
          <w:szCs w:val="20"/>
          <w:color w:val="auto"/>
        </w:rPr>
      </w:pPr>
    </w:p>
    <w:p>
      <w:pPr>
        <w:ind w:right="40" w:firstLine="571"/>
        <w:spacing w:after="0" w:line="297" w:lineRule="auto"/>
        <w:rPr>
          <w:sz w:val="20"/>
          <w:szCs w:val="20"/>
          <w:color w:val="auto"/>
        </w:rPr>
      </w:pPr>
      <w:r>
        <w:rPr>
          <w:rFonts w:ascii="Arial" w:cs="Arial" w:eastAsia="Arial" w:hAnsi="Arial"/>
          <w:sz w:val="19"/>
          <w:szCs w:val="19"/>
          <w:color w:val="auto"/>
        </w:rPr>
        <w:t>WHEREAS, the Executive previously entered into an Agreement Relating to Retention and Noncompetition and Other Covenants with Lazard and Lazard Group, dated as of March 18, 2005, as amended on March 23, 2010 and October 24, 2012 (such agreement, together with all schedules and attachments thereto, the “</w:t>
      </w:r>
      <w:r>
        <w:rPr>
          <w:rFonts w:ascii="Arial" w:cs="Arial" w:eastAsia="Arial" w:hAnsi="Arial"/>
          <w:sz w:val="19"/>
          <w:szCs w:val="19"/>
          <w:u w:val="single" w:color="auto"/>
          <w:color w:val="auto"/>
        </w:rPr>
        <w:t>Prior Retention Agreement</w:t>
      </w:r>
      <w:r>
        <w:rPr>
          <w:rFonts w:ascii="Arial" w:cs="Arial" w:eastAsia="Arial" w:hAnsi="Arial"/>
          <w:sz w:val="19"/>
          <w:szCs w:val="19"/>
          <w:color w:val="auto"/>
        </w:rPr>
        <w:t>”);</w:t>
      </w:r>
    </w:p>
    <w:p>
      <w:pPr>
        <w:spacing w:after="0" w:line="134" w:lineRule="exact"/>
        <w:rPr>
          <w:sz w:val="20"/>
          <w:szCs w:val="20"/>
          <w:color w:val="auto"/>
        </w:rPr>
      </w:pPr>
    </w:p>
    <w:p>
      <w:pPr>
        <w:ind w:right="60" w:firstLine="571"/>
        <w:spacing w:after="0" w:line="236" w:lineRule="auto"/>
        <w:rPr>
          <w:sz w:val="20"/>
          <w:szCs w:val="20"/>
          <w:color w:val="auto"/>
        </w:rPr>
      </w:pPr>
      <w:r>
        <w:rPr>
          <w:rFonts w:ascii="Arial" w:cs="Arial" w:eastAsia="Arial" w:hAnsi="Arial"/>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88" w:lineRule="exact"/>
        <w:rPr>
          <w:sz w:val="20"/>
          <w:szCs w:val="20"/>
          <w:color w:val="auto"/>
        </w:rPr>
      </w:pPr>
    </w:p>
    <w:p>
      <w:pPr>
        <w:ind w:right="640" w:firstLine="571"/>
        <w:spacing w:after="0" w:line="251" w:lineRule="auto"/>
        <w:rPr>
          <w:sz w:val="20"/>
          <w:szCs w:val="20"/>
          <w:color w:val="auto"/>
        </w:rPr>
      </w:pPr>
      <w:r>
        <w:rPr>
          <w:rFonts w:ascii="Arial" w:cs="Arial" w:eastAsia="Arial" w:hAnsi="Arial"/>
          <w:sz w:val="22"/>
          <w:szCs w:val="22"/>
          <w:color w:val="auto"/>
        </w:rPr>
        <w:t>WHEREAS, as of the date hereof, the Executive is the “Chairman and Chief Executive Officer” of Lazard and Lazard Group.</w:t>
      </w:r>
    </w:p>
    <w:p>
      <w:pPr>
        <w:spacing w:after="0" w:line="173"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20" w:firstLine="579"/>
        <w:spacing w:after="0" w:line="273" w:lineRule="auto"/>
        <w:tabs>
          <w:tab w:leader="none" w:pos="116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Arial" w:cs="Arial" w:eastAsia="Arial" w:hAnsi="Arial"/>
          <w:sz w:val="19"/>
          <w:szCs w:val="19"/>
          <w:u w:val="single" w:color="auto"/>
          <w:color w:val="auto"/>
        </w:rPr>
        <w:t>Specified Expiration Date</w:t>
      </w:r>
      <w:r>
        <w:rPr>
          <w:rFonts w:ascii="Arial" w:cs="Arial" w:eastAsia="Arial" w:hAnsi="Arial"/>
          <w:sz w:val="19"/>
          <w:szCs w:val="19"/>
          <w:color w:val="auto"/>
        </w:rPr>
        <w:t>”), provided that, upon a Change in Control (as defined in Lazard’s 2008 Incentive Compensation Plan, as it may be amended from time to time, or any successor plan thereto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w:t>
      </w:r>
    </w:p>
    <w:p>
      <w:pPr>
        <w:sectPr>
          <w:pgSz w:w="11900" w:h="16838" w:orient="portrait"/>
          <w:cols w:equalWidth="0" w:num="1">
            <w:col w:w="11420"/>
          </w:cols>
          <w:pgMar w:left="240" w:top="111" w:right="239" w:bottom="1440" w:gutter="0" w:footer="0" w:header="0"/>
        </w:sectPr>
      </w:pPr>
    </w:p>
    <w:bookmarkStart w:id="77" w:name="page78"/>
    <w:bookmarkEnd w:id="77"/>
    <w:p>
      <w:pPr>
        <w:ind w:right="6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71" w:lineRule="exact"/>
        <w:rPr>
          <w:sz w:val="20"/>
          <w:szCs w:val="20"/>
          <w:color w:val="auto"/>
        </w:rPr>
      </w:pPr>
    </w:p>
    <w:p>
      <w:pPr>
        <w:ind w:left="1180" w:hanging="601"/>
        <w:spacing w:after="0"/>
        <w:tabs>
          <w:tab w:leader="none" w:pos="11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right="20" w:firstLine="579"/>
        <w:spacing w:after="0" w:line="251" w:lineRule="auto"/>
        <w:tabs>
          <w:tab w:leader="none" w:pos="116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Continued Employment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Employment</w:t>
      </w:r>
      <w:r>
        <w:rPr>
          <w:rFonts w:ascii="Arial" w:cs="Arial" w:eastAsia="Arial" w:hAnsi="Arial"/>
          <w:sz w:val="22"/>
          <w:szCs w:val="22"/>
          <w:color w:val="auto"/>
        </w:rPr>
        <w:t>. The Executive hereby agrees to continue in the employ of the Firm, subject to the terms and conditions of this Agreement.</w:t>
      </w:r>
    </w:p>
    <w:p>
      <w:pPr>
        <w:spacing w:after="0" w:line="173" w:lineRule="exact"/>
        <w:rPr>
          <w:sz w:val="20"/>
          <w:szCs w:val="20"/>
          <w:color w:val="auto"/>
        </w:rPr>
      </w:pPr>
    </w:p>
    <w:p>
      <w:pPr>
        <w:ind w:firstLine="579"/>
        <w:spacing w:after="0" w:line="271" w:lineRule="auto"/>
        <w:tabs>
          <w:tab w:leader="none" w:pos="125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Duties and Responsibilities; Code of Conduct</w:t>
      </w:r>
      <w:r>
        <w:rPr>
          <w:rFonts w:ascii="Arial" w:cs="Arial" w:eastAsia="Arial" w:hAnsi="Arial"/>
          <w:sz w:val="19"/>
          <w:szCs w:val="19"/>
          <w:color w:val="auto"/>
        </w:rPr>
        <w:t>. During the Term until the Specified Expiration Date, the Executive shall continue to (i) serve as the Chief Executive Officer of Lazard and Lazard Group, with such authority, duties and responsibilities as are consistent with the authority, duties and responsibilities exercised by the Executive in his capacity as Chief Executive Officer on the date hereof, including the authority, duties and responsibilities that he exercises as the chief executive officer of a public company, (ii) serve as a member and as the Chairman of the Board of Directors of Lazard, with such authority, duties and responsibilities as are consistent with the authority, duties and responsibilities exercised by the Executive as Chairman of the Board of Directors of Lazard on the date hereof, (iii) report directly to the Board of Directors of Lazard and (iv) other than in respect of charitable, educational and similar activities that do not materially affect the Executive’s duties to the Firm (or in respect of directorships, trusteeships, or similar posts, in each case, that are approved by the Board of Directors of Lazard) shall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260" w:hanging="681"/>
        <w:spacing w:after="0"/>
        <w:tabs>
          <w:tab w:leader="none" w:pos="126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right="200" w:firstLine="579"/>
        <w:spacing w:after="0" w:line="277" w:lineRule="auto"/>
        <w:tabs>
          <w:tab w:leader="none" w:pos="120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period ending on the Specified Expiration Date, subject to the Executive’s continued employment hereunder, the Executive shall be entitled to receive an annual base salary of not less than $900,000 (“</w:t>
      </w:r>
      <w:r>
        <w:rPr>
          <w:rFonts w:ascii="Arial" w:cs="Arial" w:eastAsia="Arial" w:hAnsi="Arial"/>
          <w:sz w:val="19"/>
          <w:szCs w:val="19"/>
          <w:u w:val="single" w:color="auto"/>
          <w:color w:val="auto"/>
        </w:rPr>
        <w:t>Base Salary</w:t>
      </w:r>
      <w:r>
        <w:rPr>
          <w:rFonts w:ascii="Arial" w:cs="Arial" w:eastAsia="Arial" w:hAnsi="Arial"/>
          <w:sz w:val="19"/>
          <w:szCs w:val="19"/>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67" w:right="259" w:bottom="1440" w:gutter="0" w:footer="0" w:header="0"/>
        </w:sectPr>
      </w:pPr>
    </w:p>
    <w:bookmarkStart w:id="78" w:name="page79"/>
    <w:bookmarkEnd w:id="78"/>
    <w:p>
      <w:pPr>
        <w:ind w:right="4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decrease, unless such decrease is in line with an across-the-board base salary decrease to all managing directors in the same geographic location as the Executive.</w:t>
      </w:r>
    </w:p>
    <w:p>
      <w:pPr>
        <w:spacing w:after="0" w:line="173" w:lineRule="exact"/>
        <w:rPr>
          <w:sz w:val="20"/>
          <w:szCs w:val="20"/>
          <w:color w:val="auto"/>
        </w:rPr>
      </w:pPr>
    </w:p>
    <w:p>
      <w:pPr>
        <w:ind w:right="40" w:firstLine="579"/>
        <w:spacing w:after="0" w:line="272" w:lineRule="auto"/>
        <w:tabs>
          <w:tab w:leader="none" w:pos="1267"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57" w:lineRule="exact"/>
        <w:rPr>
          <w:rFonts w:ascii="Arial" w:cs="Arial" w:eastAsia="Arial" w:hAnsi="Arial"/>
          <w:sz w:val="19"/>
          <w:szCs w:val="19"/>
          <w:color w:val="auto"/>
        </w:rPr>
      </w:pPr>
    </w:p>
    <w:p>
      <w:pPr>
        <w:ind w:right="400" w:firstLine="579"/>
        <w:spacing w:after="0"/>
        <w:tabs>
          <w:tab w:leader="none" w:pos="1327"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firstLine="579"/>
        <w:spacing w:after="0" w:line="245" w:lineRule="auto"/>
        <w:tabs>
          <w:tab w:leader="none" w:pos="1315"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Employee Benefit Plans</w:t>
      </w:r>
      <w:r>
        <w:rPr>
          <w:rFonts w:ascii="Arial" w:cs="Arial" w:eastAsia="Arial" w:hAnsi="Arial"/>
          <w:sz w:val="21"/>
          <w:szCs w:val="21"/>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 In addition, until the Specified Expiration Date, subject to the Executive’s continued employment, the Executive, shall continue to be entitled to receive fringe benefits and perquisites on the same basis as applied to the Executive immediately prior to the date hereof subject to the terms of the policies adopted by the Compensation Committee as in effect from time to time.</w:t>
      </w:r>
    </w:p>
    <w:p>
      <w:pPr>
        <w:spacing w:after="0" w:line="185" w:lineRule="exact"/>
        <w:rPr>
          <w:sz w:val="20"/>
          <w:szCs w:val="20"/>
          <w:color w:val="auto"/>
        </w:rPr>
      </w:pPr>
    </w:p>
    <w:p>
      <w:pPr>
        <w:ind w:right="220" w:firstLine="579"/>
        <w:spacing w:after="0" w:line="258" w:lineRule="auto"/>
        <w:tabs>
          <w:tab w:leader="none" w:pos="1255"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79" w:name="page80"/>
    <w:bookmarkEnd w:id="79"/>
    <w:p>
      <w:pPr>
        <w:ind w:right="4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67" w:lineRule="exact"/>
        <w:rPr>
          <w:sz w:val="20"/>
          <w:szCs w:val="20"/>
          <w:color w:val="auto"/>
        </w:rPr>
      </w:pPr>
    </w:p>
    <w:p>
      <w:pPr>
        <w:ind w:firstLine="579"/>
        <w:spacing w:after="0" w:line="269" w:lineRule="auto"/>
        <w:tabs>
          <w:tab w:leader="none" w:pos="889"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 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xml:space="preserve">”), the Executive and his eligible dependents shall continue to be eligible to participate in the medical and dental benefit plans of Lazard Group on the same basis as the Executive participated in such plans immediately prior to the Date of Termination. Following the Benefit Continuation Period in the case of a Qualifying Termination, or the Date of Termination in the case of any other termination during the Term other than a termination for Cause, for the remainder of the Executive’s life and that of his current spouse, the Executive, his spouse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Executive (or the Executive’s current spouse or estate, as applicable) shall be solely responsible for the full cost of all premiums related to the coverage provided in this sentence. Notwithstanding the foregoing, in the event that, following the date hereof but prior to a Change in Control, it becomes impracticable for Lazard Group to provide the Executive (or his spouse or eligible dependents) with the benefits described in the immediately preceding sentence as a result of fundamental changes in applicable law, the Executive and Lazard Group will cooperate in good faith to implement reasonable changes to Lazard Group’s obligations pursuant to the immediately preceding sentence, as mutually agreed in writing. In</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40"/>
          </w:cols>
          <w:pgMar w:left="240" w:top="267" w:right="319" w:bottom="1440" w:gutter="0" w:footer="0" w:header="0"/>
        </w:sectPr>
      </w:pPr>
    </w:p>
    <w:bookmarkStart w:id="80" w:name="page81"/>
    <w:bookmarkEnd w:id="80"/>
    <w:p>
      <w:pPr>
        <w:ind w:right="60"/>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185" w:lineRule="exact"/>
        <w:rPr>
          <w:sz w:val="20"/>
          <w:szCs w:val="20"/>
          <w:color w:val="auto"/>
        </w:rPr>
      </w:pPr>
    </w:p>
    <w:p>
      <w:pPr>
        <w:ind w:left="580" w:firstLine="541"/>
        <w:spacing w:after="0" w:line="271" w:lineRule="auto"/>
        <w:tabs>
          <w:tab w:leader="none" w:pos="16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200" w:lineRule="exact"/>
        <w:rPr>
          <w:sz w:val="20"/>
          <w:szCs w:val="20"/>
          <w:color w:val="auto"/>
        </w:rPr>
      </w:pPr>
    </w:p>
    <w:p>
      <w:pPr>
        <w:spacing w:after="0" w:line="205" w:lineRule="exact"/>
        <w:rPr>
          <w:sz w:val="20"/>
          <w:szCs w:val="20"/>
          <w:color w:val="auto"/>
        </w:rPr>
      </w:pPr>
    </w:p>
    <w:p>
      <w:pPr>
        <w:ind w:left="580" w:right="20" w:firstLine="541"/>
        <w:spacing w:after="0" w:line="279" w:lineRule="auto"/>
        <w:tabs>
          <w:tab w:leader="none" w:pos="17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51" w:lineRule="exact"/>
        <w:rPr>
          <w:sz w:val="20"/>
          <w:szCs w:val="20"/>
          <w:color w:val="auto"/>
        </w:rPr>
      </w:pPr>
    </w:p>
    <w:p>
      <w:pPr>
        <w:ind w:firstLine="571"/>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267" w:right="279" w:bottom="1440" w:gutter="0" w:footer="0" w:header="0"/>
        </w:sectPr>
      </w:pPr>
    </w:p>
    <w:bookmarkStart w:id="81" w:name="page82"/>
    <w:bookmarkEnd w:id="81"/>
    <w:p>
      <w:pPr>
        <w:ind w:left="-8" w:right="40" w:firstLine="579"/>
        <w:spacing w:after="0" w:line="234" w:lineRule="auto"/>
        <w:tabs>
          <w:tab w:leader="none" w:pos="941" w:val="left"/>
        </w:tabs>
        <w:numPr>
          <w:ilvl w:val="1"/>
          <w:numId w:val="6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91" w:lineRule="exact"/>
        <w:rPr>
          <w:rFonts w:ascii="Arial" w:cs="Arial" w:eastAsia="Arial" w:hAnsi="Arial"/>
          <w:sz w:val="22"/>
          <w:szCs w:val="22"/>
          <w:color w:val="auto"/>
        </w:rPr>
      </w:pPr>
    </w:p>
    <w:p>
      <w:pPr>
        <w:ind w:left="-8" w:right="20" w:firstLine="579"/>
        <w:spacing w:after="0" w:line="235" w:lineRule="auto"/>
        <w:tabs>
          <w:tab w:leader="none" w:pos="929" w:val="left"/>
        </w:tabs>
        <w:numPr>
          <w:ilvl w:val="1"/>
          <w:numId w:val="65"/>
        </w:numPr>
        <w:rPr>
          <w:rFonts w:ascii="Arial" w:cs="Arial" w:eastAsia="Arial" w:hAnsi="Arial"/>
          <w:sz w:val="22"/>
          <w:szCs w:val="22"/>
          <w:color w:val="auto"/>
        </w:rPr>
      </w:pPr>
      <w:r>
        <w:rPr>
          <w:rFonts w:ascii="Arial" w:cs="Arial" w:eastAsia="Arial" w:hAnsi="Arial"/>
          <w:sz w:val="22"/>
          <w:szCs w:val="22"/>
          <w:color w:val="auto"/>
        </w:rPr>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 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jc w:val="both"/>
        <w:ind w:left="-8" w:right="200" w:firstLine="579"/>
        <w:spacing w:after="0" w:line="270" w:lineRule="auto"/>
        <w:tabs>
          <w:tab w:leader="none" w:pos="869" w:val="left"/>
        </w:tabs>
        <w:numPr>
          <w:ilvl w:val="1"/>
          <w:numId w:val="65"/>
        </w:numPr>
        <w:rPr>
          <w:rFonts w:ascii="Arial" w:cs="Arial" w:eastAsia="Arial" w:hAnsi="Arial"/>
          <w:sz w:val="19"/>
          <w:szCs w:val="19"/>
          <w:color w:val="auto"/>
        </w:rPr>
      </w:pPr>
      <w:r>
        <w:rPr>
          <w:rFonts w:ascii="Arial" w:cs="Arial" w:eastAsia="Arial" w:hAnsi="Arial"/>
          <w:sz w:val="19"/>
          <w:szCs w:val="19"/>
          <w:color w:val="auto"/>
        </w:rPr>
        <w:t>Notwithstanding any provision of this Agreement or any Award Agreement to the contrary, in the event of a Qualifying Termination at any time prior to the Specified Expiration Date, within 10 days following such termination, the Firm shall deposit with an escrow agent mutually agreed upon by the Firm and the Executive (the “</w:t>
      </w:r>
      <w:r>
        <w:rPr>
          <w:rFonts w:ascii="Arial" w:cs="Arial" w:eastAsia="Arial" w:hAnsi="Arial"/>
          <w:sz w:val="19"/>
          <w:szCs w:val="19"/>
          <w:u w:val="single" w:color="auto"/>
          <w:color w:val="auto"/>
        </w:rPr>
        <w:t>Designated Escrow Agent</w:t>
      </w:r>
      <w:r>
        <w:rPr>
          <w:rFonts w:ascii="Arial" w:cs="Arial" w:eastAsia="Arial" w:hAnsi="Arial"/>
          <w:sz w:val="19"/>
          <w:szCs w:val="19"/>
          <w:color w:val="auto"/>
        </w:rPr>
        <w:t>”) all shares of Lazard common stock (such shares and, upon the sale of such shares, cash or other property held in the escrow upon reinvestment by the Executive, the “</w:t>
      </w:r>
      <w:r>
        <w:rPr>
          <w:rFonts w:ascii="Arial" w:cs="Arial" w:eastAsia="Arial" w:hAnsi="Arial"/>
          <w:sz w:val="19"/>
          <w:szCs w:val="19"/>
          <w:u w:val="single" w:color="auto"/>
          <w:color w:val="auto"/>
        </w:rPr>
        <w:t>Escrowed Property</w:t>
      </w:r>
      <w:r>
        <w:rPr>
          <w:rFonts w:ascii="Arial" w:cs="Arial" w:eastAsia="Arial" w:hAnsi="Arial"/>
          <w:sz w:val="19"/>
          <w:szCs w:val="19"/>
          <w:color w:val="auto"/>
        </w:rPr>
        <w:t>”) that (A) relate to any Awards granted to the Executive prior to the Date of Termination and</w:t>
      </w:r>
    </w:p>
    <w:p>
      <w:pPr>
        <w:spacing w:after="0" w:line="4" w:lineRule="exact"/>
        <w:rPr>
          <w:rFonts w:ascii="Arial" w:cs="Arial" w:eastAsia="Arial" w:hAnsi="Arial"/>
          <w:sz w:val="19"/>
          <w:szCs w:val="19"/>
          <w:color w:val="auto"/>
        </w:rPr>
      </w:pPr>
    </w:p>
    <w:p>
      <w:pPr>
        <w:ind w:left="-8" w:firstLine="8"/>
        <w:spacing w:after="0" w:line="270" w:lineRule="auto"/>
        <w:tabs>
          <w:tab w:leader="none" w:pos="334"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remain subject to vesting conditions or other contractual transfer restrictions following such termination pursuant to the terms of the applicable Award Agreement and, subject to approval of the Compliance Department of Lazard and applicable law, at any time following deposit of such Lazard common stock, the Executive shall be permitted to instruct the Designated Escrow Agent to sell all or a portion (up to a daily maximum of 10% of the average daily trading volume of Lazard common stock over the 10 trading days immediately preceding the date of such sale) of such Lazard common stock for cash on the Executive’s behalf, the proceeds of which shall be held in the escrow and be deemed subject to contractual restrictions for the same duration as the Lazard common stock to which such cash relates as set forth in the applicable Award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written request of the Executive, the Designated Escrow Agent shall distribute to the Executive the amount necessary for the Executive to satisfy any tax obligations arising from any such sale. Lazard shall pay all fees and expenses arising from the establishment and maintenance of the escrow with any Designated Escrow Agent, although the Executive shall be responsible for any investment management fees and transaction expenses relating to the investment of the Escrowed Property, and the Escrowed Property shall be reduced to cover any investment management fees or transaction expenses payable to the Designated Escrow Agent (or other investment professional) in respect of any Escrowed Property. The Executive shall be permitted to invest any proceeds realized from the sale</w:t>
      </w:r>
    </w:p>
    <w:p>
      <w:pPr>
        <w:spacing w:after="0" w:line="9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92"/>
          </w:cols>
          <w:pgMar w:left="248" w:top="267" w:right="259" w:bottom="1440" w:gutter="0" w:footer="0" w:header="0"/>
        </w:sectPr>
      </w:pPr>
    </w:p>
    <w:bookmarkStart w:id="82" w:name="page83"/>
    <w:bookmarkEnd w:id="82"/>
    <w:p>
      <w:pPr>
        <w:ind w:right="40"/>
        <w:spacing w:after="0" w:line="245"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Escrowed Property that are held by the Designated Escrow Agent on his behalf in a range of investment alternatives, which shall be mutually agreed by the Executive and Lazard and shall include a money market fund. The Escrowed Property shall be held in escrow by the Designated Escrow Agent until the date (each such date, a “</w:t>
      </w:r>
      <w:r>
        <w:rPr>
          <w:rFonts w:ascii="Arial" w:cs="Arial" w:eastAsia="Arial" w:hAnsi="Arial"/>
          <w:sz w:val="21"/>
          <w:szCs w:val="21"/>
          <w:u w:val="single" w:color="auto"/>
          <w:color w:val="auto"/>
        </w:rPr>
        <w:t>Release Date</w:t>
      </w:r>
      <w:r>
        <w:rPr>
          <w:rFonts w:ascii="Arial" w:cs="Arial" w:eastAsia="Arial" w:hAnsi="Arial"/>
          <w:sz w:val="21"/>
          <w:szCs w:val="21"/>
          <w:color w:val="auto"/>
        </w:rPr>
        <w:t>”) that all vesting conditions and other contractual transfer restrictions as set forth in the applicable Award Agreement with respect to the applicable Escrowed Property would have (or would be deemed to have) expired pursuant to the terms of this Agreement and the applicable Award Agreement (and, for the avoidance of doubt, shall remain subject to forfeiture to the same extent provided in this Agreement and the applicable Award Agreement without regard to this Section 3(d)(v)). Within 10 days following the applicable Release Date, all Escrowed Property that relates to such Release Date (net of distributions and reduction for fees and expenses as provided in this Section 3(d) (v)) shall be transferred to the Executive.</w:t>
      </w:r>
    </w:p>
    <w:p>
      <w:pPr>
        <w:spacing w:after="0" w:line="185" w:lineRule="exact"/>
        <w:rPr>
          <w:sz w:val="20"/>
          <w:szCs w:val="20"/>
          <w:color w:val="auto"/>
        </w:rPr>
      </w:pPr>
    </w:p>
    <w:p>
      <w:pPr>
        <w:ind w:right="200" w:firstLine="579"/>
        <w:spacing w:after="0" w:line="235" w:lineRule="auto"/>
        <w:tabs>
          <w:tab w:leader="none" w:pos="937"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8" w:lineRule="exact"/>
        <w:rPr>
          <w:sz w:val="20"/>
          <w:szCs w:val="20"/>
          <w:color w:val="auto"/>
        </w:rPr>
      </w:pPr>
    </w:p>
    <w:p>
      <w:pPr>
        <w:ind w:left="1300" w:hanging="721"/>
        <w:spacing w:after="0"/>
        <w:tabs>
          <w:tab w:leader="none" w:pos="130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as applicable,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firstLine="57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shall mean: (i) conviction of the Executive of, or a guilty or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Board of Directors of Lazard, in each case following written notice to the Executive of such failure and, if such failure is curable, the Executive’s failing to cure such failure within a reasonable time (but in no event less than thirty (30) days after actual receipt by Executive of such written notice); or (iv) a breach of the Covenants (as defined in</w:t>
      </w:r>
    </w:p>
    <w:p>
      <w:pPr>
        <w:ind w:right="220"/>
        <w:spacing w:after="0" w:line="233" w:lineRule="auto"/>
        <w:rPr>
          <w:sz w:val="20"/>
          <w:szCs w:val="20"/>
          <w:color w:val="auto"/>
        </w:rPr>
      </w:pPr>
      <w:r>
        <w:rPr>
          <w:rFonts w:ascii="Arial" w:cs="Arial" w:eastAsia="Arial" w:hAnsi="Arial"/>
          <w:sz w:val="22"/>
          <w:szCs w:val="22"/>
          <w:color w:val="auto"/>
        </w:rPr>
        <w:t>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83" w:name="page84"/>
    <w:bookmarkEnd w:id="83"/>
    <w:p>
      <w:pPr>
        <w:ind w:right="6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acts or failure to act shall not constitute Cause to the extent taken (or not taken) based upon the direct instructions of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9"/>
          <w:szCs w:val="19"/>
          <w:u w:val="single" w:color="auto"/>
          <w:color w:val="auto"/>
        </w:rPr>
        <w:t>Applicable Board</w:t>
      </w:r>
      <w:r>
        <w:rPr>
          <w:rFonts w:ascii="Arial" w:cs="Arial" w:eastAsia="Arial" w:hAnsi="Arial"/>
          <w:sz w:val="19"/>
          <w:szCs w:val="19"/>
          <w:color w:val="auto"/>
        </w:rPr>
        <w:t>”) finding that, in the good faith opinion of the Applicable Board, circumstances constituting Cause exist.</w:t>
      </w:r>
    </w:p>
    <w:p>
      <w:pPr>
        <w:spacing w:after="0" w:line="153" w:lineRule="exact"/>
        <w:rPr>
          <w:sz w:val="20"/>
          <w:szCs w:val="20"/>
          <w:color w:val="auto"/>
        </w:rPr>
      </w:pPr>
    </w:p>
    <w:p>
      <w:pPr>
        <w:ind w:firstLine="571"/>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w:t>
      </w:r>
    </w:p>
    <w:p>
      <w:pPr>
        <w:spacing w:after="0" w:line="2" w:lineRule="exact"/>
        <w:rPr>
          <w:sz w:val="20"/>
          <w:szCs w:val="20"/>
          <w:color w:val="auto"/>
        </w:rPr>
      </w:pPr>
    </w:p>
    <w:p>
      <w:pPr>
        <w:ind w:right="320" w:firstLine="8"/>
        <w:spacing w:after="0" w:line="277" w:lineRule="auto"/>
        <w:tabs>
          <w:tab w:leader="none" w:pos="30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84" w:name="page85"/>
    <w:bookmarkEnd w:id="84"/>
    <w:p>
      <w:pPr>
        <w:ind w:right="120" w:firstLine="571"/>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or any other action by the Firm which results in a material diminution in such positions (including status, offices, titles and reporting requirements), authority, duties or responsibilities from those contemplated by Section 3(b) of this Agreement, (ii) a material breach by the Firm of the terms of this Agreement, including any material failure by the Firm to comply with Section 3(c) of this Agreement or the nondisparagement covenant in Section 8 of this Agreement,</w:t>
      </w:r>
    </w:p>
    <w:p>
      <w:pPr>
        <w:spacing w:after="0" w:line="2" w:lineRule="exact"/>
        <w:rPr>
          <w:sz w:val="20"/>
          <w:szCs w:val="20"/>
          <w:color w:val="auto"/>
        </w:rPr>
      </w:pPr>
    </w:p>
    <w:p>
      <w:pPr>
        <w:ind w:right="60" w:firstLine="8"/>
        <w:spacing w:after="0" w:line="267" w:lineRule="auto"/>
        <w:tabs>
          <w:tab w:leader="none" w:pos="378" w:val="left"/>
        </w:tabs>
        <w:numPr>
          <w:ilvl w:val="0"/>
          <w:numId w:val="70"/>
        </w:numPr>
        <w:rPr>
          <w:rFonts w:ascii="Arial" w:cs="Arial" w:eastAsia="Arial" w:hAnsi="Arial"/>
          <w:sz w:val="19"/>
          <w:szCs w:val="19"/>
          <w:color w:val="auto"/>
        </w:rPr>
      </w:pPr>
      <w:r>
        <w:rPr>
          <w:rFonts w:ascii="Arial" w:cs="Arial" w:eastAsia="Arial" w:hAnsi="Arial"/>
          <w:sz w:val="19"/>
          <w:szCs w:val="19"/>
          <w:color w:val="auto"/>
        </w:rPr>
        <w:t>without the Executive’s written consent, any requirement that the Executive’s principal place of employment be relocated to a location that increases the Executive’s commute from his primary residence by more than thirty (30) miles or (iv) failure of the Firm to continue, following the Specified Expiration Date, the Executive’s employment as Chief Executive Officer of Lazard and Lazard Group and Chairman of the Board of Directors of Lazard pursuant to an agreement (which, for the avoidance of doubt, may be in a form similar to this Agreement) having terms and conditions that are reasonable and customary at the time of such expiration, except that, in the event the Executive rejects an offer of continued employment consistent with the foregoing, Good Reason shall not exist pursuant to this clause (iv). In the event of a termination for Good Reason (other than pursuant to clause</w:t>
      </w:r>
    </w:p>
    <w:p>
      <w:pPr>
        <w:ind w:right="60" w:firstLine="8"/>
        <w:spacing w:after="0" w:line="271" w:lineRule="auto"/>
        <w:tabs>
          <w:tab w:leader="none" w:pos="3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of the definition of Good Reason), the notice requirements of Section 1 of this Agreement shall not apply. For the avoidance of doubt, in the event of a termination for Good Reason pursuant to clause (iv) of the definition of Good Reason, the notice requirements of Section 1 of this Agreement shall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58" w:lineRule="exact"/>
        <w:rPr>
          <w:rFonts w:ascii="Arial" w:cs="Arial" w:eastAsia="Arial" w:hAnsi="Arial"/>
          <w:sz w:val="19"/>
          <w:szCs w:val="19"/>
          <w:color w:val="auto"/>
        </w:rPr>
      </w:pPr>
    </w:p>
    <w:p>
      <w:pPr>
        <w:ind w:firstLine="579"/>
        <w:spacing w:after="0" w:line="277" w:lineRule="auto"/>
        <w:tabs>
          <w:tab w:leader="none" w:pos="1273"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Certain Limitations on Payments</w:t>
      </w:r>
      <w:r>
        <w:rPr>
          <w:rFonts w:ascii="Arial" w:cs="Arial" w:eastAsia="Arial" w:hAnsi="Arial"/>
          <w:sz w:val="19"/>
          <w:szCs w:val="19"/>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9"/>
          <w:szCs w:val="19"/>
          <w:u w:val="single" w:color="auto"/>
          <w:color w:val="auto"/>
        </w:rPr>
        <w:t>Accountant</w:t>
      </w:r>
      <w:r>
        <w:rPr>
          <w:rFonts w:ascii="Arial" w:cs="Arial" w:eastAsia="Arial" w:hAnsi="Arial"/>
          <w:sz w:val="19"/>
          <w:szCs w:val="19"/>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85" w:name="page86"/>
    <w:bookmarkEnd w:id="85"/>
    <w:p>
      <w:pPr>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9"/>
          <w:szCs w:val="19"/>
          <w:u w:val="single" w:color="auto"/>
          <w:color w:val="auto"/>
        </w:rPr>
        <w:t>Parachute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200" w:lineRule="exact"/>
        <w:rPr>
          <w:sz w:val="20"/>
          <w:szCs w:val="20"/>
          <w:color w:val="auto"/>
        </w:rPr>
      </w:pPr>
    </w:p>
    <w:p>
      <w:pPr>
        <w:spacing w:after="0" w:line="205" w:lineRule="exact"/>
        <w:rPr>
          <w:sz w:val="20"/>
          <w:szCs w:val="20"/>
          <w:color w:val="auto"/>
        </w:rPr>
      </w:pPr>
    </w:p>
    <w:p>
      <w:pPr>
        <w:ind w:right="120" w:firstLine="571"/>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56" w:lineRule="exact"/>
        <w:rPr>
          <w:sz w:val="20"/>
          <w:szCs w:val="20"/>
          <w:color w:val="auto"/>
        </w:rPr>
      </w:pPr>
    </w:p>
    <w:p>
      <w:pPr>
        <w:jc w:val="both"/>
        <w:ind w:right="160" w:firstLine="579"/>
        <w:spacing w:after="0" w:line="287" w:lineRule="auto"/>
        <w:tabs>
          <w:tab w:leader="none" w:pos="1309"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267" w:right="259" w:bottom="1440" w:gutter="0" w:footer="0" w:header="0"/>
        </w:sectPr>
      </w:pPr>
    </w:p>
    <w:bookmarkStart w:id="86" w:name="page87"/>
    <w:bookmarkEnd w:id="86"/>
    <w:p>
      <w:pPr>
        <w:ind w:right="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w:t>
      </w:r>
    </w:p>
    <w:p>
      <w:pPr>
        <w:spacing w:after="0" w:line="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34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840"/>
          </w:cols>
          <w:pgMar w:left="240" w:top="267" w:right="819" w:bottom="1440" w:gutter="0" w:footer="0" w:header="0"/>
        </w:sectPr>
      </w:pPr>
    </w:p>
    <w:bookmarkStart w:id="87" w:name="page88"/>
    <w:bookmarkEnd w:id="87"/>
    <w:p>
      <w:pPr>
        <w:ind w:left="-20" w:right="20" w:firstLine="579"/>
        <w:spacing w:after="0" w:line="269" w:lineRule="auto"/>
        <w:tabs>
          <w:tab w:leader="none" w:pos="119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w:t>
      </w:r>
      <w:r>
        <w:rPr>
          <w:rFonts w:ascii="Arial" w:cs="Arial" w:eastAsia="Arial" w:hAnsi="Arial"/>
          <w:sz w:val="19"/>
          <w:szCs w:val="19"/>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76" w:lineRule="exact"/>
        <w:rPr>
          <w:rFonts w:ascii="Arial" w:cs="Arial" w:eastAsia="Arial" w:hAnsi="Arial"/>
          <w:sz w:val="19"/>
          <w:szCs w:val="19"/>
          <w:color w:val="auto"/>
        </w:rPr>
      </w:pPr>
    </w:p>
    <w:p>
      <w:pPr>
        <w:ind w:left="-20" w:firstLine="579"/>
        <w:spacing w:after="0" w:line="274" w:lineRule="auto"/>
        <w:tabs>
          <w:tab w:leader="none" w:pos="119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60" w:top="267" w:right="239" w:bottom="1440" w:gutter="0" w:footer="0" w:header="0"/>
        </w:sectPr>
      </w:pPr>
    </w:p>
    <w:bookmarkStart w:id="88" w:name="page89"/>
    <w:bookmarkEnd w:id="88"/>
    <w:p>
      <w:pPr>
        <w:ind w:right="2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for Good Reason or (ii) three months after the Date of Termination by the Firm without Cause or by the Executive for Good Reason (such period, the “</w:t>
      </w:r>
      <w:r>
        <w:rPr>
          <w:rFonts w:ascii="Arial" w:cs="Arial" w:eastAsia="Arial" w:hAnsi="Arial"/>
          <w:sz w:val="19"/>
          <w:szCs w:val="19"/>
          <w:u w:val="single" w:color="auto"/>
          <w:color w:val="auto"/>
        </w:rPr>
        <w:t>Noncompete Restriction Period</w:t>
      </w:r>
      <w:r>
        <w:rPr>
          <w:rFonts w:ascii="Arial" w:cs="Arial" w:eastAsia="Arial" w:hAnsi="Arial"/>
          <w:sz w:val="19"/>
          <w:szCs w:val="19"/>
          <w:color w:val="auto"/>
        </w:rPr>
        <w:t xml:space="preserve">”),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in the event of a termination by the Executive for Good Reason pursuant to clause (iv) of the definition of Good Reason, the provisions of clause (i) of this sentence shall apply rather than the provisions of clause (ii) of this sentence. For purposes of this Agreement, (A) “</w:t>
      </w:r>
      <w:r>
        <w:rPr>
          <w:rFonts w:ascii="Arial" w:cs="Arial" w:eastAsia="Arial" w:hAnsi="Arial"/>
          <w:sz w:val="19"/>
          <w:szCs w:val="19"/>
          <w:u w:val="single" w:color="auto"/>
          <w:color w:val="auto"/>
        </w:rPr>
        <w:t>Competing Activity</w:t>
      </w:r>
      <w:r>
        <w:rPr>
          <w:rFonts w:ascii="Arial" w:cs="Arial" w:eastAsia="Arial" w:hAnsi="Arial"/>
          <w:sz w:val="19"/>
          <w:szCs w:val="19"/>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Arial" w:cs="Arial" w:eastAsia="Arial" w:hAnsi="Arial"/>
          <w:sz w:val="19"/>
          <w:szCs w:val="19"/>
          <w:u w:val="single" w:color="auto"/>
          <w:color w:val="auto"/>
        </w:rPr>
        <w:t>Competitive Enterprise</w:t>
      </w:r>
      <w:r>
        <w:rPr>
          <w:rFonts w:ascii="Arial" w:cs="Arial" w:eastAsia="Arial" w:hAnsi="Arial"/>
          <w:sz w:val="19"/>
          <w:szCs w:val="19"/>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200" w:lineRule="exact"/>
        <w:rPr>
          <w:sz w:val="20"/>
          <w:szCs w:val="20"/>
          <w:color w:val="auto"/>
        </w:rPr>
      </w:pPr>
    </w:p>
    <w:p>
      <w:pPr>
        <w:spacing w:after="0" w:line="216" w:lineRule="exact"/>
        <w:rPr>
          <w:sz w:val="20"/>
          <w:szCs w:val="20"/>
          <w:color w:val="auto"/>
        </w:rPr>
      </w:pPr>
    </w:p>
    <w:p>
      <w:pPr>
        <w:ind w:firstLine="579"/>
        <w:spacing w:after="0" w:line="238" w:lineRule="auto"/>
        <w:tabs>
          <w:tab w:leader="none" w:pos="130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right="20" w:firstLine="579"/>
        <w:spacing w:after="0" w:line="273" w:lineRule="auto"/>
        <w:tabs>
          <w:tab w:leader="none" w:pos="1219"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266" w:right="25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preceding the Date of Termination or was preparing to make such a presentation or proposal at the time of the Date of Termination.</w:t>
      </w:r>
    </w:p>
    <w:p>
      <w:pPr>
        <w:spacing w:after="0" w:line="241" w:lineRule="exact"/>
        <w:rPr>
          <w:sz w:val="20"/>
          <w:szCs w:val="20"/>
          <w:color w:val="auto"/>
        </w:rPr>
      </w:pPr>
    </w:p>
    <w:p>
      <w:pPr>
        <w:ind w:firstLine="579"/>
        <w:spacing w:after="0" w:line="247" w:lineRule="auto"/>
        <w:tabs>
          <w:tab w:leader="none" w:pos="1219"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 Hire of Employees</w:t>
      </w:r>
      <w:r>
        <w:rPr>
          <w:rFonts w:ascii="Arial" w:cs="Arial" w:eastAsia="Arial" w:hAnsi="Arial"/>
          <w:sz w:val="21"/>
          <w:szCs w:val="21"/>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1"/>
          <w:szCs w:val="21"/>
          <w:u w:val="single" w:color="auto"/>
          <w:color w:val="auto"/>
        </w:rPr>
        <w:t>No Hire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8" w:lineRule="exact"/>
        <w:rPr>
          <w:rFonts w:ascii="Arial" w:cs="Arial" w:eastAsia="Arial" w:hAnsi="Arial"/>
          <w:sz w:val="21"/>
          <w:szCs w:val="21"/>
          <w:color w:val="auto"/>
        </w:rPr>
      </w:pPr>
    </w:p>
    <w:p>
      <w:pPr>
        <w:ind w:right="40" w:firstLine="579"/>
        <w:spacing w:after="0" w:line="270" w:lineRule="auto"/>
        <w:tabs>
          <w:tab w:leader="none" w:pos="121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Nondisparagement; Transfer of Client Relationships</w:t>
      </w:r>
      <w:r>
        <w:rPr>
          <w:rFonts w:ascii="Arial" w:cs="Arial" w:eastAsia="Arial" w:hAnsi="Arial"/>
          <w:sz w:val="19"/>
          <w:szCs w:val="19"/>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67" w:right="239" w:bottom="1440" w:gutter="0" w:footer="0" w:header="0"/>
        </w:sectPr>
      </w:pPr>
    </w:p>
    <w:bookmarkStart w:id="90" w:name="page91"/>
    <w:bookmarkEnd w:id="90"/>
    <w:p>
      <w:pPr>
        <w:ind w:left="-20" w:right="120" w:firstLine="579"/>
        <w:spacing w:after="0" w:line="236" w:lineRule="auto"/>
        <w:tabs>
          <w:tab w:leader="none" w:pos="119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left="-20" w:firstLine="579"/>
        <w:spacing w:after="0" w:line="277" w:lineRule="auto"/>
        <w:tabs>
          <w:tab w:leader="none" w:pos="130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Covenants Generally</w:t>
      </w:r>
      <w:r>
        <w:rPr>
          <w:rFonts w:ascii="Arial" w:cs="Arial" w:eastAsia="Arial" w:hAnsi="Arial"/>
          <w:sz w:val="19"/>
          <w:szCs w:val="19"/>
          <w:color w:val="auto"/>
        </w:rPr>
        <w:t>. (a) The Executive’s covenants as set forth in Sections 4 through 9 of this Agreement are from time to time referred to herein as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53" w:lineRule="exact"/>
        <w:rPr>
          <w:sz w:val="20"/>
          <w:szCs w:val="20"/>
          <w:color w:val="auto"/>
        </w:rPr>
      </w:pPr>
    </w:p>
    <w:p>
      <w:pPr>
        <w:ind w:left="-20" w:firstLine="579"/>
        <w:spacing w:after="0" w:line="272" w:lineRule="auto"/>
        <w:tabs>
          <w:tab w:leader="none" w:pos="128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20" w:right="160" w:firstLine="579"/>
        <w:spacing w:after="0" w:line="248" w:lineRule="auto"/>
        <w:tabs>
          <w:tab w:leader="none" w:pos="1277"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60" w:top="267" w:right="239" w:bottom="1440" w:gutter="0" w:footer="0" w:header="0"/>
        </w:sectPr>
      </w:pPr>
    </w:p>
    <w:bookmarkStart w:id="91" w:name="page92"/>
    <w:bookmarkEnd w:id="91"/>
    <w:p>
      <w:pPr>
        <w:ind w:right="20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or any restrictive covenants set forth in any Award Agreement serve as a basis for the forfeiture of any Awards (including any dividend equivalents or shares delivered or amounts payable in respect of settled Awards, including Escrowed Property)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53" w:lineRule="exact"/>
        <w:rPr>
          <w:sz w:val="20"/>
          <w:szCs w:val="20"/>
          <w:color w:val="auto"/>
        </w:rPr>
      </w:pPr>
    </w:p>
    <w:p>
      <w:pPr>
        <w:ind w:firstLine="579"/>
        <w:spacing w:after="0" w:line="273" w:lineRule="auto"/>
        <w:tabs>
          <w:tab w:leader="none" w:pos="131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6" w:lineRule="exact"/>
        <w:rPr>
          <w:rFonts w:ascii="Arial" w:cs="Arial" w:eastAsia="Arial" w:hAnsi="Arial"/>
          <w:sz w:val="19"/>
          <w:szCs w:val="19"/>
          <w:color w:val="auto"/>
        </w:rPr>
      </w:pPr>
    </w:p>
    <w:p>
      <w:pPr>
        <w:ind w:firstLine="579"/>
        <w:spacing w:after="0" w:line="272" w:lineRule="auto"/>
        <w:tabs>
          <w:tab w:leader="none" w:pos="132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9"/>
          <w:szCs w:val="19"/>
          <w:u w:val="single" w:color="auto"/>
          <w:color w:val="auto"/>
        </w:rPr>
        <w:t>Employment Related Matters</w:t>
      </w:r>
      <w:r>
        <w:rPr>
          <w:rFonts w:ascii="Arial" w:cs="Arial" w:eastAsia="Arial" w:hAnsi="Arial"/>
          <w:sz w:val="19"/>
          <w:szCs w:val="19"/>
          <w:color w:val="auto"/>
        </w:rPr>
        <w:t>”), shall be finally settled by arbitration in New York City before, and in accordance with the rules then obtaining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or, if FINRA declines to arbitrate the matter,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20"/>
          </w:cols>
          <w:pgMar w:left="240" w:top="267" w:right="339" w:bottom="1440" w:gutter="0" w:footer="0" w:header="0"/>
        </w:sectPr>
      </w:pPr>
    </w:p>
    <w:bookmarkStart w:id="92" w:name="page93"/>
    <w:bookmarkEnd w:id="92"/>
    <w:p>
      <w:pPr>
        <w:ind w:right="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or otherwise), plus Interest determined as of the date such legal fees and expenses were incurred;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Executive shall promptly repay to Lazard Group all such amounts if the Executive fails to prevail on at least one material issue in dispute in any such contest.</w:t>
      </w:r>
    </w:p>
    <w:p>
      <w:pPr>
        <w:spacing w:after="0" w:line="186" w:lineRule="exact"/>
        <w:rPr>
          <w:sz w:val="20"/>
          <w:szCs w:val="20"/>
          <w:color w:val="auto"/>
        </w:rPr>
      </w:pPr>
    </w:p>
    <w:p>
      <w:pPr>
        <w:ind w:right="40" w:firstLine="579"/>
        <w:spacing w:after="0" w:line="274" w:lineRule="auto"/>
        <w:tabs>
          <w:tab w:leader="none" w:pos="132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58" w:lineRule="exact"/>
        <w:rPr>
          <w:rFonts w:ascii="Arial" w:cs="Arial" w:eastAsia="Arial" w:hAnsi="Arial"/>
          <w:sz w:val="19"/>
          <w:szCs w:val="19"/>
          <w:color w:val="auto"/>
        </w:rPr>
      </w:pPr>
    </w:p>
    <w:p>
      <w:pPr>
        <w:ind w:firstLine="579"/>
        <w:spacing w:after="0" w:line="245" w:lineRule="auto"/>
        <w:tabs>
          <w:tab w:leader="none" w:pos="1327"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2" w:lineRule="exact"/>
        <w:rPr>
          <w:sz w:val="20"/>
          <w:szCs w:val="20"/>
          <w:color w:val="auto"/>
        </w:rPr>
      </w:pPr>
    </w:p>
    <w:p>
      <w:pPr>
        <w:ind w:right="40" w:firstLine="579"/>
        <w:spacing w:after="0" w:line="275" w:lineRule="auto"/>
        <w:tabs>
          <w:tab w:leader="none" w:pos="1309"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267" w:right="259" w:bottom="1440" w:gutter="0" w:footer="0" w:header="0"/>
        </w:sectPr>
      </w:pPr>
    </w:p>
    <w:bookmarkStart w:id="93" w:name="page94"/>
    <w:bookmarkEnd w:id="93"/>
    <w:p>
      <w:pPr>
        <w:ind w:left="-20" w:right="440" w:firstLine="579"/>
        <w:spacing w:after="0" w:line="238" w:lineRule="auto"/>
        <w:tabs>
          <w:tab w:leader="none" w:pos="130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ind w:left="-20" w:right="280" w:firstLine="579"/>
        <w:spacing w:after="0" w:line="251" w:lineRule="auto"/>
        <w:tabs>
          <w:tab w:leader="none" w:pos="130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shall supersede any other agreement, written or oral, pertaining to the matters covered herein.</w:t>
      </w:r>
    </w:p>
    <w:p>
      <w:pPr>
        <w:spacing w:after="0" w:line="173" w:lineRule="exact"/>
        <w:rPr>
          <w:sz w:val="20"/>
          <w:szCs w:val="20"/>
          <w:color w:val="auto"/>
        </w:rPr>
      </w:pPr>
    </w:p>
    <w:p>
      <w:pPr>
        <w:ind w:left="-20" w:right="140" w:firstLine="579"/>
        <w:spacing w:after="0"/>
        <w:tabs>
          <w:tab w:leader="none" w:pos="1289" w:val="left"/>
        </w:tabs>
        <w:numPr>
          <w:ilvl w:val="0"/>
          <w:numId w:val="82"/>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left="-20" w:firstLine="579"/>
        <w:spacing w:after="0" w:line="238" w:lineRule="auto"/>
        <w:tabs>
          <w:tab w:leader="none" w:pos="1277"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5" w:lineRule="exact"/>
        <w:rPr>
          <w:rFonts w:ascii="Arial" w:cs="Arial" w:eastAsia="Arial" w:hAnsi="Arial"/>
          <w:sz w:val="22"/>
          <w:szCs w:val="22"/>
          <w:color w:val="auto"/>
        </w:rPr>
      </w:pPr>
    </w:p>
    <w:p>
      <w:pPr>
        <w:ind w:left="-20" w:firstLine="579"/>
        <w:spacing w:after="0" w:line="272" w:lineRule="auto"/>
        <w:tabs>
          <w:tab w:leader="none" w:pos="128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9"/>
          <w:szCs w:val="19"/>
          <w:u w:val="single" w:color="auto"/>
          <w:color w:val="auto"/>
        </w:rPr>
        <w:t>provided</w:t>
      </w:r>
      <w:r>
        <w:rPr>
          <w:rFonts w:ascii="Arial" w:cs="Arial" w:eastAsia="Arial" w:hAnsi="Arial"/>
          <w:sz w:val="19"/>
          <w:szCs w:val="19"/>
          <w:color w:val="auto"/>
        </w:rPr>
        <w:t>, that any waiver, consent, amendment or modification of any of the provisions of this Agreement shall not be effective against the Firm without the written consent of the Board of Directors of Lazard or its successors. The Executive may not, directly or indirectly (including by operation of law), assign the Executive’s rights or obligations hereunder without the prior written consent of the Board of Directors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0" w:right="20" w:firstLine="579"/>
        <w:spacing w:after="0" w:line="258" w:lineRule="auto"/>
        <w:tabs>
          <w:tab w:leader="none" w:pos="1277" w:val="left"/>
        </w:tabs>
        <w:numPr>
          <w:ilvl w:val="0"/>
          <w:numId w:val="82"/>
        </w:numPr>
        <w:rPr>
          <w:rFonts w:ascii="Arial" w:cs="Arial" w:eastAsia="Arial" w:hAnsi="Arial"/>
          <w:sz w:val="21"/>
          <w:szCs w:val="21"/>
          <w:color w:val="auto"/>
        </w:rPr>
      </w:pPr>
      <w:r>
        <w:rPr>
          <w:rFonts w:ascii="Arial" w:cs="Arial" w:eastAsia="Arial" w:hAnsi="Arial"/>
          <w:sz w:val="21"/>
          <w:szCs w:val="21"/>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66" w:lineRule="exact"/>
        <w:rPr>
          <w:rFonts w:ascii="Arial" w:cs="Arial" w:eastAsia="Arial" w:hAnsi="Arial"/>
          <w:sz w:val="21"/>
          <w:szCs w:val="21"/>
          <w:color w:val="auto"/>
        </w:rPr>
      </w:pPr>
    </w:p>
    <w:p>
      <w:pPr>
        <w:ind w:left="-20" w:right="180" w:firstLine="579"/>
        <w:spacing w:after="0" w:line="251" w:lineRule="auto"/>
        <w:tabs>
          <w:tab w:leader="none" w:pos="1253"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Firm may withhold from any amounts payable under this Agreement such Federal, state, local or foreign taxes as shall be required to be withheld pursuant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60" w:top="267" w:right="259" w:bottom="1440" w:gutter="0" w:footer="0" w:header="0"/>
        </w:sectPr>
      </w:pPr>
    </w:p>
    <w:bookmarkStart w:id="94" w:name="page95"/>
    <w:bookmarkEnd w:id="94"/>
    <w:p>
      <w:pPr>
        <w:ind w:right="8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88" w:lineRule="exact"/>
        <w:rPr>
          <w:sz w:val="20"/>
          <w:szCs w:val="20"/>
          <w:color w:val="auto"/>
        </w:rPr>
      </w:pPr>
    </w:p>
    <w:p>
      <w:pPr>
        <w:ind w:right="460" w:firstLine="579"/>
        <w:spacing w:after="0" w:line="274" w:lineRule="auto"/>
        <w:tabs>
          <w:tab w:leader="none" w:pos="1309" w:val="left"/>
        </w:tabs>
        <w:numPr>
          <w:ilvl w:val="0"/>
          <w:numId w:val="83"/>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right="60" w:firstLine="579"/>
        <w:spacing w:after="0" w:line="252" w:lineRule="auto"/>
        <w:tabs>
          <w:tab w:leader="none" w:pos="1309"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firstLine="579"/>
        <w:spacing w:after="0" w:line="279" w:lineRule="auto"/>
        <w:tabs>
          <w:tab w:leader="none" w:pos="12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specifically provided in Section 3(d)(ii),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50" w:lineRule="exact"/>
        <w:rPr>
          <w:rFonts w:ascii="Arial" w:cs="Arial" w:eastAsia="Arial" w:hAnsi="Arial"/>
          <w:sz w:val="19"/>
          <w:szCs w:val="19"/>
          <w:color w:val="auto"/>
        </w:rPr>
      </w:pPr>
    </w:p>
    <w:p>
      <w:pPr>
        <w:ind w:right="200" w:firstLine="579"/>
        <w:spacing w:after="0" w:line="328" w:lineRule="auto"/>
        <w:tabs>
          <w:tab w:leader="none" w:pos="12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05" w:lineRule="exact"/>
        <w:rPr>
          <w:rFonts w:ascii="Arial" w:cs="Arial" w:eastAsia="Arial" w:hAnsi="Arial"/>
          <w:sz w:val="19"/>
          <w:szCs w:val="19"/>
          <w:color w:val="auto"/>
        </w:rPr>
      </w:pPr>
    </w:p>
    <w:p>
      <w:pPr>
        <w:ind w:right="80" w:firstLine="579"/>
        <w:spacing w:after="0" w:line="279" w:lineRule="auto"/>
        <w:tabs>
          <w:tab w:leader="none" w:pos="1309"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50" w:lineRule="exact"/>
        <w:rPr>
          <w:rFonts w:ascii="Arial" w:cs="Arial" w:eastAsia="Arial" w:hAnsi="Arial"/>
          <w:sz w:val="19"/>
          <w:szCs w:val="19"/>
          <w:color w:val="auto"/>
        </w:rPr>
      </w:pPr>
    </w:p>
    <w:p>
      <w:pPr>
        <w:ind w:right="80" w:firstLine="579"/>
        <w:spacing w:after="0"/>
        <w:tabs>
          <w:tab w:leader="none" w:pos="1261" w:val="left"/>
        </w:tabs>
        <w:numPr>
          <w:ilvl w:val="0"/>
          <w:numId w:val="83"/>
        </w:numPr>
        <w:rPr>
          <w:rFonts w:ascii="Arial" w:cs="Arial" w:eastAsia="Arial" w:hAnsi="Arial"/>
          <w:sz w:val="22"/>
          <w:szCs w:val="22"/>
          <w:color w:val="auto"/>
        </w:rPr>
      </w:pPr>
      <w:r>
        <w:rPr>
          <w:rFonts w:ascii="Arial" w:cs="Arial" w:eastAsia="Arial" w:hAnsi="Arial"/>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267" w:right="259" w:bottom="1440" w:gutter="0" w:footer="0" w:header="0"/>
        </w:sectPr>
      </w:pPr>
    </w:p>
    <w:bookmarkStart w:id="95" w:name="page96"/>
    <w:bookmarkEnd w:id="95"/>
    <w:p>
      <w:pPr>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91" w:lineRule="exact"/>
        <w:rPr>
          <w:sz w:val="20"/>
          <w:szCs w:val="20"/>
          <w:color w:val="auto"/>
        </w:rPr>
      </w:pPr>
    </w:p>
    <w:p>
      <w:pPr>
        <w:ind w:right="20" w:firstLine="579"/>
        <w:spacing w:after="0" w:line="238" w:lineRule="auto"/>
        <w:tabs>
          <w:tab w:leader="none" w:pos="1327"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240" w:top="266" w:right="419" w:bottom="1440" w:gutter="0" w:footer="0" w:header="0"/>
        </w:sectPr>
      </w:pPr>
    </w:p>
    <w:bookmarkStart w:id="96" w:name="page97"/>
    <w:bookmarkEnd w:id="96"/>
    <w:p>
      <w:pPr>
        <w:ind w:right="220"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General Counsel</w:t>
            </w:r>
          </w:p>
        </w:tc>
      </w:tr>
    </w:tbl>
    <w:p>
      <w:pPr>
        <w:spacing w:after="0" w:line="30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GROUP LLC (on its behalf,</w:t>
      </w:r>
    </w:p>
    <w:p>
      <w:pPr>
        <w:ind w:left="6860"/>
        <w:spacing w:after="0" w:line="238" w:lineRule="auto"/>
        <w:rPr>
          <w:sz w:val="20"/>
          <w:szCs w:val="20"/>
          <w:color w:val="auto"/>
        </w:rPr>
      </w:pPr>
      <w:r>
        <w:rPr>
          <w:rFonts w:ascii="Arial" w:cs="Arial" w:eastAsia="Arial" w:hAnsi="Arial"/>
          <w:sz w:val="22"/>
          <w:szCs w:val="22"/>
          <w:color w:val="auto"/>
        </w:rPr>
        <w:t>and on behalf of its subsidiaries and</w:t>
      </w:r>
    </w:p>
    <w:p>
      <w:pPr>
        <w:ind w:left="6860"/>
        <w:spacing w:after="0"/>
        <w:rPr>
          <w:sz w:val="20"/>
          <w:szCs w:val="20"/>
          <w:color w:val="auto"/>
        </w:rPr>
      </w:pPr>
      <w:r>
        <w:rPr>
          <w:rFonts w:ascii="Arial" w:cs="Arial" w:eastAsia="Arial" w:hAnsi="Arial"/>
          <w:sz w:val="22"/>
          <w:szCs w:val="22"/>
          <w:color w:val="auto"/>
        </w:rPr>
        <w:t>affiliates),</w:t>
      </w:r>
    </w:p>
    <w:p>
      <w:pPr>
        <w:spacing w:after="0" w:line="188"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General Counsel</w:t>
            </w:r>
          </w:p>
        </w:tc>
      </w:tr>
      <w:tr>
        <w:trPr>
          <w:trHeight w:val="908"/>
        </w:trPr>
        <w:tc>
          <w:tcPr>
            <w:tcW w:w="74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Kenneth M. Jacobs</w:t>
            </w:r>
          </w:p>
        </w:tc>
      </w:tr>
      <w:tr>
        <w:trPr>
          <w:trHeight w:val="268"/>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Kenneth M. Jacobs</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267" w:right="239" w:bottom="1440" w:gutter="0" w:footer="0" w:header="0"/>
        </w:sectPr>
      </w:pPr>
    </w:p>
    <w:bookmarkStart w:id="97" w:name="page98"/>
    <w:bookmarkEnd w:id="97"/>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4"/>
              </w:rPr>
              <w:t>Exhibit A</w:t>
            </w:r>
          </w:p>
        </w:tc>
      </w:tr>
      <w:tr>
        <w:trPr>
          <w:trHeight w:val="490"/>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Arial" w:cs="Arial" w:eastAsia="Arial" w:hAnsi="Arial"/>
                <w:sz w:val="22"/>
                <w:szCs w:val="22"/>
                <w:b w:val="1"/>
                <w:bCs w:val="1"/>
                <w:color w:val="auto"/>
              </w:rPr>
              <w:t>WAIVER AND GENERAL RELEASE</w:t>
            </w:r>
          </w:p>
        </w:tc>
      </w:tr>
      <w:tr>
        <w:trPr>
          <w:trHeight w:val="409"/>
        </w:trPr>
        <w:tc>
          <w:tcPr>
            <w:tcW w:w="4900" w:type="dxa"/>
            <w:vAlign w:val="bottom"/>
            <w:gridSpan w:val="3"/>
          </w:tcPr>
          <w:p>
            <w:pPr>
              <w:spacing w:after="0"/>
              <w:rPr>
                <w:sz w:val="20"/>
                <w:szCs w:val="20"/>
                <w:color w:val="auto"/>
              </w:rPr>
            </w:pPr>
            <w:r>
              <w:rPr>
                <w:rFonts w:ascii="Arial" w:cs="Arial" w:eastAsia="Arial" w:hAnsi="Arial"/>
                <w:sz w:val="22"/>
                <w:szCs w:val="22"/>
                <w:color w:val="auto"/>
                <w:w w:val="89"/>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Arial" w:cs="Arial" w:eastAsia="Arial" w:hAnsi="Arial"/>
                <w:sz w:val="22"/>
                <w:szCs w:val="22"/>
                <w:color w:val="auto"/>
                <w:w w:val="91"/>
              </w:rPr>
              <w:t>, by and between Kenneth M. Jacobs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82" w:lineRule="auto"/>
        <w:rPr>
          <w:sz w:val="20"/>
          <w:szCs w:val="20"/>
          <w:color w:val="auto"/>
        </w:rPr>
      </w:pPr>
      <w:r>
        <w:rPr>
          <w:rFonts w:ascii="Arial" w:cs="Arial" w:eastAsia="Arial" w:hAnsi="Arial"/>
          <w:sz w:val="19"/>
          <w:szCs w:val="19"/>
          <w:color w:val="auto"/>
        </w:rPr>
        <w:t>and Lazard Group LLC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48" w:lineRule="exact"/>
        <w:rPr>
          <w:sz w:val="20"/>
          <w:szCs w:val="20"/>
          <w:color w:val="auto"/>
        </w:rPr>
      </w:pPr>
    </w:p>
    <w:p>
      <w:pPr>
        <w:ind w:left="1180" w:hanging="601"/>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Concluding Employment</w:t>
      </w:r>
      <w:r>
        <w:rPr>
          <w:rFonts w:ascii="Arial" w:cs="Arial" w:eastAsia="Arial" w:hAnsi="Arial"/>
          <w:sz w:val="21"/>
          <w:szCs w:val="21"/>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-10160</wp:posOffset>
            </wp:positionV>
            <wp:extent cx="4114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sz w:val="20"/>
          <w:szCs w:val="20"/>
          <w:color w:val="auto"/>
        </w:rPr>
      </w:pPr>
    </w:p>
    <w:p>
      <w:pPr>
        <w:ind w:right="160" w:firstLine="579"/>
        <w:spacing w:after="0" w:line="282" w:lineRule="auto"/>
        <w:tabs>
          <w:tab w:leader="none" w:pos="116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w:t>
      </w:r>
    </w:p>
    <w:p>
      <w:pPr>
        <w:spacing w:after="0" w:line="147" w:lineRule="exact"/>
        <w:rPr>
          <w:rFonts w:ascii="Arial" w:cs="Arial" w:eastAsia="Arial" w:hAnsi="Arial"/>
          <w:sz w:val="19"/>
          <w:szCs w:val="19"/>
          <w:color w:val="auto"/>
        </w:rPr>
      </w:pPr>
    </w:p>
    <w:p>
      <w:pPr>
        <w:ind w:right="120" w:firstLine="579"/>
        <w:spacing w:after="0" w:line="282" w:lineRule="auto"/>
        <w:tabs>
          <w:tab w:leader="none" w:pos="116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238" w:right="239" w:bottom="1440" w:gutter="0" w:footer="0" w:header="0"/>
        </w:sectPr>
      </w:pPr>
    </w:p>
    <w:bookmarkStart w:id="98" w:name="page99"/>
    <w:bookmarkEnd w:id="98"/>
    <w:p>
      <w:pPr>
        <w:ind w:right="40" w:firstLine="579"/>
        <w:spacing w:after="0" w:line="247" w:lineRule="auto"/>
        <w:tabs>
          <w:tab w:leader="none" w:pos="1165"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w:t>
      </w:r>
      <w:r>
        <w:rPr>
          <w:rFonts w:ascii="Arial" w:cs="Arial" w:eastAsia="Arial" w:hAnsi="Arial"/>
          <w:sz w:val="21"/>
          <w:szCs w:val="21"/>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1"/>
          <w:szCs w:val="21"/>
          <w:u w:val="single" w:color="auto"/>
          <w:color w:val="auto"/>
        </w:rPr>
        <w:t>Releasors</w:t>
      </w:r>
      <w:r>
        <w:rPr>
          <w:rFonts w:ascii="Arial" w:cs="Arial" w:eastAsia="Arial" w:hAnsi="Arial"/>
          <w:sz w:val="21"/>
          <w:szCs w:val="21"/>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78" w:lineRule="exact"/>
        <w:rPr>
          <w:rFonts w:ascii="Arial" w:cs="Arial" w:eastAsia="Arial" w:hAnsi="Arial"/>
          <w:sz w:val="21"/>
          <w:szCs w:val="21"/>
          <w:color w:val="auto"/>
        </w:rPr>
      </w:pPr>
    </w:p>
    <w:p>
      <w:pPr>
        <w:jc w:val="both"/>
        <w:ind w:firstLine="1149"/>
        <w:spacing w:after="0" w:line="272" w:lineRule="auto"/>
        <w:tabs>
          <w:tab w:leader="none" w:pos="1997" w:val="left"/>
        </w:tabs>
        <w:numPr>
          <w:ilvl w:val="1"/>
          <w:numId w:val="87"/>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149"/>
        <w:spacing w:after="0" w:line="273" w:lineRule="auto"/>
        <w:tabs>
          <w:tab w:leader="none" w:pos="1801" w:val="left"/>
        </w:tabs>
        <w:numPr>
          <w:ilvl w:val="1"/>
          <w:numId w:val="87"/>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266"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of the Company Entities are jointly responsible and (vii) any claims that by law cannot be waived.</w:t>
      </w:r>
    </w:p>
    <w:p>
      <w:pPr>
        <w:spacing w:after="0" w:line="206" w:lineRule="exact"/>
        <w:rPr>
          <w:sz w:val="20"/>
          <w:szCs w:val="20"/>
          <w:color w:val="auto"/>
        </w:rPr>
      </w:pPr>
    </w:p>
    <w:p>
      <w:pPr>
        <w:jc w:val="both"/>
        <w:ind w:firstLine="579"/>
        <w:spacing w:after="0" w:line="236" w:lineRule="auto"/>
        <w:tabs>
          <w:tab w:leader="none" w:pos="119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87" w:lineRule="exact"/>
        <w:rPr>
          <w:rFonts w:ascii="Arial" w:cs="Arial" w:eastAsia="Arial" w:hAnsi="Arial"/>
          <w:sz w:val="22"/>
          <w:szCs w:val="22"/>
          <w:color w:val="auto"/>
        </w:rPr>
      </w:pPr>
    </w:p>
    <w:p>
      <w:pPr>
        <w:jc w:val="both"/>
        <w:ind w:firstLine="579"/>
        <w:spacing w:after="0" w:line="249" w:lineRule="auto"/>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jc w:val="both"/>
        <w:ind w:firstLine="1149"/>
        <w:spacing w:after="0" w:line="273" w:lineRule="auto"/>
        <w:tabs>
          <w:tab w:leader="none" w:pos="1884" w:val="left"/>
        </w:tabs>
        <w:numPr>
          <w:ilvl w:val="1"/>
          <w:numId w:val="88"/>
        </w:numPr>
        <w:rPr>
          <w:rFonts w:ascii="Arial" w:cs="Arial" w:eastAsia="Arial" w:hAnsi="Arial"/>
          <w:sz w:val="19"/>
          <w:szCs w:val="19"/>
          <w:color w:val="auto"/>
        </w:rPr>
      </w:pPr>
      <w:r>
        <w:rPr>
          <w:rFonts w:ascii="Arial" w:cs="Arial" w:eastAsia="Arial" w:hAnsi="Arial"/>
          <w:sz w:val="19"/>
          <w:szCs w:val="19"/>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Arial" w:cs="Arial" w:eastAsia="Arial" w:hAnsi="Arial"/>
          <w:sz w:val="22"/>
          <w:szCs w:val="22"/>
          <w:color w:val="auto"/>
        </w:rPr>
        <w:t>requirements, based on the written legal advice of your counsel, you will give prompt notice of such request to</w:t>
      </w:r>
      <w:r>
        <w:rPr>
          <w:sz w:val="20"/>
          <w:szCs w:val="20"/>
          <w:color w:val="auto"/>
        </w:rPr>
        <w:tab/>
      </w:r>
      <w:r>
        <w:rPr>
          <w:rFonts w:ascii="Arial" w:cs="Arial" w:eastAsia="Arial" w:hAnsi="Arial"/>
          <w:sz w:val="19"/>
          <w:szCs w:val="19"/>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7" w:lineRule="exact"/>
        <w:rPr>
          <w:sz w:val="20"/>
          <w:szCs w:val="20"/>
          <w:color w:val="auto"/>
        </w:rPr>
      </w:pPr>
    </w:p>
    <w:p>
      <w:pPr>
        <w:jc w:val="both"/>
        <w:ind w:firstLine="579"/>
        <w:spacing w:after="0" w:line="297" w:lineRule="auto"/>
        <w:tabs>
          <w:tab w:leader="none" w:pos="124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34" w:lineRule="exact"/>
        <w:rPr>
          <w:rFonts w:ascii="Arial" w:cs="Arial" w:eastAsia="Arial" w:hAnsi="Arial"/>
          <w:sz w:val="19"/>
          <w:szCs w:val="19"/>
          <w:color w:val="auto"/>
        </w:rPr>
      </w:pPr>
    </w:p>
    <w:p>
      <w:pPr>
        <w:jc w:val="both"/>
        <w:ind w:firstLine="579"/>
        <w:spacing w:after="0" w:line="275" w:lineRule="auto"/>
        <w:tabs>
          <w:tab w:leader="none" w:pos="1165"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267" w:right="239" w:bottom="1440" w:gutter="0" w:footer="0" w:header="0"/>
        </w:sectPr>
      </w:pPr>
    </w:p>
    <w:bookmarkStart w:id="100" w:name="page101"/>
    <w:bookmarkEnd w:id="100"/>
    <w:p>
      <w:pPr>
        <w:jc w:val="both"/>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48" w:lineRule="exact"/>
        <w:rPr>
          <w:sz w:val="20"/>
          <w:szCs w:val="20"/>
          <w:color w:val="auto"/>
        </w:rPr>
      </w:pPr>
    </w:p>
    <w:p>
      <w:pPr>
        <w:jc w:val="both"/>
        <w:ind w:firstLine="579"/>
        <w:spacing w:after="0" w:line="236" w:lineRule="auto"/>
        <w:tabs>
          <w:tab w:leader="none" w:pos="131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87" w:lineRule="exact"/>
        <w:rPr>
          <w:rFonts w:ascii="Arial" w:cs="Arial" w:eastAsia="Arial" w:hAnsi="Arial"/>
          <w:sz w:val="22"/>
          <w:szCs w:val="22"/>
          <w:color w:val="auto"/>
        </w:rPr>
      </w:pPr>
    </w:p>
    <w:p>
      <w:pPr>
        <w:ind w:firstLine="579"/>
        <w:spacing w:after="0" w:line="251" w:lineRule="auto"/>
        <w:tabs>
          <w:tab w:leader="none" w:pos="1286"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579"/>
        <w:spacing w:after="0"/>
        <w:tabs>
          <w:tab w:leader="none" w:pos="1481"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jc w:val="both"/>
        <w:ind w:firstLine="1149"/>
        <w:spacing w:after="0" w:line="258" w:lineRule="auto"/>
        <w:tabs>
          <w:tab w:leader="none" w:pos="1735" w:val="left"/>
        </w:tabs>
        <w:numPr>
          <w:ilvl w:val="1"/>
          <w:numId w:val="90"/>
        </w:numPr>
        <w:rPr>
          <w:rFonts w:ascii="Arial" w:cs="Arial" w:eastAsia="Arial" w:hAnsi="Arial"/>
          <w:sz w:val="21"/>
          <w:szCs w:val="21"/>
          <w:color w:val="auto"/>
        </w:rPr>
      </w:pPr>
      <w:r>
        <w:rPr>
          <w:rFonts w:ascii="Arial" w:cs="Arial" w:eastAsia="Arial" w:hAnsi="Arial"/>
          <w:sz w:val="21"/>
          <w:szCs w:val="21"/>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66" w:lineRule="exact"/>
        <w:rPr>
          <w:rFonts w:ascii="Arial" w:cs="Arial" w:eastAsia="Arial" w:hAnsi="Arial"/>
          <w:sz w:val="21"/>
          <w:szCs w:val="21"/>
          <w:color w:val="auto"/>
        </w:rPr>
      </w:pPr>
    </w:p>
    <w:p>
      <w:pPr>
        <w:ind w:firstLine="579"/>
        <w:spacing w:after="0" w:line="251" w:lineRule="auto"/>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579"/>
        <w:spacing w:after="0" w:line="251" w:lineRule="auto"/>
        <w:tabs>
          <w:tab w:leader="none" w:pos="1327"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firstLine="1149"/>
        <w:spacing w:after="0" w:line="251" w:lineRule="auto"/>
        <w:tabs>
          <w:tab w:leader="none" w:pos="1886"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579"/>
        <w:spacing w:after="0"/>
        <w:tabs>
          <w:tab w:leader="none" w:pos="154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You understand that this Agreement and the Retention Agreement constitute the complete understanding between the Company and you, and supersede any and all agreements, understandings, and discussions, whether written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267" w:right="239" w:bottom="1440" w:gutter="0" w:footer="0" w:header="0"/>
        </w:sectPr>
      </w:pPr>
    </w:p>
    <w:bookmarkStart w:id="101" w:name="page102"/>
    <w:bookmarkEnd w:id="101"/>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oral, between you and any of the Company Entities. No other promises or agreements shall be binding unless in writing and signed by both the Company and you after the Effective Date (as defined below).</w:t>
      </w:r>
    </w:p>
    <w:p>
      <w:pPr>
        <w:spacing w:after="0" w:line="173" w:lineRule="exact"/>
        <w:rPr>
          <w:sz w:val="20"/>
          <w:szCs w:val="20"/>
          <w:color w:val="auto"/>
        </w:rPr>
      </w:pPr>
    </w:p>
    <w:p>
      <w:pPr>
        <w:jc w:val="both"/>
        <w:ind w:firstLine="579"/>
        <w:spacing w:after="0" w:line="246" w:lineRule="auto"/>
        <w:tabs>
          <w:tab w:leader="none" w:pos="1394"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ind w:left="1400" w:hanging="821"/>
        <w:spacing w:after="0"/>
        <w:tabs>
          <w:tab w:leader="none" w:pos="140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w:t>
      </w:r>
    </w:p>
    <w:tbl>
      <w:tblPr>
        <w:tblLayout w:type="fixed"/>
        <w:tblInd w:w="0" w:type="dxa"/>
        <w:tblCellMar>
          <w:top w:w="0" w:type="dxa"/>
          <w:left w:w="0" w:type="dxa"/>
          <w:bottom w:w="0" w:type="dxa"/>
          <w:right w:w="0" w:type="dxa"/>
        </w:tblCellMar>
      </w:tblPr>
      <w:tr>
        <w:trPr>
          <w:trHeight w:val="249"/>
        </w:trPr>
        <w:tc>
          <w:tcPr>
            <w:tcW w:w="3540" w:type="dxa"/>
            <w:vAlign w:val="bottom"/>
            <w:gridSpan w:val="3"/>
          </w:tcPr>
          <w:p>
            <w:pPr>
              <w:spacing w:after="0" w:line="248" w:lineRule="exact"/>
              <w:rPr>
                <w:sz w:val="20"/>
                <w:szCs w:val="20"/>
                <w:color w:val="auto"/>
              </w:rPr>
            </w:pPr>
            <w:r>
              <w:rPr>
                <w:rFonts w:ascii="Arial" w:cs="Arial" w:eastAsia="Arial" w:hAnsi="Arial"/>
                <w:sz w:val="22"/>
                <w:szCs w:val="22"/>
                <w:color w:val="auto"/>
                <w:w w:val="93"/>
              </w:rPr>
              <w:t>Plaza, New York, NY 10020, Attention:</w:t>
            </w:r>
          </w:p>
        </w:tc>
        <w:tc>
          <w:tcPr>
            <w:tcW w:w="1160" w:type="dxa"/>
            <w:vAlign w:val="bottom"/>
            <w:tcBorders>
              <w:bottom w:val="single" w:sz="8" w:color="auto"/>
            </w:tcBorders>
          </w:tcPr>
          <w:p>
            <w:pPr>
              <w:spacing w:after="0"/>
              <w:rPr>
                <w:sz w:val="21"/>
                <w:szCs w:val="21"/>
                <w:color w:val="auto"/>
              </w:rPr>
            </w:pPr>
          </w:p>
        </w:tc>
        <w:tc>
          <w:tcPr>
            <w:tcW w:w="1220" w:type="dxa"/>
            <w:vAlign w:val="bottom"/>
          </w:tcPr>
          <w:p>
            <w:pPr>
              <w:spacing w:after="0" w:line="248" w:lineRule="exact"/>
              <w:rPr>
                <w:sz w:val="20"/>
                <w:szCs w:val="20"/>
                <w:color w:val="auto"/>
              </w:rPr>
            </w:pPr>
            <w:r>
              <w:rPr>
                <w:rFonts w:ascii="Arial" w:cs="Arial" w:eastAsia="Arial" w:hAnsi="Arial"/>
                <w:sz w:val="22"/>
                <w:szCs w:val="22"/>
                <w:color w:val="auto"/>
                <w:w w:val="91"/>
              </w:rPr>
              <w:t>, on or before</w:t>
            </w:r>
          </w:p>
        </w:tc>
        <w:tc>
          <w:tcPr>
            <w:tcW w:w="700" w:type="dxa"/>
            <w:vAlign w:val="bottom"/>
            <w:tcBorders>
              <w:bottom w:val="single" w:sz="8" w:color="auto"/>
            </w:tcBorders>
          </w:tcPr>
          <w:p>
            <w:pPr>
              <w:spacing w:after="0"/>
              <w:rPr>
                <w:sz w:val="21"/>
                <w:szCs w:val="21"/>
                <w:color w:val="auto"/>
              </w:rPr>
            </w:pPr>
          </w:p>
        </w:tc>
        <w:tc>
          <w:tcPr>
            <w:tcW w:w="4800" w:type="dxa"/>
            <w:vAlign w:val="bottom"/>
            <w:gridSpan w:val="3"/>
          </w:tcPr>
          <w:p>
            <w:pPr>
              <w:jc w:val="right"/>
              <w:spacing w:after="0" w:line="248" w:lineRule="exact"/>
              <w:rPr>
                <w:sz w:val="20"/>
                <w:szCs w:val="20"/>
                <w:color w:val="auto"/>
              </w:rPr>
            </w:pPr>
            <w:r>
              <w:rPr>
                <w:rFonts w:ascii="Arial" w:cs="Arial" w:eastAsia="Arial" w:hAnsi="Arial"/>
                <w:sz w:val="22"/>
                <w:szCs w:val="22"/>
                <w:color w:val="auto"/>
                <w:w w:val="90"/>
              </w:rPr>
              <w:t>. After executing this Agreement, you shall have seven</w:t>
            </w:r>
          </w:p>
        </w:tc>
      </w:tr>
      <w:tr>
        <w:trPr>
          <w:trHeight w:val="223"/>
        </w:trPr>
        <w:tc>
          <w:tcPr>
            <w:tcW w:w="9080" w:type="dxa"/>
            <w:vAlign w:val="bottom"/>
            <w:gridSpan w:val="7"/>
          </w:tcPr>
          <w:p>
            <w:pPr>
              <w:spacing w:after="0" w:line="223" w:lineRule="exact"/>
              <w:rPr>
                <w:sz w:val="20"/>
                <w:szCs w:val="20"/>
                <w:color w:val="auto"/>
              </w:rPr>
            </w:pPr>
            <w:r>
              <w:rPr>
                <w:rFonts w:ascii="Arial" w:cs="Arial" w:eastAsia="Arial" w:hAnsi="Arial"/>
                <w:sz w:val="22"/>
                <w:szCs w:val="22"/>
                <w:color w:val="auto"/>
                <w:w w:val="91"/>
              </w:rPr>
              <w:t>(7) days (the “Revocation Period”) to revoke it by indicating your desire to do so in writing delivered to</w:t>
            </w:r>
          </w:p>
        </w:tc>
        <w:tc>
          <w:tcPr>
            <w:tcW w:w="234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at the address</w:t>
            </w:r>
          </w:p>
        </w:tc>
      </w:tr>
      <w:tr>
        <w:trPr>
          <w:trHeight w:val="20"/>
        </w:trPr>
        <w:tc>
          <w:tcPr>
            <w:tcW w:w="1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above by no later than 5:00 p.m. on the seventh (7th) day after the date you sign this Agreement. The effective date of this Agreement shall be the eighth (8th) day after you sign it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88" w:lineRule="exact"/>
        <w:rPr>
          <w:sz w:val="20"/>
          <w:szCs w:val="20"/>
          <w:color w:val="auto"/>
        </w:rPr>
      </w:pPr>
    </w:p>
    <w:p>
      <w:pPr>
        <w:ind w:firstLine="579"/>
        <w:spacing w:after="0" w:line="274" w:lineRule="auto"/>
        <w:tabs>
          <w:tab w:leader="none" w:pos="139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ind w:left="1480" w:hanging="901"/>
        <w:spacing w:after="0"/>
        <w:tabs>
          <w:tab w:leader="none" w:pos="148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Treatment of Awards</w:t>
      </w:r>
      <w:r>
        <w:rPr>
          <w:rFonts w:ascii="Arial" w:cs="Arial" w:eastAsia="Arial" w:hAnsi="Arial"/>
          <w:sz w:val="19"/>
          <w:szCs w:val="19"/>
          <w:color w:val="auto"/>
        </w:rPr>
        <w:t>. You currently hold the awards listed on Annex I to this Agreement (the “</w:t>
      </w:r>
      <w:r>
        <w:rPr>
          <w:rFonts w:ascii="Arial" w:cs="Arial" w:eastAsia="Arial" w:hAnsi="Arial"/>
          <w:sz w:val="19"/>
          <w:szCs w:val="19"/>
          <w:u w:val="single" w:color="auto"/>
          <w:color w:val="auto"/>
        </w:rPr>
        <w:t>Awards</w:t>
      </w:r>
      <w:r>
        <w:rPr>
          <w:rFonts w:ascii="Arial" w:cs="Arial" w:eastAsia="Arial" w:hAnsi="Arial"/>
          <w:sz w:val="19"/>
          <w:szCs w:val="19"/>
          <w:color w:val="auto"/>
        </w:rPr>
        <w:t>”). The</w:t>
      </w:r>
    </w:p>
    <w:p>
      <w:pPr>
        <w:spacing w:after="0" w:line="33" w:lineRule="exact"/>
        <w:rPr>
          <w:sz w:val="20"/>
          <w:szCs w:val="20"/>
          <w:color w:val="auto"/>
        </w:rPr>
      </w:pPr>
    </w:p>
    <w:p>
      <w:pPr>
        <w:spacing w:after="0"/>
        <w:tabs>
          <w:tab w:leader="none" w:pos="2640" w:val="left"/>
        </w:tabs>
        <w:rPr>
          <w:sz w:val="20"/>
          <w:szCs w:val="20"/>
          <w:color w:val="auto"/>
        </w:rPr>
      </w:pPr>
      <w:r>
        <w:rPr>
          <w:rFonts w:ascii="Arial" w:cs="Arial" w:eastAsia="Arial" w:hAnsi="Arial"/>
          <w:sz w:val="22"/>
          <w:szCs w:val="22"/>
          <w:color w:val="auto"/>
        </w:rPr>
        <w:t>Awards [(other than the</w:t>
      </w:r>
      <w:r>
        <w:rPr>
          <w:sz w:val="20"/>
          <w:szCs w:val="20"/>
          <w:color w:val="auto"/>
        </w:rPr>
        <w:tab/>
      </w:r>
      <w:r>
        <w:rPr>
          <w:rFonts w:ascii="Arial" w:cs="Arial" w:eastAsia="Arial" w:hAnsi="Arial"/>
          <w:sz w:val="19"/>
          <w:szCs w:val="19"/>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-22860</wp:posOffset>
            </wp:positionV>
            <wp:extent cx="3346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1"/>
          <w:szCs w:val="21"/>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267" w:right="239" w:bottom="1440" w:gutter="0" w:footer="0" w:header="0"/>
        </w:sectPr>
      </w:pPr>
    </w:p>
    <w:bookmarkStart w:id="102" w:name="page103"/>
    <w:bookmarkEnd w:id="102"/>
    <w:p>
      <w:pPr>
        <w:ind w:left="59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-17780</wp:posOffset>
            </wp:positionV>
            <wp:extent cx="1714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-22860</wp:posOffset>
            </wp:positionV>
            <wp:extent cx="15436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-22860</wp:posOffset>
            </wp:positionV>
            <wp:extent cx="9264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gridSpan w:val="2"/>
          </w:tcPr>
          <w:p>
            <w:pPr>
              <w:ind w:left="60"/>
              <w:spacing w:after="0"/>
              <w:rPr>
                <w:sz w:val="20"/>
                <w:szCs w:val="20"/>
                <w:color w:val="auto"/>
              </w:rPr>
            </w:pPr>
            <w:r>
              <w:rPr>
                <w:rFonts w:ascii="Arial" w:cs="Arial" w:eastAsia="Arial" w:hAnsi="Arial"/>
                <w:sz w:val="22"/>
                <w:szCs w:val="22"/>
                <w:color w:val="auto"/>
              </w:rPr>
              <w:t>NAME</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80" w:type="dxa"/>
            <w:vAlign w:val="bottom"/>
          </w:tcPr>
          <w:p>
            <w:pPr>
              <w:spacing w:after="0"/>
              <w:rPr>
                <w:sz w:val="23"/>
                <w:szCs w:val="23"/>
                <w:color w:val="auto"/>
              </w:rPr>
            </w:pPr>
          </w:p>
        </w:tc>
      </w:tr>
      <w:tr>
        <w:trPr>
          <w:trHeight w:val="391"/>
        </w:trPr>
        <w:tc>
          <w:tcPr>
            <w:tcW w:w="2220" w:type="dxa"/>
            <w:vAlign w:val="bottom"/>
            <w:gridSpan w:val="6"/>
          </w:tcPr>
          <w:p>
            <w:pPr>
              <w:spacing w:after="0"/>
              <w:rPr>
                <w:sz w:val="20"/>
                <w:szCs w:val="20"/>
                <w:color w:val="auto"/>
              </w:rPr>
            </w:pPr>
            <w:r>
              <w:rPr>
                <w:rFonts w:ascii="Arial" w:cs="Arial" w:eastAsia="Arial" w:hAnsi="Arial"/>
                <w:sz w:val="22"/>
                <w:szCs w:val="22"/>
                <w:color w:val="auto"/>
              </w:rPr>
              <w:t>STATE OF</w:t>
            </w:r>
          </w:p>
        </w:tc>
        <w:tc>
          <w:tcPr>
            <w:tcW w:w="9180" w:type="dxa"/>
            <w:vAlign w:val="bottom"/>
            <w:gridSpan w:val="3"/>
          </w:tcPr>
          <w:p>
            <w:pPr>
              <w:jc w:val="right"/>
              <w:ind w:right="8572"/>
              <w:spacing w:after="0"/>
              <w:rPr>
                <w:sz w:val="20"/>
                <w:szCs w:val="20"/>
                <w:color w:val="auto"/>
              </w:rPr>
            </w:pPr>
            <w:r>
              <w:rPr>
                <w:rFonts w:ascii="Arial" w:cs="Arial" w:eastAsia="Arial" w:hAnsi="Arial"/>
                <w:sz w:val="22"/>
                <w:szCs w:val="22"/>
                <w:color w:val="auto"/>
              </w:rPr>
              <w:t>)</w:t>
            </w:r>
          </w:p>
        </w:tc>
      </w:tr>
      <w:tr>
        <w:trPr>
          <w:trHeight w:val="242"/>
        </w:trPr>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680" w:type="dxa"/>
            <w:vAlign w:val="bottom"/>
          </w:tcPr>
          <w:p>
            <w:pPr>
              <w:jc w:val="right"/>
              <w:ind w:right="8112"/>
              <w:spacing w:after="0" w:line="242" w:lineRule="exact"/>
              <w:rPr>
                <w:sz w:val="20"/>
                <w:szCs w:val="20"/>
                <w:color w:val="auto"/>
              </w:rPr>
            </w:pPr>
            <w:r>
              <w:rPr>
                <w:rFonts w:ascii="Arial" w:cs="Arial" w:eastAsia="Arial" w:hAnsi="Arial"/>
                <w:sz w:val="22"/>
                <w:szCs w:val="22"/>
                <w:color w:val="auto"/>
                <w:w w:val="92"/>
              </w:rPr>
              <w:t>) ss.:</w:t>
            </w:r>
          </w:p>
        </w:tc>
      </w:tr>
      <w:tr>
        <w:trPr>
          <w:trHeight w:val="224"/>
        </w:trPr>
        <w:tc>
          <w:tcPr>
            <w:tcW w:w="1300" w:type="dxa"/>
            <w:vAlign w:val="bottom"/>
            <w:gridSpan w:val="4"/>
          </w:tcPr>
          <w:p>
            <w:pPr>
              <w:spacing w:after="0" w:line="224" w:lineRule="exact"/>
              <w:rPr>
                <w:sz w:val="20"/>
                <w:szCs w:val="20"/>
                <w:color w:val="auto"/>
              </w:rPr>
            </w:pPr>
            <w:r>
              <w:rPr>
                <w:rFonts w:ascii="Arial" w:cs="Arial" w:eastAsia="Arial" w:hAnsi="Arial"/>
                <w:sz w:val="22"/>
                <w:szCs w:val="22"/>
                <w:color w:val="auto"/>
                <w:w w:val="98"/>
              </w:rPr>
              <w:t>COUNTY OF</w:t>
            </w:r>
          </w:p>
        </w:tc>
        <w:tc>
          <w:tcPr>
            <w:tcW w:w="920" w:type="dxa"/>
            <w:vAlign w:val="bottom"/>
            <w:tcBorders>
              <w:bottom w:val="single" w:sz="8" w:color="auto"/>
            </w:tcBorders>
            <w:gridSpan w:val="2"/>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20" w:type="dxa"/>
            <w:vAlign w:val="bottom"/>
            <w:gridSpan w:val="2"/>
          </w:tcPr>
          <w:p>
            <w:pPr>
              <w:jc w:val="right"/>
              <w:ind w:right="8532"/>
              <w:spacing w:after="0" w:line="224" w:lineRule="exact"/>
              <w:rPr>
                <w:sz w:val="20"/>
                <w:szCs w:val="20"/>
                <w:color w:val="auto"/>
              </w:rPr>
            </w:pPr>
            <w:r>
              <w:rPr>
                <w:rFonts w:ascii="Arial" w:cs="Arial" w:eastAsia="Arial" w:hAnsi="Arial"/>
                <w:sz w:val="22"/>
                <w:szCs w:val="22"/>
                <w:color w:val="auto"/>
              </w:rPr>
              <w:t>)</w:t>
            </w:r>
          </w:p>
        </w:tc>
      </w:tr>
      <w:tr>
        <w:trPr>
          <w:trHeight w:val="439"/>
        </w:trPr>
        <w:tc>
          <w:tcPr>
            <w:tcW w:w="2220" w:type="dxa"/>
            <w:vAlign w:val="bottom"/>
            <w:gridSpan w:val="6"/>
          </w:tcPr>
          <w:p>
            <w:pPr>
              <w:spacing w:after="0"/>
              <w:rPr>
                <w:sz w:val="20"/>
                <w:szCs w:val="20"/>
                <w:color w:val="auto"/>
              </w:rPr>
            </w:pPr>
            <w:r>
              <w:rPr>
                <w:rFonts w:ascii="Arial" w:cs="Arial" w:eastAsia="Arial" w:hAnsi="Arial"/>
                <w:sz w:val="22"/>
                <w:szCs w:val="22"/>
                <w:color w:val="auto"/>
              </w:rPr>
              <w:t>On this   day of</w:t>
            </w:r>
          </w:p>
        </w:tc>
        <w:tc>
          <w:tcPr>
            <w:tcW w:w="9180" w:type="dxa"/>
            <w:vAlign w:val="bottom"/>
            <w:gridSpan w:val="3"/>
          </w:tcPr>
          <w:p>
            <w:pPr>
              <w:jc w:val="right"/>
              <w:spacing w:after="0"/>
              <w:rPr>
                <w:sz w:val="20"/>
                <w:szCs w:val="20"/>
                <w:color w:val="auto"/>
              </w:rPr>
            </w:pPr>
            <w:r>
              <w:rPr>
                <w:rFonts w:ascii="Arial" w:cs="Arial" w:eastAsia="Arial" w:hAnsi="Arial"/>
                <w:sz w:val="22"/>
                <w:szCs w:val="22"/>
                <w:color w:val="auto"/>
                <w:w w:val="90"/>
              </w:rPr>
              <w:t>20  , before me personally came [NAME] to me known and known to me to be the person described and</w:t>
            </w:r>
          </w:p>
        </w:tc>
      </w:tr>
      <w:tr>
        <w:trPr>
          <w:trHeight w:val="20"/>
        </w:trPr>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who executed the foregoing Agreement, and [she/he] duly acknowledged to me that [she/he]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16725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Notary Public</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267" w:right="2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10.8</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AGREEMENT RELATING TO RETENTION AND</w:t>
      </w:r>
    </w:p>
    <w:p>
      <w:pPr>
        <w:jc w:val="center"/>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21"/>
          <w:szCs w:val="21"/>
          <w:color w:val="auto"/>
        </w:rPr>
        <w:t>AMENDED AND RESTATED AGREEMENT, dated as of March 9,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Lazard Ltd, a company incorporated under the laws of Bermuda (“</w:t>
      </w:r>
      <w:r>
        <w:rPr>
          <w:rFonts w:ascii="Arial" w:cs="Arial" w:eastAsia="Arial" w:hAnsi="Arial"/>
          <w:sz w:val="21"/>
          <w:szCs w:val="21"/>
          <w:u w:val="single" w:color="auto"/>
          <w:color w:val="auto"/>
        </w:rPr>
        <w:t>Lazard</w:t>
      </w:r>
      <w:r>
        <w:rPr>
          <w:rFonts w:ascii="Arial" w:cs="Arial" w:eastAsia="Arial" w:hAnsi="Arial"/>
          <w:sz w:val="21"/>
          <w:szCs w:val="21"/>
          <w:color w:val="auto"/>
        </w:rPr>
        <w:t>”), Lazard Group LLC, a Delaware limited liability company (“</w:t>
      </w:r>
      <w:r>
        <w:rPr>
          <w:rFonts w:ascii="Arial" w:cs="Arial" w:eastAsia="Arial" w:hAnsi="Arial"/>
          <w:sz w:val="21"/>
          <w:szCs w:val="21"/>
          <w:u w:val="single" w:color="auto"/>
          <w:color w:val="auto"/>
        </w:rPr>
        <w:t>Lazard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its behalf and on behalf of its subsidiaries and affiliates (collectively with Lazard and Lazard Group, and its and their predecessors and successors, the “</w:t>
      </w:r>
      <w:r>
        <w:rPr>
          <w:rFonts w:ascii="Arial" w:cs="Arial" w:eastAsia="Arial" w:hAnsi="Arial"/>
          <w:sz w:val="21"/>
          <w:szCs w:val="21"/>
          <w:u w:val="single" w:color="auto"/>
          <w:color w:val="auto"/>
        </w:rPr>
        <w:t>Firm</w:t>
      </w:r>
      <w:r>
        <w:rPr>
          <w:rFonts w:ascii="Arial" w:cs="Arial" w:eastAsia="Arial" w:hAnsi="Arial"/>
          <w:sz w:val="21"/>
          <w:szCs w:val="21"/>
          <w:color w:val="auto"/>
        </w:rPr>
        <w:t>”), and Ashish Bhutani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4" w:lineRule="exact"/>
        <w:rPr>
          <w:sz w:val="20"/>
          <w:szCs w:val="20"/>
          <w:color w:val="auto"/>
        </w:rPr>
      </w:pPr>
    </w:p>
    <w:p>
      <w:pPr>
        <w:ind w:right="220" w:firstLine="571"/>
        <w:spacing w:after="0" w:line="297" w:lineRule="auto"/>
        <w:rPr>
          <w:sz w:val="20"/>
          <w:szCs w:val="20"/>
          <w:color w:val="auto"/>
        </w:rPr>
      </w:pPr>
      <w:r>
        <w:rPr>
          <w:rFonts w:ascii="Arial" w:cs="Arial" w:eastAsia="Arial" w:hAnsi="Arial"/>
          <w:sz w:val="19"/>
          <w:szCs w:val="19"/>
          <w:color w:val="auto"/>
        </w:rPr>
        <w:t>WHEREAS, the Executive previously entered into an Agreement Relating to Retention and Noncompetition and Other Covenants with Lazard and Lazard Group, dated as of March 15, 2005, as amended on August 2, 2011 and March 14, 2013 (such agreement, together with all schedules and attachments thereto, the “</w:t>
      </w:r>
      <w:r>
        <w:rPr>
          <w:rFonts w:ascii="Arial" w:cs="Arial" w:eastAsia="Arial" w:hAnsi="Arial"/>
          <w:sz w:val="19"/>
          <w:szCs w:val="19"/>
          <w:u w:val="single" w:color="auto"/>
          <w:color w:val="auto"/>
        </w:rPr>
        <w:t>Prior Retention Agreement</w:t>
      </w:r>
      <w:r>
        <w:rPr>
          <w:rFonts w:ascii="Arial" w:cs="Arial" w:eastAsia="Arial" w:hAnsi="Arial"/>
          <w:sz w:val="19"/>
          <w:szCs w:val="19"/>
          <w:color w:val="auto"/>
        </w:rPr>
        <w:t>”);</w:t>
      </w:r>
    </w:p>
    <w:p>
      <w:pPr>
        <w:spacing w:after="0" w:line="134" w:lineRule="exact"/>
        <w:rPr>
          <w:sz w:val="20"/>
          <w:szCs w:val="20"/>
          <w:color w:val="auto"/>
        </w:rPr>
      </w:pPr>
    </w:p>
    <w:p>
      <w:pPr>
        <w:ind w:right="60" w:firstLine="571"/>
        <w:spacing w:after="0" w:line="236" w:lineRule="auto"/>
        <w:rPr>
          <w:sz w:val="20"/>
          <w:szCs w:val="20"/>
          <w:color w:val="auto"/>
        </w:rPr>
      </w:pPr>
      <w:r>
        <w:rPr>
          <w:rFonts w:ascii="Arial" w:cs="Arial" w:eastAsia="Arial" w:hAnsi="Arial"/>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88" w:lineRule="exact"/>
        <w:rPr>
          <w:sz w:val="20"/>
          <w:szCs w:val="20"/>
          <w:color w:val="auto"/>
        </w:rPr>
      </w:pPr>
    </w:p>
    <w:p>
      <w:pPr>
        <w:ind w:right="320" w:firstLine="571"/>
        <w:spacing w:after="0" w:line="251" w:lineRule="auto"/>
        <w:rPr>
          <w:sz w:val="20"/>
          <w:szCs w:val="20"/>
          <w:color w:val="auto"/>
        </w:rPr>
      </w:pPr>
      <w:r>
        <w:rPr>
          <w:rFonts w:ascii="Arial" w:cs="Arial" w:eastAsia="Arial" w:hAnsi="Arial"/>
          <w:sz w:val="22"/>
          <w:szCs w:val="22"/>
          <w:color w:val="auto"/>
        </w:rPr>
        <w:t>WHEREAS, as of the date hereof, the Executive is the Vice Chairman and Managing Director of Lazard Group and Chief Executive Officer of Lazard Asset Management LLC.</w:t>
      </w:r>
    </w:p>
    <w:p>
      <w:pPr>
        <w:spacing w:after="0" w:line="173"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20" w:firstLine="579"/>
        <w:spacing w:after="0" w:line="271" w:lineRule="auto"/>
        <w:tabs>
          <w:tab w:leader="none" w:pos="121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Arial" w:cs="Arial" w:eastAsia="Arial" w:hAnsi="Arial"/>
          <w:sz w:val="19"/>
          <w:szCs w:val="19"/>
          <w:u w:val="single" w:color="auto"/>
          <w:color w:val="auto"/>
        </w:rPr>
        <w:t>Specified Expiration Date</w:t>
      </w:r>
      <w:r>
        <w:rPr>
          <w:rFonts w:ascii="Arial" w:cs="Arial" w:eastAsia="Arial" w:hAnsi="Arial"/>
          <w:sz w:val="19"/>
          <w:szCs w:val="19"/>
          <w:color w:val="auto"/>
        </w:rPr>
        <w:t>”), provided that, upon a Change in Control (as defined in Lazard’s 2008 Incentive Compensation Plan, as it may be amended from time to time, or any successor plan thereto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notice requirements shall not</w:t>
      </w:r>
    </w:p>
    <w:p>
      <w:pPr>
        <w:sectPr>
          <w:pgSz w:w="11900" w:h="16838" w:orient="portrait"/>
          <w:cols w:equalWidth="0" w:num="1">
            <w:col w:w="11420"/>
          </w:cols>
          <w:pgMar w:left="240" w:top="111" w:right="239" w:bottom="1440" w:gutter="0" w:footer="0" w:header="0"/>
        </w:sectPr>
      </w:pPr>
    </w:p>
    <w:bookmarkStart w:id="104" w:name="page105"/>
    <w:bookmarkEnd w:id="104"/>
    <w:p>
      <w:pPr>
        <w:ind w:right="7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apply in the event the Executive terminates his employment for any of the circumstances described in clauses (i)-(iv) of the definition of Good Reason provided in Section 3(e) below.</w:t>
      </w:r>
    </w:p>
    <w:p>
      <w:pPr>
        <w:spacing w:after="0" w:line="173" w:lineRule="exact"/>
        <w:rPr>
          <w:sz w:val="20"/>
          <w:szCs w:val="20"/>
          <w:color w:val="auto"/>
        </w:rPr>
      </w:pPr>
    </w:p>
    <w:p>
      <w:pPr>
        <w:ind w:left="1220" w:hanging="641"/>
        <w:spacing w:after="0"/>
        <w:tabs>
          <w:tab w:leader="none" w:pos="122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right="620" w:firstLine="579"/>
        <w:spacing w:after="0" w:line="251" w:lineRule="auto"/>
        <w:tabs>
          <w:tab w:leader="none" w:pos="121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Continued Employment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Employment</w:t>
      </w:r>
      <w:r>
        <w:rPr>
          <w:rFonts w:ascii="Arial" w:cs="Arial" w:eastAsia="Arial" w:hAnsi="Arial"/>
          <w:sz w:val="22"/>
          <w:szCs w:val="22"/>
          <w:color w:val="auto"/>
        </w:rPr>
        <w:t>. The Executive hereby agrees to continue in the employ of the Firm, subject to the terms and conditions of this Agreement.</w:t>
      </w:r>
    </w:p>
    <w:p>
      <w:pPr>
        <w:spacing w:after="0" w:line="173" w:lineRule="exact"/>
        <w:rPr>
          <w:sz w:val="20"/>
          <w:szCs w:val="20"/>
          <w:color w:val="auto"/>
        </w:rPr>
      </w:pPr>
    </w:p>
    <w:p>
      <w:pPr>
        <w:ind w:right="200" w:firstLine="579"/>
        <w:spacing w:after="0" w:line="271" w:lineRule="auto"/>
        <w:tabs>
          <w:tab w:leader="none" w:pos="1309"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Duties and Responsibilities; Code of Conduct</w:t>
      </w:r>
      <w:r>
        <w:rPr>
          <w:rFonts w:ascii="Arial" w:cs="Arial" w:eastAsia="Arial" w:hAnsi="Arial"/>
          <w:sz w:val="19"/>
          <w:szCs w:val="19"/>
          <w:color w:val="auto"/>
        </w:rPr>
        <w:t>. During the Term until the Specified Expiration Date, the Executive shall continue to (i) serve as a Vice Chairman and Managing Director of Lazard Group and Chief Executive Officer of Lazard Asset Management LLC, with such authority, duties and responsibilities as are consistent with the authority, duties and responsibilities exercised by the Executive on the date hereof, (ii) report directly to the Firm’s Chief Executive Officer and</w:t>
      </w:r>
    </w:p>
    <w:p>
      <w:pPr>
        <w:spacing w:after="0" w:line="3" w:lineRule="exact"/>
        <w:rPr>
          <w:rFonts w:ascii="Arial" w:cs="Arial" w:eastAsia="Arial" w:hAnsi="Arial"/>
          <w:sz w:val="19"/>
          <w:szCs w:val="19"/>
          <w:color w:val="auto"/>
        </w:rPr>
      </w:pPr>
    </w:p>
    <w:p>
      <w:pPr>
        <w:ind w:right="40" w:firstLine="8"/>
        <w:spacing w:after="0" w:line="244" w:lineRule="auto"/>
        <w:tabs>
          <w:tab w:leader="none" w:pos="378" w:val="left"/>
        </w:tabs>
        <w:numPr>
          <w:ilvl w:val="0"/>
          <w:numId w:val="96"/>
        </w:numPr>
        <w:rPr>
          <w:rFonts w:ascii="Arial" w:cs="Arial" w:eastAsia="Arial" w:hAnsi="Arial"/>
          <w:sz w:val="21"/>
          <w:szCs w:val="21"/>
          <w:color w:val="auto"/>
        </w:rPr>
      </w:pPr>
      <w:r>
        <w:rPr>
          <w:rFonts w:ascii="Arial" w:cs="Arial" w:eastAsia="Arial" w:hAnsi="Arial"/>
          <w:sz w:val="21"/>
          <w:szCs w:val="21"/>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1" w:lineRule="exact"/>
        <w:rPr>
          <w:rFonts w:ascii="Arial" w:cs="Arial" w:eastAsia="Arial" w:hAnsi="Arial"/>
          <w:sz w:val="21"/>
          <w:szCs w:val="21"/>
          <w:color w:val="auto"/>
        </w:rPr>
      </w:pPr>
    </w:p>
    <w:p>
      <w:pPr>
        <w:ind w:left="1300" w:hanging="721"/>
        <w:spacing w:after="0"/>
        <w:tabs>
          <w:tab w:leader="none" w:pos="1300"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right="140" w:firstLine="579"/>
        <w:spacing w:after="0" w:line="245" w:lineRule="auto"/>
        <w:tabs>
          <w:tab w:leader="none" w:pos="1261"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period ending on the Specified Expiration Date, subject to the Executive’s continued employment hereunder, the Executive shall be entitled to receive an annual base salary of not less than $750,000 (“</w:t>
      </w:r>
      <w:r>
        <w:rPr>
          <w:rFonts w:ascii="Arial" w:cs="Arial" w:eastAsia="Arial" w:hAnsi="Arial"/>
          <w:sz w:val="21"/>
          <w:szCs w:val="21"/>
          <w:u w:val="single" w:color="auto"/>
          <w:color w:val="auto"/>
        </w:rPr>
        <w:t>Base Salary</w:t>
      </w:r>
      <w:r>
        <w:rPr>
          <w:rFonts w:ascii="Arial" w:cs="Arial" w:eastAsia="Arial" w:hAnsi="Arial"/>
          <w:sz w:val="21"/>
          <w:szCs w:val="21"/>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5" w:lineRule="exact"/>
        <w:rPr>
          <w:rFonts w:ascii="Arial" w:cs="Arial" w:eastAsia="Arial" w:hAnsi="Arial"/>
          <w:sz w:val="21"/>
          <w:szCs w:val="21"/>
          <w:color w:val="auto"/>
        </w:rPr>
      </w:pPr>
    </w:p>
    <w:p>
      <w:pPr>
        <w:ind w:firstLine="579"/>
        <w:spacing w:after="0" w:line="247" w:lineRule="auto"/>
        <w:tabs>
          <w:tab w:leader="none" w:pos="1321"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267" w:right="279" w:bottom="1440" w:gutter="0" w:footer="0" w:header="0"/>
        </w:sectPr>
      </w:pPr>
    </w:p>
    <w:bookmarkStart w:id="105" w:name="page106"/>
    <w:bookmarkEnd w:id="105"/>
    <w:p>
      <w:pPr>
        <w:ind w:right="24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53" w:lineRule="exact"/>
        <w:rPr>
          <w:sz w:val="20"/>
          <w:szCs w:val="20"/>
          <w:color w:val="auto"/>
        </w:rPr>
      </w:pPr>
    </w:p>
    <w:p>
      <w:pPr>
        <w:ind w:right="280" w:firstLine="579"/>
        <w:spacing w:after="0"/>
        <w:tabs>
          <w:tab w:leader="none" w:pos="1381"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right="60" w:firstLine="579"/>
        <w:spacing w:after="0" w:line="279" w:lineRule="auto"/>
        <w:tabs>
          <w:tab w:leader="none" w:pos="1369"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51" w:lineRule="exact"/>
        <w:rPr>
          <w:sz w:val="20"/>
          <w:szCs w:val="20"/>
          <w:color w:val="auto"/>
        </w:rPr>
      </w:pPr>
    </w:p>
    <w:p>
      <w:pPr>
        <w:ind w:firstLine="579"/>
        <w:spacing w:after="0" w:line="248" w:lineRule="auto"/>
        <w:tabs>
          <w:tab w:leader="none" w:pos="1309"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7" w:lineRule="exact"/>
        <w:rPr>
          <w:sz w:val="20"/>
          <w:szCs w:val="20"/>
          <w:color w:val="auto"/>
        </w:rPr>
      </w:pPr>
    </w:p>
    <w:p>
      <w:pPr>
        <w:ind w:right="80" w:firstLine="579"/>
        <w:spacing w:after="0" w:line="273" w:lineRule="auto"/>
        <w:tabs>
          <w:tab w:leader="none" w:pos="88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267" w:right="299" w:bottom="1440" w:gutter="0" w:footer="0" w:header="0"/>
        </w:sectPr>
      </w:pPr>
    </w:p>
    <w:bookmarkStart w:id="106" w:name="page107"/>
    <w:bookmarkEnd w:id="106"/>
    <w:p>
      <w:pPr>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 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Continuation Period</w:t>
      </w:r>
      <w:r>
        <w:rPr>
          <w:rFonts w:ascii="Arial" w:cs="Arial" w:eastAsia="Arial" w:hAnsi="Arial"/>
          <w:sz w:val="19"/>
          <w:szCs w:val="19"/>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200" w:lineRule="exact"/>
        <w:rPr>
          <w:sz w:val="20"/>
          <w:szCs w:val="20"/>
          <w:color w:val="auto"/>
        </w:rPr>
      </w:pPr>
    </w:p>
    <w:p>
      <w:pPr>
        <w:spacing w:after="0" w:line="216" w:lineRule="exact"/>
        <w:rPr>
          <w:sz w:val="20"/>
          <w:szCs w:val="20"/>
          <w:color w:val="auto"/>
        </w:rPr>
      </w:pPr>
    </w:p>
    <w:p>
      <w:pPr>
        <w:ind w:left="580" w:firstLine="541"/>
        <w:spacing w:after="0" w:line="271" w:lineRule="auto"/>
        <w:tabs>
          <w:tab w:leader="none" w:pos="173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267" w:right="279" w:bottom="1440" w:gutter="0" w:footer="0" w:header="0"/>
        </w:sectPr>
      </w:pPr>
    </w:p>
    <w:bookmarkStart w:id="107" w:name="page108"/>
    <w:bookmarkEnd w:id="107"/>
    <w:p>
      <w:pPr>
        <w:ind w:left="580" w:right="20" w:firstLine="541"/>
        <w:spacing w:after="0" w:line="279" w:lineRule="auto"/>
        <w:tabs>
          <w:tab w:leader="none" w:pos="1806" w:val="left"/>
        </w:tabs>
        <w:numPr>
          <w:ilvl w:val="0"/>
          <w:numId w:val="10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51" w:lineRule="exact"/>
        <w:rPr>
          <w:sz w:val="20"/>
          <w:szCs w:val="20"/>
          <w:color w:val="auto"/>
        </w:rPr>
      </w:pPr>
    </w:p>
    <w:p>
      <w:pPr>
        <w:ind w:firstLine="571"/>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67" w:lineRule="exact"/>
        <w:rPr>
          <w:sz w:val="20"/>
          <w:szCs w:val="20"/>
          <w:color w:val="auto"/>
        </w:rPr>
      </w:pPr>
    </w:p>
    <w:p>
      <w:pPr>
        <w:ind w:right="20" w:firstLine="579"/>
        <w:spacing w:after="0" w:line="234" w:lineRule="auto"/>
        <w:tabs>
          <w:tab w:leader="none" w:pos="94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91" w:lineRule="exact"/>
        <w:rPr>
          <w:rFonts w:ascii="Arial" w:cs="Arial" w:eastAsia="Arial" w:hAnsi="Arial"/>
          <w:sz w:val="22"/>
          <w:szCs w:val="22"/>
          <w:color w:val="auto"/>
        </w:rPr>
      </w:pPr>
    </w:p>
    <w:p>
      <w:pPr>
        <w:ind w:firstLine="579"/>
        <w:spacing w:after="0" w:line="235" w:lineRule="auto"/>
        <w:tabs>
          <w:tab w:leader="none" w:pos="93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 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right="180" w:firstLine="579"/>
        <w:spacing w:after="0" w:line="235" w:lineRule="auto"/>
        <w:tabs>
          <w:tab w:leader="none" w:pos="87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8" w:lineRule="exact"/>
        <w:rPr>
          <w:sz w:val="20"/>
          <w:szCs w:val="20"/>
          <w:color w:val="auto"/>
        </w:rPr>
      </w:pPr>
    </w:p>
    <w:p>
      <w:pPr>
        <w:ind w:left="1300" w:hanging="721"/>
        <w:spacing w:after="0"/>
        <w:tabs>
          <w:tab w:leader="none" w:pos="130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as applicable,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right="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(i) conviction of the Executive of, or a guilty or nolo contendere plea (or the equivalent in a non-United States jurisdiction) by the Executive to, a felony (or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267" w:right="27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 in a non-United States jurisdiction), or of any other crime that legally prohibits the Executive from working for the Firm;</w:t>
      </w:r>
    </w:p>
    <w:p>
      <w:pPr>
        <w:spacing w:after="0" w:line="43" w:lineRule="exact"/>
        <w:rPr>
          <w:sz w:val="20"/>
          <w:szCs w:val="20"/>
          <w:color w:val="auto"/>
        </w:rPr>
      </w:pPr>
    </w:p>
    <w:p>
      <w:pPr>
        <w:ind w:right="40" w:firstLine="8"/>
        <w:spacing w:after="0" w:line="269" w:lineRule="auto"/>
        <w:tabs>
          <w:tab w:leader="none" w:pos="31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9"/>
          <w:szCs w:val="19"/>
          <w:u w:val="single" w:color="auto"/>
          <w:color w:val="auto"/>
        </w:rPr>
        <w:t>Applicable Board</w:t>
      </w:r>
      <w:r>
        <w:rPr>
          <w:rFonts w:ascii="Arial" w:cs="Arial" w:eastAsia="Arial" w:hAnsi="Arial"/>
          <w:sz w:val="19"/>
          <w:szCs w:val="19"/>
          <w:color w:val="auto"/>
        </w:rPr>
        <w:t>”) finding that, in the good faith opinion of the Applicable Board, circumstances constituting Cause exist.</w:t>
      </w:r>
    </w:p>
    <w:p>
      <w:pPr>
        <w:spacing w:after="0" w:line="200" w:lineRule="exact"/>
        <w:rPr>
          <w:sz w:val="20"/>
          <w:szCs w:val="20"/>
          <w:color w:val="auto"/>
        </w:rPr>
      </w:pPr>
    </w:p>
    <w:p>
      <w:pPr>
        <w:spacing w:after="0" w:line="209" w:lineRule="exact"/>
        <w:rPr>
          <w:sz w:val="20"/>
          <w:szCs w:val="20"/>
          <w:color w:val="auto"/>
        </w:rPr>
      </w:pPr>
    </w:p>
    <w:p>
      <w:pPr>
        <w:ind w:firstLine="571"/>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109" w:name="page110"/>
    <w:bookmarkEnd w:id="109"/>
    <w:p>
      <w:pPr>
        <w:ind w:right="60"/>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159" w:lineRule="exact"/>
        <w:rPr>
          <w:sz w:val="20"/>
          <w:szCs w:val="20"/>
          <w:color w:val="auto"/>
        </w:rPr>
      </w:pPr>
    </w:p>
    <w:p>
      <w:pPr>
        <w:ind w:firstLine="571"/>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of comparable size, or greater, to Lazard’s asset management group, on the other hand, and (B) such transaction is approved by the Board of Directors of Lazard, (iii) a material breach by the Firm of the terms of this Agreement, including any material failure by the Firm to comply with Section 3(c) of this Agreement or the nondisparagement covenant in Section 8 of this Agreement, or (iv) without the Executive’s written consent, any requirement that the Executive’s principal place of employment be relocated to a location that increases the Executive’s commute from his primary residence by more than thirty</w:t>
      </w:r>
    </w:p>
    <w:p>
      <w:pPr>
        <w:spacing w:after="0" w:line="7" w:lineRule="exact"/>
        <w:rPr>
          <w:sz w:val="20"/>
          <w:szCs w:val="20"/>
          <w:color w:val="auto"/>
        </w:rPr>
      </w:pPr>
    </w:p>
    <w:p>
      <w:pPr>
        <w:ind w:right="180" w:firstLine="8"/>
        <w:spacing w:after="0" w:line="243" w:lineRule="auto"/>
        <w:tabs>
          <w:tab w:leader="none" w:pos="41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4" w:lineRule="exact"/>
        <w:rPr>
          <w:rFonts w:ascii="Arial" w:cs="Arial" w:eastAsia="Arial" w:hAnsi="Arial"/>
          <w:sz w:val="21"/>
          <w:szCs w:val="21"/>
          <w:color w:val="auto"/>
        </w:rPr>
      </w:pPr>
    </w:p>
    <w:p>
      <w:pPr>
        <w:ind w:right="340" w:firstLine="579"/>
        <w:spacing w:after="0" w:line="251" w:lineRule="auto"/>
        <w:tabs>
          <w:tab w:leader="none" w:pos="1273"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Certain Limitations on Payments</w:t>
      </w:r>
      <w:r>
        <w:rPr>
          <w:rFonts w:ascii="Arial" w:cs="Arial" w:eastAsia="Arial" w:hAnsi="Arial"/>
          <w:sz w:val="22"/>
          <w:szCs w:val="22"/>
          <w:color w:val="auto"/>
        </w:rPr>
        <w:t>. In the event that it is determined by the reasonable computation by a nationally recognized certified public accounting firm that shall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by the Firm prior to any transaction constituting a change of control (which accounting firm shall in no event be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accounting firm for the entity seeking to effectuate such change of control) and reasonably acceptable to the Executive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Accountant</w:t>
      </w:r>
      <w:r>
        <w:rPr>
          <w:rFonts w:ascii="Arial" w:cs="Arial" w:eastAsia="Arial" w:hAnsi="Arial"/>
          <w:sz w:val="19"/>
          <w:szCs w:val="19"/>
          <w:color w:val="auto"/>
        </w:rPr>
        <w:t>”), which determination shall be certified by the Accountant and set forth in a certificate delivered to the Executive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setting forth in reasonable detail the basis of the Accountant’s determinations, that the aggregate amount of the payments,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distributions, benefits and entitlements in the nature of compensation (within the meaning of Section 280G(B)(2) of the Code)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Firm or any affiliate to or for the Executive’s benefit (including any payment, distribution, benefit or entitlement made by 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person or entity effecting a change of control), in each case, that constitute “parachute payments” within the meaning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280G of the Code (such payments, the “</w:t>
      </w:r>
      <w:r>
        <w:rPr>
          <w:rFonts w:ascii="Arial" w:cs="Arial" w:eastAsia="Arial" w:hAnsi="Arial"/>
          <w:sz w:val="19"/>
          <w:szCs w:val="19"/>
          <w:u w:val="single" w:color="auto"/>
          <w:color w:val="auto"/>
        </w:rPr>
        <w:t>Parachute Payments</w:t>
      </w:r>
      <w:r>
        <w:rPr>
          <w:rFonts w:ascii="Arial" w:cs="Arial" w:eastAsia="Arial" w:hAnsi="Arial"/>
          <w:sz w:val="19"/>
          <w:szCs w:val="19"/>
          <w:color w:val="auto"/>
        </w:rPr>
        <w:t>”) that, but for this Section 3(f), would be payable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Executive, exceeds the greatest amount of Parachute Payments that could be paid to the Executive without giving rise to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liability for any excise tax imposed by Section 4999 of the Code (or any successor provision thereto) or any similar tax imposed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 or local law (such tax or taxes being hereafter collectively referred to as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aggregate amount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Parachute Payments payable to the Executive shall equal the amount that produces the greatest after-tax benefit to the Executive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after taking into account first any positions to mitigate such Excise Tax (including mitigation under a “reasonable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analysis) and second any Excise Tax payable by the Executive. For the avoidance of doubt, this provision shall reduce the amount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Parachute Payments otherwise payable to the Executive, only if doing so would place the Executive in a better net after-tax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economic position as compared with not doing so (taking into account the Excise Tax payable in respect of such Parachute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Payments). The Firm shall reduce or eliminate the Parachute Payments, as necessary, by first reducing or eliminating the portion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Parachute Payments provided under this Agreement (the “</w:t>
      </w:r>
      <w:r>
        <w:rPr>
          <w:rFonts w:ascii="Arial" w:cs="Arial" w:eastAsia="Arial" w:hAnsi="Arial"/>
          <w:sz w:val="19"/>
          <w:szCs w:val="19"/>
          <w:u w:val="single" w:color="auto"/>
          <w:color w:val="auto"/>
        </w:rPr>
        <w:t>Agreement Payments</w:t>
      </w:r>
      <w:r>
        <w:rPr>
          <w:rFonts w:ascii="Arial" w:cs="Arial" w:eastAsia="Arial" w:hAnsi="Arial"/>
          <w:sz w:val="19"/>
          <w:szCs w:val="19"/>
          <w:color w:val="auto"/>
        </w:rPr>
        <w:t>”) that are payable in cash and then by reducing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eliminating the non-cash portion of the Agreement Payments, in each case, in reverse order beginning with payments or benefits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are to be paid the furthest in time from the Date of Termination. For purposes of reducing the Parachute Payments to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Executive, only the Agreement Payments (and no other Parachute Payments) shall be reduced.</w:t>
      </w:r>
    </w:p>
    <w:p>
      <w:pPr>
        <w:spacing w:after="0" w:line="188" w:lineRule="exact"/>
        <w:rPr>
          <w:sz w:val="20"/>
          <w:szCs w:val="20"/>
          <w:color w:val="auto"/>
        </w:rPr>
      </w:pPr>
    </w:p>
    <w:p>
      <w:pPr>
        <w:ind w:right="100" w:firstLine="571"/>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266" w:right="299" w:bottom="1440" w:gutter="0" w:footer="0" w:header="0"/>
        </w:sectPr>
      </w:pPr>
    </w:p>
    <w:bookmarkStart w:id="111" w:name="page112"/>
    <w:bookmarkEnd w:id="111"/>
    <w:p>
      <w:pPr>
        <w:ind w:left="-20" w:firstLine="579"/>
        <w:spacing w:after="0" w:line="268" w:lineRule="auto"/>
        <w:tabs>
          <w:tab w:leader="none" w:pos="1289"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9"/>
          <w:szCs w:val="19"/>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60" w:top="267" w:right="239" w:bottom="1440" w:gutter="0" w:footer="0" w:header="0"/>
        </w:sectPr>
      </w:pPr>
    </w:p>
    <w:bookmarkStart w:id="112" w:name="page113"/>
    <w:bookmarkEnd w:id="112"/>
    <w:p>
      <w:pPr>
        <w:ind w:right="2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Thereafter, the payments and benefits will continue, if applicable, for the relevant period set forth in this Agreement, as the case may be.</w:t>
      </w:r>
    </w:p>
    <w:p>
      <w:pPr>
        <w:spacing w:after="0" w:line="173" w:lineRule="exact"/>
        <w:rPr>
          <w:sz w:val="20"/>
          <w:szCs w:val="20"/>
          <w:color w:val="auto"/>
        </w:rPr>
      </w:pPr>
    </w:p>
    <w:p>
      <w:pPr>
        <w:ind w:right="20" w:firstLine="579"/>
        <w:spacing w:after="0" w:line="269" w:lineRule="auto"/>
        <w:tabs>
          <w:tab w:leader="none" w:pos="1219"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76" w:lineRule="exact"/>
        <w:rPr>
          <w:rFonts w:ascii="Arial" w:cs="Arial" w:eastAsia="Arial" w:hAnsi="Arial"/>
          <w:sz w:val="19"/>
          <w:szCs w:val="19"/>
          <w:color w:val="auto"/>
        </w:rPr>
      </w:pPr>
    </w:p>
    <w:p>
      <w:pPr>
        <w:ind w:firstLine="579"/>
        <w:spacing w:after="0" w:line="269" w:lineRule="auto"/>
        <w:tabs>
          <w:tab w:leader="none" w:pos="1219"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three months after the Date of Termination by the Firm without Cause or by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7" w:right="239" w:bottom="1440" w:gutter="0" w:footer="0" w:header="0"/>
        </w:sectPr>
      </w:pPr>
    </w:p>
    <w:bookmarkStart w:id="113" w:name="page114"/>
    <w:bookmarkEnd w:id="113"/>
    <w:p>
      <w:pPr>
        <w:ind w:right="20"/>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for Good Reason (such period, the “</w:t>
      </w:r>
      <w:r>
        <w:rPr>
          <w:rFonts w:ascii="Arial" w:cs="Arial" w:eastAsia="Arial" w:hAnsi="Arial"/>
          <w:sz w:val="19"/>
          <w:szCs w:val="19"/>
          <w:u w:val="single" w:color="auto"/>
          <w:color w:val="auto"/>
        </w:rPr>
        <w:t>Noncompete Restriction Period</w:t>
      </w:r>
      <w:r>
        <w:rPr>
          <w:rFonts w:ascii="Arial" w:cs="Arial" w:eastAsia="Arial" w:hAnsi="Arial"/>
          <w:sz w:val="19"/>
          <w:szCs w:val="19"/>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Arial" w:cs="Arial" w:eastAsia="Arial" w:hAnsi="Arial"/>
          <w:sz w:val="19"/>
          <w:szCs w:val="19"/>
          <w:u w:val="single" w:color="auto"/>
          <w:color w:val="auto"/>
        </w:rPr>
        <w:t>Competing Activity</w:t>
      </w:r>
      <w:r>
        <w:rPr>
          <w:rFonts w:ascii="Arial" w:cs="Arial" w:eastAsia="Arial" w:hAnsi="Arial"/>
          <w:sz w:val="19"/>
          <w:szCs w:val="19"/>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Arial" w:cs="Arial" w:eastAsia="Arial" w:hAnsi="Arial"/>
          <w:sz w:val="19"/>
          <w:szCs w:val="19"/>
          <w:u w:val="single" w:color="auto"/>
          <w:color w:val="auto"/>
        </w:rPr>
        <w:t>Competitive Enterprise</w:t>
      </w:r>
      <w:r>
        <w:rPr>
          <w:rFonts w:ascii="Arial" w:cs="Arial" w:eastAsia="Arial" w:hAnsi="Arial"/>
          <w:sz w:val="19"/>
          <w:szCs w:val="19"/>
          <w:color w:val="auto"/>
        </w:rPr>
        <w:t>” shall mean a business (or business unit) that (1) engages in any activity or</w:t>
      </w:r>
    </w:p>
    <w:p>
      <w:pPr>
        <w:spacing w:after="0" w:line="5" w:lineRule="exact"/>
        <w:rPr>
          <w:sz w:val="20"/>
          <w:szCs w:val="20"/>
          <w:color w:val="auto"/>
        </w:rPr>
      </w:pPr>
    </w:p>
    <w:p>
      <w:pPr>
        <w:ind w:firstLine="8"/>
        <w:spacing w:after="0" w:line="232" w:lineRule="auto"/>
        <w:tabs>
          <w:tab w:leader="none" w:pos="30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88" w:lineRule="exact"/>
        <w:rPr>
          <w:rFonts w:ascii="Arial" w:cs="Arial" w:eastAsia="Arial" w:hAnsi="Arial"/>
          <w:sz w:val="22"/>
          <w:szCs w:val="22"/>
          <w:color w:val="auto"/>
        </w:rPr>
      </w:pPr>
    </w:p>
    <w:p>
      <w:pPr>
        <w:ind w:firstLine="579"/>
        <w:spacing w:after="0" w:line="238" w:lineRule="auto"/>
        <w:tabs>
          <w:tab w:leader="none" w:pos="130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right="20" w:firstLine="579"/>
        <w:spacing w:after="0" w:line="273" w:lineRule="auto"/>
        <w:tabs>
          <w:tab w:leader="none" w:pos="121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56" w:lineRule="exact"/>
        <w:rPr>
          <w:rFonts w:ascii="Arial" w:cs="Arial" w:eastAsia="Arial" w:hAnsi="Arial"/>
          <w:sz w:val="19"/>
          <w:szCs w:val="19"/>
          <w:color w:val="auto"/>
        </w:rPr>
      </w:pPr>
    </w:p>
    <w:p>
      <w:pPr>
        <w:ind w:right="440" w:firstLine="579"/>
        <w:spacing w:after="0"/>
        <w:tabs>
          <w:tab w:leader="none" w:pos="1219"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 Hire of Employees</w:t>
      </w:r>
      <w:r>
        <w:rPr>
          <w:rFonts w:ascii="Arial" w:cs="Arial" w:eastAsia="Arial" w:hAnsi="Arial"/>
          <w:sz w:val="22"/>
          <w:szCs w:val="22"/>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2"/>
          <w:szCs w:val="22"/>
          <w:u w:val="single" w:color="auto"/>
          <w:color w:val="auto"/>
        </w:rPr>
        <w:t>No Hire</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Restriction Period</w:t>
      </w:r>
      <w:r>
        <w:rPr>
          <w:rFonts w:ascii="Arial" w:cs="Arial" w:eastAsia="Arial" w:hAnsi="Arial"/>
          <w:sz w:val="22"/>
          <w:szCs w:val="22"/>
          <w:color w:val="auto"/>
        </w:rPr>
        <w:t>”), the Executive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267" w:right="259" w:bottom="1440" w:gutter="0" w:footer="0" w:header="0"/>
        </w:sectPr>
      </w:pPr>
    </w:p>
    <w:bookmarkStart w:id="114" w:name="page115"/>
    <w:bookmarkEnd w:id="114"/>
    <w:p>
      <w:pPr>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88" w:lineRule="exact"/>
        <w:rPr>
          <w:sz w:val="20"/>
          <w:szCs w:val="20"/>
          <w:color w:val="auto"/>
        </w:rPr>
      </w:pPr>
    </w:p>
    <w:p>
      <w:pPr>
        <w:ind w:right="40" w:firstLine="579"/>
        <w:spacing w:after="0" w:line="270" w:lineRule="auto"/>
        <w:tabs>
          <w:tab w:leader="none" w:pos="1219"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Nondisparagement; Transfer of Client Relationships</w:t>
      </w:r>
      <w:r>
        <w:rPr>
          <w:rFonts w:ascii="Arial" w:cs="Arial" w:eastAsia="Arial" w:hAnsi="Arial"/>
          <w:sz w:val="19"/>
          <w:szCs w:val="19"/>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120" w:firstLine="579"/>
        <w:spacing w:after="0" w:line="236" w:lineRule="auto"/>
        <w:tabs>
          <w:tab w:leader="none" w:pos="1219"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right="80" w:firstLine="579"/>
        <w:spacing w:after="0" w:line="251" w:lineRule="auto"/>
        <w:tabs>
          <w:tab w:leader="none" w:pos="1327"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Covenants Generally</w:t>
      </w:r>
      <w:r>
        <w:rPr>
          <w:rFonts w:ascii="Arial" w:cs="Arial" w:eastAsia="Arial" w:hAnsi="Arial"/>
          <w:sz w:val="22"/>
          <w:szCs w:val="22"/>
          <w:color w:val="auto"/>
        </w:rPr>
        <w:t>. (a) The Executive’s covenants as set forth in Sections 4 through 9 of this Agreement are from time to time referred to herein as the “</w:t>
      </w:r>
      <w:r>
        <w:rPr>
          <w:rFonts w:ascii="Arial" w:cs="Arial" w:eastAsia="Arial" w:hAnsi="Arial"/>
          <w:sz w:val="22"/>
          <w:szCs w:val="22"/>
          <w:u w:val="single" w:color="auto"/>
          <w:color w:val="auto"/>
        </w:rPr>
        <w:t>Covenants</w:t>
      </w:r>
      <w:r>
        <w:rPr>
          <w:rFonts w:ascii="Arial" w:cs="Arial" w:eastAsia="Arial" w:hAnsi="Arial"/>
          <w:sz w:val="22"/>
          <w:szCs w:val="22"/>
          <w:color w:val="auto"/>
        </w:rPr>
        <w:t>”. If 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7" w:right="239" w:bottom="1440" w:gutter="0" w:footer="0" w:header="0"/>
        </w:sectPr>
      </w:pPr>
    </w:p>
    <w:bookmarkStart w:id="115" w:name="page116"/>
    <w:bookmarkEnd w:id="115"/>
    <w:p>
      <w:pPr>
        <w:ind w:right="4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88" w:lineRule="exact"/>
        <w:rPr>
          <w:sz w:val="20"/>
          <w:szCs w:val="20"/>
          <w:color w:val="auto"/>
        </w:rPr>
      </w:pPr>
    </w:p>
    <w:p>
      <w:pPr>
        <w:ind w:firstLine="579"/>
        <w:spacing w:after="0" w:line="272" w:lineRule="auto"/>
        <w:tabs>
          <w:tab w:leader="none" w:pos="130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120" w:firstLine="579"/>
        <w:spacing w:after="0" w:line="272" w:lineRule="auto"/>
        <w:tabs>
          <w:tab w:leader="none" w:pos="129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62" w:lineRule="exact"/>
        <w:rPr>
          <w:sz w:val="20"/>
          <w:szCs w:val="20"/>
          <w:color w:val="auto"/>
        </w:rPr>
      </w:pPr>
    </w:p>
    <w:p>
      <w:pPr>
        <w:ind w:right="260" w:firstLine="579"/>
        <w:spacing w:after="0" w:line="297" w:lineRule="auto"/>
        <w:tabs>
          <w:tab w:leader="none" w:pos="1319"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67" w:right="239" w:bottom="1440" w:gutter="0" w:footer="0" w:header="0"/>
        </w:sectPr>
      </w:pPr>
    </w:p>
    <w:bookmarkStart w:id="116" w:name="page117"/>
    <w:bookmarkEnd w:id="116"/>
    <w:p>
      <w:pPr>
        <w:ind w:right="4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8" w:lineRule="exact"/>
        <w:rPr>
          <w:sz w:val="20"/>
          <w:szCs w:val="20"/>
          <w:color w:val="auto"/>
        </w:rPr>
      </w:pPr>
    </w:p>
    <w:p>
      <w:pPr>
        <w:ind w:right="20" w:firstLine="579"/>
        <w:spacing w:after="0" w:line="271" w:lineRule="auto"/>
        <w:tabs>
          <w:tab w:leader="none" w:pos="1327"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9"/>
          <w:szCs w:val="19"/>
          <w:u w:val="single" w:color="auto"/>
          <w:color w:val="auto"/>
        </w:rPr>
        <w:t>Employment Related Matters</w:t>
      </w:r>
      <w:r>
        <w:rPr>
          <w:rFonts w:ascii="Arial" w:cs="Arial" w:eastAsia="Arial" w:hAnsi="Arial"/>
          <w:sz w:val="19"/>
          <w:szCs w:val="19"/>
          <w:color w:val="auto"/>
        </w:rPr>
        <w:t>”), shall be finally settled by arbitration in New York City before, and in accordance with the rules then obtaining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or, if FINRA declines to arbitrate the matter,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promptly repay to Lazard Group all such amounts if the Executive fails to prevail on at least one material issue in dispute in any such contest.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579"/>
        <w:spacing w:after="0" w:line="274" w:lineRule="auto"/>
        <w:tabs>
          <w:tab w:leader="none" w:pos="1327"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267" w:right="299" w:bottom="1440" w:gutter="0" w:footer="0" w:header="0"/>
        </w:sectPr>
      </w:pPr>
    </w:p>
    <w:bookmarkStart w:id="117" w:name="page118"/>
    <w:bookmarkEnd w:id="117"/>
    <w:p>
      <w:pPr>
        <w:ind w:left="-20" w:firstLine="579"/>
        <w:spacing w:after="0" w:line="245" w:lineRule="auto"/>
        <w:tabs>
          <w:tab w:leader="none" w:pos="1307"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2" w:lineRule="exact"/>
        <w:rPr>
          <w:sz w:val="20"/>
          <w:szCs w:val="20"/>
          <w:color w:val="auto"/>
        </w:rPr>
      </w:pPr>
    </w:p>
    <w:p>
      <w:pPr>
        <w:ind w:left="-20" w:right="40" w:firstLine="579"/>
        <w:spacing w:after="0" w:line="275" w:lineRule="auto"/>
        <w:tabs>
          <w:tab w:leader="none" w:pos="128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58" w:lineRule="exact"/>
        <w:rPr>
          <w:sz w:val="20"/>
          <w:szCs w:val="20"/>
          <w:color w:val="auto"/>
        </w:rPr>
      </w:pPr>
    </w:p>
    <w:p>
      <w:pPr>
        <w:ind w:left="-20" w:right="440" w:firstLine="579"/>
        <w:spacing w:after="0" w:line="238" w:lineRule="auto"/>
        <w:tabs>
          <w:tab w:leader="none" w:pos="1307"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ind w:left="-20" w:right="280" w:firstLine="579"/>
        <w:spacing w:after="0" w:line="251" w:lineRule="auto"/>
        <w:tabs>
          <w:tab w:leader="none" w:pos="1307"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shall supersede any other agreement, written or oral, pertaining to the matters covered herein.</w:t>
      </w:r>
    </w:p>
    <w:p>
      <w:pPr>
        <w:spacing w:after="0" w:line="173" w:lineRule="exact"/>
        <w:rPr>
          <w:sz w:val="20"/>
          <w:szCs w:val="20"/>
          <w:color w:val="auto"/>
        </w:rPr>
      </w:pPr>
    </w:p>
    <w:p>
      <w:pPr>
        <w:ind w:left="-20" w:right="140" w:firstLine="579"/>
        <w:spacing w:after="0"/>
        <w:tabs>
          <w:tab w:leader="none" w:pos="128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left="-20" w:firstLine="579"/>
        <w:spacing w:after="0" w:line="238" w:lineRule="auto"/>
        <w:tabs>
          <w:tab w:leader="none" w:pos="127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60" w:top="267" w:right="259" w:bottom="1440" w:gutter="0" w:footer="0" w:header="0"/>
        </w:sectPr>
      </w:pPr>
    </w:p>
    <w:bookmarkStart w:id="118" w:name="page119"/>
    <w:bookmarkEnd w:id="118"/>
    <w:p>
      <w:pPr>
        <w:ind w:left="-20" w:firstLine="579"/>
        <w:spacing w:after="0" w:line="272" w:lineRule="auto"/>
        <w:tabs>
          <w:tab w:leader="none" w:pos="1289" w:val="left"/>
        </w:tabs>
        <w:numPr>
          <w:ilvl w:val="0"/>
          <w:numId w:val="12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9"/>
          <w:szCs w:val="19"/>
          <w:u w:val="single" w:color="auto"/>
          <w:color w:val="auto"/>
        </w:rPr>
        <w:t>provided</w:t>
      </w:r>
      <w:r>
        <w:rPr>
          <w:rFonts w:ascii="Arial" w:cs="Arial" w:eastAsia="Arial" w:hAnsi="Arial"/>
          <w:sz w:val="19"/>
          <w:szCs w:val="19"/>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61" w:lineRule="exact"/>
        <w:rPr>
          <w:rFonts w:ascii="Arial" w:cs="Arial" w:eastAsia="Arial" w:hAnsi="Arial"/>
          <w:sz w:val="19"/>
          <w:szCs w:val="19"/>
          <w:color w:val="auto"/>
        </w:rPr>
      </w:pPr>
    </w:p>
    <w:p>
      <w:pPr>
        <w:ind w:left="-20" w:right="20" w:firstLine="579"/>
        <w:spacing w:after="0" w:line="258" w:lineRule="auto"/>
        <w:tabs>
          <w:tab w:leader="none" w:pos="127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66" w:lineRule="exact"/>
        <w:rPr>
          <w:rFonts w:ascii="Arial" w:cs="Arial" w:eastAsia="Arial" w:hAnsi="Arial"/>
          <w:sz w:val="21"/>
          <w:szCs w:val="21"/>
          <w:color w:val="auto"/>
        </w:rPr>
      </w:pPr>
    </w:p>
    <w:p>
      <w:pPr>
        <w:ind w:left="-20" w:firstLine="579"/>
        <w:spacing w:after="0" w:line="248" w:lineRule="auto"/>
        <w:tabs>
          <w:tab w:leader="none" w:pos="125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77" w:lineRule="exact"/>
        <w:rPr>
          <w:rFonts w:ascii="Arial" w:cs="Arial" w:eastAsia="Arial" w:hAnsi="Arial"/>
          <w:sz w:val="21"/>
          <w:szCs w:val="21"/>
          <w:color w:val="auto"/>
        </w:rPr>
      </w:pPr>
    </w:p>
    <w:p>
      <w:pPr>
        <w:ind w:left="-20" w:right="460" w:firstLine="579"/>
        <w:spacing w:after="0" w:line="274" w:lineRule="auto"/>
        <w:tabs>
          <w:tab w:leader="none" w:pos="128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left="-20" w:right="60" w:firstLine="579"/>
        <w:spacing w:after="0" w:line="252" w:lineRule="auto"/>
        <w:tabs>
          <w:tab w:leader="none" w:pos="128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left="-20" w:right="40" w:firstLine="579"/>
        <w:spacing w:after="0" w:line="236" w:lineRule="auto"/>
        <w:tabs>
          <w:tab w:leader="none" w:pos="124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after-tax cost to the Executive of such benefits be greater than the cost applicable to similarly situated executives of the Firm who have not terminated employment or, following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60" w:top="267" w:right="259" w:bottom="1440" w:gutter="0" w:footer="0" w:header="0"/>
        </w:sectPr>
      </w:pPr>
    </w:p>
    <w:bookmarkStart w:id="119" w:name="page120"/>
    <w:bookmarkEnd w:id="119"/>
    <w:p>
      <w:pPr>
        <w:ind w:right="7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Control, the cost applicable to the Executive immediately prior to the Change in Control, if more favorable to the Executive.</w:t>
      </w:r>
    </w:p>
    <w:p>
      <w:pPr>
        <w:spacing w:after="0" w:line="173" w:lineRule="exact"/>
        <w:rPr>
          <w:sz w:val="20"/>
          <w:szCs w:val="20"/>
          <w:color w:val="auto"/>
        </w:rPr>
      </w:pPr>
    </w:p>
    <w:p>
      <w:pPr>
        <w:ind w:right="220" w:firstLine="579"/>
        <w:spacing w:after="0" w:line="328" w:lineRule="auto"/>
        <w:tabs>
          <w:tab w:leader="none" w:pos="126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05" w:lineRule="exact"/>
        <w:rPr>
          <w:rFonts w:ascii="Arial" w:cs="Arial" w:eastAsia="Arial" w:hAnsi="Arial"/>
          <w:sz w:val="19"/>
          <w:szCs w:val="19"/>
          <w:color w:val="auto"/>
        </w:rPr>
      </w:pPr>
    </w:p>
    <w:p>
      <w:pPr>
        <w:ind w:right="100" w:firstLine="579"/>
        <w:spacing w:after="0" w:line="279" w:lineRule="auto"/>
        <w:tabs>
          <w:tab w:leader="none" w:pos="130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50" w:lineRule="exact"/>
        <w:rPr>
          <w:rFonts w:ascii="Arial" w:cs="Arial" w:eastAsia="Arial" w:hAnsi="Arial"/>
          <w:sz w:val="19"/>
          <w:szCs w:val="19"/>
          <w:color w:val="auto"/>
        </w:rPr>
      </w:pPr>
    </w:p>
    <w:p>
      <w:pPr>
        <w:ind w:firstLine="579"/>
        <w:spacing w:after="0" w:line="274" w:lineRule="auto"/>
        <w:tabs>
          <w:tab w:leader="none" w:pos="126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59" w:lineRule="exact"/>
        <w:rPr>
          <w:sz w:val="20"/>
          <w:szCs w:val="20"/>
          <w:color w:val="auto"/>
        </w:rPr>
      </w:pPr>
    </w:p>
    <w:p>
      <w:pPr>
        <w:ind w:right="200" w:firstLine="579"/>
        <w:spacing w:after="0" w:line="238" w:lineRule="auto"/>
        <w:tabs>
          <w:tab w:leader="none" w:pos="132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67" w:right="239" w:bottom="1440" w:gutter="0" w:footer="0" w:header="0"/>
        </w:sectPr>
      </w:pPr>
    </w:p>
    <w:bookmarkStart w:id="120" w:name="page121"/>
    <w:bookmarkEnd w:id="120"/>
    <w:p>
      <w:pPr>
        <w:ind w:right="220"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General Counsel</w:t>
            </w:r>
          </w:p>
        </w:tc>
      </w:tr>
    </w:tbl>
    <w:p>
      <w:pPr>
        <w:spacing w:after="0" w:line="34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GROUP LLC (on its behalf,</w:t>
      </w:r>
    </w:p>
    <w:p>
      <w:pPr>
        <w:ind w:left="6860"/>
        <w:spacing w:after="0" w:line="238" w:lineRule="auto"/>
        <w:rPr>
          <w:sz w:val="20"/>
          <w:szCs w:val="20"/>
          <w:color w:val="auto"/>
        </w:rPr>
      </w:pPr>
      <w:r>
        <w:rPr>
          <w:rFonts w:ascii="Arial" w:cs="Arial" w:eastAsia="Arial" w:hAnsi="Arial"/>
          <w:sz w:val="22"/>
          <w:szCs w:val="22"/>
          <w:color w:val="auto"/>
        </w:rPr>
        <w:t>and on behalf of its subsidiaries and</w:t>
      </w:r>
    </w:p>
    <w:p>
      <w:pPr>
        <w:ind w:left="6860"/>
        <w:spacing w:after="0"/>
        <w:rPr>
          <w:sz w:val="20"/>
          <w:szCs w:val="20"/>
          <w:color w:val="auto"/>
        </w:rPr>
      </w:pPr>
      <w:r>
        <w:rPr>
          <w:rFonts w:ascii="Arial" w:cs="Arial" w:eastAsia="Arial" w:hAnsi="Arial"/>
          <w:sz w:val="22"/>
          <w:szCs w:val="22"/>
          <w:color w:val="auto"/>
        </w:rPr>
        <w:t>affiliates),</w:t>
      </w:r>
    </w:p>
    <w:p>
      <w:pPr>
        <w:spacing w:after="0" w:line="202"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gridSpan w:val="2"/>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General Counsel</w:t>
            </w:r>
          </w:p>
        </w:tc>
      </w:tr>
      <w:tr>
        <w:trPr>
          <w:trHeight w:val="908"/>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Ashish Bhutani</w:t>
            </w:r>
          </w:p>
        </w:tc>
      </w:tr>
      <w:tr>
        <w:trPr>
          <w:trHeight w:val="268"/>
        </w:trPr>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22"/>
                <w:szCs w:val="22"/>
                <w:color w:val="auto"/>
              </w:rPr>
              <w:t>Ashish Bhutani</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267" w:right="239" w:bottom="1440" w:gutter="0" w:footer="0" w:header="0"/>
        </w:sectPr>
      </w:pPr>
    </w:p>
    <w:bookmarkStart w:id="121" w:name="page122"/>
    <w:bookmarkEnd w:id="121"/>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4"/>
              </w:rPr>
              <w:t>Exhibit A</w:t>
            </w:r>
          </w:p>
        </w:tc>
      </w:tr>
      <w:tr>
        <w:trPr>
          <w:trHeight w:val="490"/>
        </w:trPr>
        <w:tc>
          <w:tcPr>
            <w:tcW w:w="2660" w:type="dxa"/>
            <w:vAlign w:val="bottom"/>
          </w:tcPr>
          <w:p>
            <w:pPr>
              <w:spacing w:after="0"/>
              <w:rPr>
                <w:sz w:val="24"/>
                <w:szCs w:val="24"/>
                <w:color w:val="auto"/>
              </w:rPr>
            </w:pPr>
          </w:p>
        </w:tc>
        <w:tc>
          <w:tcPr>
            <w:tcW w:w="8180" w:type="dxa"/>
            <w:vAlign w:val="bottom"/>
            <w:gridSpan w:val="8"/>
          </w:tcPr>
          <w:p>
            <w:pPr>
              <w:jc w:val="right"/>
              <w:ind w:right="3900"/>
              <w:spacing w:after="0"/>
              <w:rPr>
                <w:sz w:val="20"/>
                <w:szCs w:val="20"/>
                <w:color w:val="auto"/>
              </w:rPr>
            </w:pPr>
            <w:r>
              <w:rPr>
                <w:rFonts w:ascii="Arial" w:cs="Arial" w:eastAsia="Arial" w:hAnsi="Arial"/>
                <w:sz w:val="22"/>
                <w:szCs w:val="22"/>
                <w:b w:val="1"/>
                <w:bCs w:val="1"/>
                <w:color w:val="auto"/>
              </w:rPr>
              <w:t>WAIVER AND GENERAL RELEASE</w:t>
            </w:r>
          </w:p>
        </w:tc>
      </w:tr>
      <w:tr>
        <w:trPr>
          <w:trHeight w:val="409"/>
        </w:trPr>
        <w:tc>
          <w:tcPr>
            <w:tcW w:w="4900" w:type="dxa"/>
            <w:vAlign w:val="bottom"/>
            <w:gridSpan w:val="3"/>
          </w:tcPr>
          <w:p>
            <w:pPr>
              <w:spacing w:after="0"/>
              <w:rPr>
                <w:sz w:val="20"/>
                <w:szCs w:val="20"/>
                <w:color w:val="auto"/>
              </w:rPr>
            </w:pPr>
            <w:r>
              <w:rPr>
                <w:rFonts w:ascii="Arial" w:cs="Arial" w:eastAsia="Arial" w:hAnsi="Arial"/>
                <w:sz w:val="22"/>
                <w:szCs w:val="22"/>
                <w:color w:val="auto"/>
                <w:w w:val="89"/>
              </w:rPr>
              <w:t>Waiver and General Release (“Agreement”), dated as of</w:t>
            </w:r>
          </w:p>
        </w:tc>
        <w:tc>
          <w:tcPr>
            <w:tcW w:w="640" w:type="dxa"/>
            <w:vAlign w:val="bottom"/>
          </w:tcPr>
          <w:p>
            <w:pPr>
              <w:spacing w:after="0"/>
              <w:rPr>
                <w:sz w:val="24"/>
                <w:szCs w:val="24"/>
                <w:color w:val="auto"/>
              </w:rPr>
            </w:pPr>
          </w:p>
        </w:tc>
        <w:tc>
          <w:tcPr>
            <w:tcW w:w="5300" w:type="dxa"/>
            <w:vAlign w:val="bottom"/>
            <w:gridSpan w:val="5"/>
          </w:tcPr>
          <w:p>
            <w:pPr>
              <w:jc w:val="right"/>
              <w:spacing w:after="0"/>
              <w:rPr>
                <w:sz w:val="20"/>
                <w:szCs w:val="20"/>
                <w:color w:val="auto"/>
              </w:rPr>
            </w:pPr>
            <w:r>
              <w:rPr>
                <w:rFonts w:ascii="Arial" w:cs="Arial" w:eastAsia="Arial" w:hAnsi="Arial"/>
                <w:sz w:val="22"/>
                <w:szCs w:val="22"/>
                <w:color w:val="auto"/>
                <w:w w:val="91"/>
              </w:rPr>
              <w:t>, by and between Ashish Bhutani (“Employee” or “you”) and</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82" w:lineRule="auto"/>
        <w:rPr>
          <w:sz w:val="20"/>
          <w:szCs w:val="20"/>
          <w:color w:val="auto"/>
        </w:rPr>
      </w:pPr>
      <w:r>
        <w:rPr>
          <w:rFonts w:ascii="Arial" w:cs="Arial" w:eastAsia="Arial" w:hAnsi="Arial"/>
          <w:sz w:val="19"/>
          <w:szCs w:val="19"/>
          <w:color w:val="auto"/>
        </w:rPr>
        <w:t>Lazard Group LLC (the “Company”)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48" w:lineRule="exact"/>
        <w:rPr>
          <w:sz w:val="20"/>
          <w:szCs w:val="20"/>
          <w:color w:val="auto"/>
        </w:rPr>
      </w:pPr>
    </w:p>
    <w:p>
      <w:pPr>
        <w:ind w:left="1220" w:hanging="641"/>
        <w:spacing w:after="0"/>
        <w:tabs>
          <w:tab w:leader="none" w:pos="122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Concluding Employment</w:t>
      </w:r>
      <w:r>
        <w:rPr>
          <w:rFonts w:ascii="Arial" w:cs="Arial" w:eastAsia="Arial" w:hAnsi="Arial"/>
          <w:sz w:val="21"/>
          <w:szCs w:val="21"/>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-10160</wp:posOffset>
            </wp:positionV>
            <wp:extent cx="4114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sz w:val="20"/>
          <w:szCs w:val="20"/>
          <w:color w:val="auto"/>
        </w:rPr>
      </w:pPr>
    </w:p>
    <w:p>
      <w:pPr>
        <w:ind w:right="160" w:firstLine="579"/>
        <w:spacing w:after="0" w:line="282" w:lineRule="auto"/>
        <w:tabs>
          <w:tab w:leader="none" w:pos="121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60" w:firstLine="579"/>
        <w:spacing w:after="0" w:line="282" w:lineRule="auto"/>
        <w:tabs>
          <w:tab w:leader="none" w:pos="121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47" w:lineRule="exact"/>
        <w:rPr>
          <w:rFonts w:ascii="Arial" w:cs="Arial" w:eastAsia="Arial" w:hAnsi="Arial"/>
          <w:sz w:val="19"/>
          <w:szCs w:val="19"/>
          <w:color w:val="auto"/>
        </w:rPr>
      </w:pPr>
    </w:p>
    <w:p>
      <w:pPr>
        <w:ind w:right="40" w:firstLine="579"/>
        <w:spacing w:after="0" w:line="236" w:lineRule="auto"/>
        <w:tabs>
          <w:tab w:leader="none" w:pos="121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2"/>
          <w:szCs w:val="22"/>
          <w:u w:val="single" w:color="auto"/>
          <w:color w:val="auto"/>
        </w:rPr>
        <w:t>Releasors</w:t>
      </w:r>
      <w:r>
        <w:rPr>
          <w:rFonts w:ascii="Arial" w:cs="Arial" w:eastAsia="Arial" w:hAnsi="Arial"/>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38" w:right="239" w:bottom="1440" w:gutter="0" w:footer="0" w:header="0"/>
        </w:sectPr>
      </w:pPr>
    </w:p>
    <w:bookmarkStart w:id="122" w:name="page123"/>
    <w:bookmarkEnd w:id="122"/>
    <w:p>
      <w:pPr>
        <w:ind w:right="94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05" w:lineRule="exact"/>
        <w:rPr>
          <w:sz w:val="20"/>
          <w:szCs w:val="20"/>
          <w:color w:val="auto"/>
        </w:rPr>
      </w:pPr>
    </w:p>
    <w:p>
      <w:pPr>
        <w:jc w:val="both"/>
        <w:ind w:firstLine="1332"/>
        <w:spacing w:after="0" w:line="272" w:lineRule="auto"/>
        <w:tabs>
          <w:tab w:leader="none" w:pos="2163" w:val="left"/>
        </w:tabs>
        <w:numPr>
          <w:ilvl w:val="2"/>
          <w:numId w:val="125"/>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263"/>
        <w:spacing w:after="0" w:line="272" w:lineRule="auto"/>
        <w:tabs>
          <w:tab w:leader="none" w:pos="1917" w:val="left"/>
        </w:tabs>
        <w:numPr>
          <w:ilvl w:val="1"/>
          <w:numId w:val="126"/>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61" w:lineRule="exact"/>
        <w:rPr>
          <w:rFonts w:ascii="Arial" w:cs="Arial" w:eastAsia="Arial" w:hAnsi="Arial"/>
          <w:sz w:val="19"/>
          <w:szCs w:val="19"/>
          <w:color w:val="auto"/>
        </w:rPr>
      </w:pPr>
    </w:p>
    <w:p>
      <w:pPr>
        <w:jc w:val="both"/>
        <w:ind w:firstLine="579"/>
        <w:spacing w:after="0" w:line="236" w:lineRule="auto"/>
        <w:tabs>
          <w:tab w:leader="none" w:pos="1232"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267" w:right="239" w:bottom="1440" w:gutter="0" w:footer="0" w:header="0"/>
        </w:sectPr>
      </w:pPr>
    </w:p>
    <w:bookmarkStart w:id="123" w:name="page124"/>
    <w:bookmarkEnd w:id="123"/>
    <w:p>
      <w:pPr>
        <w:jc w:val="both"/>
        <w:ind w:firstLine="579"/>
        <w:spacing w:after="0" w:line="249" w:lineRule="auto"/>
        <w:tabs>
          <w:tab w:leader="none" w:pos="1354"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jc w:val="both"/>
        <w:ind w:firstLine="1250"/>
        <w:spacing w:after="0" w:line="273" w:lineRule="auto"/>
        <w:tabs>
          <w:tab w:leader="none" w:pos="200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Arial" w:cs="Arial" w:eastAsia="Arial" w:hAnsi="Arial"/>
          <w:sz w:val="22"/>
          <w:szCs w:val="22"/>
          <w:color w:val="auto"/>
        </w:rPr>
        <w:t>requirements, based on the written legal advice of your counsel, you will give prompt notice of such request to</w:t>
      </w:r>
      <w:r>
        <w:rPr>
          <w:sz w:val="20"/>
          <w:szCs w:val="20"/>
          <w:color w:val="auto"/>
        </w:rPr>
        <w:tab/>
      </w:r>
      <w:r>
        <w:rPr>
          <w:rFonts w:ascii="Arial" w:cs="Arial" w:eastAsia="Arial" w:hAnsi="Arial"/>
          <w:sz w:val="19"/>
          <w:szCs w:val="19"/>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7" w:lineRule="exact"/>
        <w:rPr>
          <w:sz w:val="20"/>
          <w:szCs w:val="20"/>
          <w:color w:val="auto"/>
        </w:rPr>
      </w:pPr>
    </w:p>
    <w:p>
      <w:pPr>
        <w:jc w:val="both"/>
        <w:ind w:firstLine="579"/>
        <w:spacing w:after="0" w:line="297" w:lineRule="auto"/>
        <w:tabs>
          <w:tab w:leader="none" w:pos="128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34" w:lineRule="exact"/>
        <w:rPr>
          <w:rFonts w:ascii="Arial" w:cs="Arial" w:eastAsia="Arial" w:hAnsi="Arial"/>
          <w:sz w:val="19"/>
          <w:szCs w:val="19"/>
          <w:color w:val="auto"/>
        </w:rPr>
      </w:pPr>
    </w:p>
    <w:p>
      <w:pPr>
        <w:jc w:val="both"/>
        <w:ind w:firstLine="579"/>
        <w:spacing w:after="0" w:line="272" w:lineRule="auto"/>
        <w:tabs>
          <w:tab w:leader="none" w:pos="1313"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579"/>
        <w:spacing w:after="0" w:line="236" w:lineRule="auto"/>
        <w:tabs>
          <w:tab w:leader="none" w:pos="136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266" w:right="239" w:bottom="1440" w:gutter="0" w:footer="0" w:header="0"/>
        </w:sectPr>
      </w:pPr>
    </w:p>
    <w:bookmarkStart w:id="124" w:name="page125"/>
    <w:bookmarkEnd w:id="124"/>
    <w:p>
      <w:pPr>
        <w:ind w:firstLine="579"/>
        <w:spacing w:after="0" w:line="251" w:lineRule="auto"/>
        <w:tabs>
          <w:tab w:leader="none" w:pos="1327"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579"/>
        <w:spacing w:after="0"/>
        <w:tabs>
          <w:tab w:leader="none" w:pos="1535"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jc w:val="both"/>
        <w:ind w:right="20" w:firstLine="1624"/>
        <w:spacing w:after="0" w:line="258" w:lineRule="auto"/>
        <w:rPr>
          <w:rFonts w:ascii="Arial" w:cs="Arial" w:eastAsia="Arial" w:hAnsi="Arial"/>
          <w:sz w:val="22"/>
          <w:szCs w:val="22"/>
          <w:color w:val="auto"/>
        </w:rPr>
      </w:pPr>
      <w:r>
        <w:rPr>
          <w:rFonts w:ascii="Arial" w:cs="Arial" w:eastAsia="Arial" w:hAnsi="Arial"/>
          <w:sz w:val="21"/>
          <w:szCs w:val="21"/>
          <w:color w:val="auto"/>
        </w:rPr>
        <w:t>b. 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66" w:lineRule="exact"/>
        <w:rPr>
          <w:rFonts w:ascii="Arial" w:cs="Arial" w:eastAsia="Arial" w:hAnsi="Arial"/>
          <w:sz w:val="22"/>
          <w:szCs w:val="22"/>
          <w:color w:val="auto"/>
        </w:rPr>
      </w:pPr>
    </w:p>
    <w:p>
      <w:pPr>
        <w:ind w:firstLine="579"/>
        <w:spacing w:after="0" w:line="251" w:lineRule="auto"/>
        <w:tabs>
          <w:tab w:leader="none" w:pos="134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579"/>
        <w:spacing w:after="0" w:line="251" w:lineRule="auto"/>
        <w:tabs>
          <w:tab w:leader="none" w:pos="1367"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firstLine="1580"/>
        <w:spacing w:after="0" w:line="251" w:lineRule="auto"/>
        <w:rPr>
          <w:rFonts w:ascii="Arial" w:cs="Arial" w:eastAsia="Arial" w:hAnsi="Arial"/>
          <w:sz w:val="22"/>
          <w:szCs w:val="22"/>
          <w:color w:val="auto"/>
        </w:rPr>
      </w:pPr>
      <w:r>
        <w:rPr>
          <w:rFonts w:ascii="Arial" w:cs="Arial" w:eastAsia="Arial" w:hAnsi="Arial"/>
          <w:sz w:val="22"/>
          <w:szCs w:val="22"/>
          <w:color w:val="auto"/>
        </w:rPr>
        <w:t>b. 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579"/>
        <w:spacing w:after="0" w:line="252" w:lineRule="auto"/>
        <w:tabs>
          <w:tab w:leader="none" w:pos="1597"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4" w:lineRule="exact"/>
        <w:rPr>
          <w:rFonts w:ascii="Arial" w:cs="Arial" w:eastAsia="Arial" w:hAnsi="Arial"/>
          <w:sz w:val="21"/>
          <w:szCs w:val="21"/>
          <w:color w:val="auto"/>
        </w:rPr>
      </w:pPr>
    </w:p>
    <w:p>
      <w:pPr>
        <w:jc w:val="both"/>
        <w:ind w:firstLine="579"/>
        <w:spacing w:after="0" w:line="246" w:lineRule="auto"/>
        <w:tabs>
          <w:tab w:leader="none" w:pos="1448"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ind w:left="1460" w:hanging="881"/>
        <w:spacing w:after="0"/>
        <w:tabs>
          <w:tab w:leader="none" w:pos="1460"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w:t>
      </w:r>
    </w:p>
    <w:p>
      <w:pPr>
        <w:spacing w:after="0" w:line="33" w:lineRule="exact"/>
        <w:rPr>
          <w:sz w:val="20"/>
          <w:szCs w:val="20"/>
          <w:color w:val="auto"/>
        </w:rPr>
      </w:pPr>
    </w:p>
    <w:p>
      <w:pPr>
        <w:spacing w:after="0"/>
        <w:tabs>
          <w:tab w:leader="none" w:pos="4680" w:val="left"/>
          <w:tab w:leader="none" w:pos="6600" w:val="left"/>
        </w:tabs>
        <w:rPr>
          <w:sz w:val="20"/>
          <w:szCs w:val="20"/>
          <w:color w:val="auto"/>
        </w:rPr>
      </w:pPr>
      <w:r>
        <w:rPr>
          <w:rFonts w:ascii="Arial" w:cs="Arial" w:eastAsia="Arial" w:hAnsi="Arial"/>
          <w:sz w:val="22"/>
          <w:szCs w:val="22"/>
          <w:color w:val="auto"/>
        </w:rPr>
        <w:t>Plaza, New York, NY 10020, Attention:</w:t>
      </w:r>
      <w:r>
        <w:rPr>
          <w:sz w:val="20"/>
          <w:szCs w:val="20"/>
          <w:color w:val="auto"/>
        </w:rPr>
        <w:tab/>
      </w:r>
      <w:r>
        <w:rPr>
          <w:rFonts w:ascii="Arial" w:cs="Arial" w:eastAsia="Arial" w:hAnsi="Arial"/>
          <w:sz w:val="22"/>
          <w:szCs w:val="22"/>
          <w:color w:val="auto"/>
        </w:rPr>
        <w:t>, on or before</w:t>
      </w:r>
      <w:r>
        <w:rPr>
          <w:sz w:val="20"/>
          <w:szCs w:val="20"/>
          <w:color w:val="auto"/>
        </w:rPr>
        <w:tab/>
      </w:r>
      <w:r>
        <w:rPr>
          <w:rFonts w:ascii="Arial" w:cs="Arial" w:eastAsia="Arial" w:hAnsi="Arial"/>
          <w:sz w:val="19"/>
          <w:szCs w:val="19"/>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4" w:lineRule="auto"/>
        <w:tabs>
          <w:tab w:leader="none" w:pos="30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days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to revoke it by indicating your desire to do so in writing delivered to 22</w:t>
      </w:r>
    </w:p>
    <w:p>
      <w:pPr>
        <w:sectPr>
          <w:pgSz w:w="11900" w:h="16838" w:orient="portrait"/>
          <w:cols w:equalWidth="0" w:num="1">
            <w:col w:w="11420"/>
          </w:cols>
          <w:pgMar w:left="240" w:top="267" w:right="239" w:bottom="1440" w:gutter="0" w:footer="0" w:header="0"/>
        </w:sectPr>
      </w:pPr>
    </w:p>
    <w:bookmarkStart w:id="125" w:name="page126"/>
    <w:bookmarkEnd w:id="125"/>
    <w:p>
      <w:pPr>
        <w:ind w:right="300" w:firstLine="1134"/>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Arial" w:cs="Arial" w:eastAsia="Arial" w:hAnsi="Arial"/>
          <w:sz w:val="21"/>
          <w:szCs w:val="21"/>
          <w:u w:val="single" w:color="auto"/>
          <w:color w:val="auto"/>
        </w:rPr>
        <w:t>Effective Date</w:t>
      </w:r>
      <w:r>
        <w:rPr>
          <w:rFonts w:ascii="Arial" w:cs="Arial" w:eastAsia="Arial" w:hAnsi="Arial"/>
          <w:sz w:val="21"/>
          <w:szCs w:val="21"/>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6858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7" w:lineRule="exact"/>
        <w:rPr>
          <w:sz w:val="20"/>
          <w:szCs w:val="20"/>
          <w:color w:val="auto"/>
        </w:rPr>
      </w:pPr>
    </w:p>
    <w:p>
      <w:pPr>
        <w:ind w:firstLine="579"/>
        <w:spacing w:after="0" w:line="274" w:lineRule="auto"/>
        <w:tabs>
          <w:tab w:leader="none" w:pos="1435"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ind w:left="1540" w:hanging="961"/>
        <w:spacing w:after="0"/>
        <w:tabs>
          <w:tab w:leader="none" w:pos="154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Treatment of Awards</w:t>
      </w:r>
      <w:r>
        <w:rPr>
          <w:rFonts w:ascii="Arial" w:cs="Arial" w:eastAsia="Arial" w:hAnsi="Arial"/>
          <w:sz w:val="19"/>
          <w:szCs w:val="19"/>
          <w:color w:val="auto"/>
        </w:rPr>
        <w:t>. You currently hold the awards listed on Annex I to this Agreement (the “</w:t>
      </w:r>
      <w:r>
        <w:rPr>
          <w:rFonts w:ascii="Arial" w:cs="Arial" w:eastAsia="Arial" w:hAnsi="Arial"/>
          <w:sz w:val="19"/>
          <w:szCs w:val="19"/>
          <w:u w:val="single" w:color="auto"/>
          <w:color w:val="auto"/>
        </w:rPr>
        <w:t>Awards</w:t>
      </w:r>
      <w:r>
        <w:rPr>
          <w:rFonts w:ascii="Arial" w:cs="Arial" w:eastAsia="Arial" w:hAnsi="Arial"/>
          <w:sz w:val="19"/>
          <w:szCs w:val="19"/>
          <w:color w:val="auto"/>
        </w:rPr>
        <w:t>”). The</w:t>
      </w:r>
    </w:p>
    <w:p>
      <w:pPr>
        <w:spacing w:after="0" w:line="3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Awards [(other than the</w:t>
      </w:r>
      <w:r>
        <w:rPr>
          <w:sz w:val="20"/>
          <w:szCs w:val="20"/>
          <w:color w:val="auto"/>
        </w:rPr>
        <w:tab/>
      </w:r>
      <w:r>
        <w:rPr>
          <w:rFonts w:ascii="Arial" w:cs="Arial" w:eastAsia="Arial" w:hAnsi="Arial"/>
          <w:sz w:val="19"/>
          <w:szCs w:val="19"/>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1"/>
          <w:szCs w:val="21"/>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580" w:type="dxa"/>
            <w:vAlign w:val="bottom"/>
          </w:tcPr>
          <w:p>
            <w:pPr>
              <w:ind w:left="4020"/>
              <w:spacing w:after="0"/>
              <w:rPr>
                <w:sz w:val="20"/>
                <w:szCs w:val="20"/>
                <w:color w:val="auto"/>
              </w:rPr>
            </w:pPr>
            <w:r>
              <w:rPr>
                <w:rFonts w:ascii="Arial" w:cs="Arial" w:eastAsia="Arial" w:hAnsi="Arial"/>
                <w:sz w:val="22"/>
                <w:szCs w:val="22"/>
                <w:color w:val="auto"/>
              </w:rPr>
              <w:t>Date:</w:t>
            </w:r>
          </w:p>
        </w:tc>
        <w:tc>
          <w:tcPr>
            <w:tcW w:w="1300" w:type="dxa"/>
            <w:vAlign w:val="bottom"/>
            <w:tcBorders>
              <w:bottom w:val="single" w:sz="8" w:color="auto"/>
            </w:tcBorders>
          </w:tcPr>
          <w:p>
            <w:pPr>
              <w:spacing w:after="0"/>
              <w:rPr>
                <w:sz w:val="21"/>
                <w:szCs w:val="21"/>
                <w:color w:val="auto"/>
              </w:rPr>
            </w:pPr>
          </w:p>
        </w:tc>
        <w:tc>
          <w:tcPr>
            <w:tcW w:w="1780" w:type="dxa"/>
            <w:vAlign w:val="bottom"/>
          </w:tcPr>
          <w:p>
            <w:pPr>
              <w:spacing w:after="0"/>
              <w:rPr>
                <w:sz w:val="21"/>
                <w:szCs w:val="21"/>
                <w:color w:val="auto"/>
              </w:rPr>
            </w:pPr>
          </w:p>
        </w:tc>
      </w:tr>
      <w:tr>
        <w:trPr>
          <w:trHeight w:val="242"/>
        </w:trPr>
        <w:tc>
          <w:tcPr>
            <w:tcW w:w="1080" w:type="dxa"/>
            <w:vAlign w:val="bottom"/>
          </w:tcPr>
          <w:p>
            <w:pPr>
              <w:spacing w:after="0"/>
              <w:rPr>
                <w:sz w:val="21"/>
                <w:szCs w:val="21"/>
                <w:color w:val="auto"/>
              </w:rPr>
            </w:pPr>
          </w:p>
        </w:tc>
        <w:tc>
          <w:tcPr>
            <w:tcW w:w="1300" w:type="dxa"/>
            <w:vAlign w:val="bottom"/>
            <w:gridSpan w:val="5"/>
          </w:tcPr>
          <w:p>
            <w:pPr>
              <w:spacing w:after="0" w:line="242" w:lineRule="exact"/>
              <w:rPr>
                <w:sz w:val="20"/>
                <w:szCs w:val="20"/>
                <w:color w:val="auto"/>
              </w:rPr>
            </w:pPr>
            <w:r>
              <w:rPr>
                <w:rFonts w:ascii="Arial" w:cs="Arial" w:eastAsia="Arial" w:hAnsi="Arial"/>
                <w:sz w:val="22"/>
                <w:szCs w:val="22"/>
                <w:color w:val="auto"/>
              </w:rPr>
              <w:t>NAME</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4"/>
        </w:trPr>
        <w:tc>
          <w:tcPr>
            <w:tcW w:w="1340" w:type="dxa"/>
            <w:vAlign w:val="bottom"/>
            <w:gridSpan w:val="3"/>
          </w:tcPr>
          <w:p>
            <w:pPr>
              <w:spacing w:after="0" w:line="224" w:lineRule="exact"/>
              <w:rPr>
                <w:sz w:val="20"/>
                <w:szCs w:val="20"/>
                <w:color w:val="auto"/>
              </w:rPr>
            </w:pPr>
            <w:r>
              <w:rPr>
                <w:rFonts w:ascii="Arial" w:cs="Arial" w:eastAsia="Arial" w:hAnsi="Arial"/>
                <w:sz w:val="22"/>
                <w:szCs w:val="22"/>
                <w:color w:val="auto"/>
              </w:rPr>
              <w:t>STATE OF</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gridSpan w:val="6"/>
          </w:tcPr>
          <w:p>
            <w:pPr>
              <w:ind w:left="1520"/>
              <w:spacing w:after="0" w:line="224" w:lineRule="exact"/>
              <w:rPr>
                <w:sz w:val="20"/>
                <w:szCs w:val="20"/>
                <w:color w:val="auto"/>
              </w:rPr>
            </w:pPr>
            <w:r>
              <w:rPr>
                <w:rFonts w:ascii="Arial" w:cs="Arial" w:eastAsia="Arial" w:hAnsi="Arial"/>
                <w:sz w:val="22"/>
                <w:szCs w:val="22"/>
                <w:color w:val="auto"/>
              </w:rPr>
              <w:t>)</w:t>
            </w: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42"/>
        </w:trPr>
        <w:tc>
          <w:tcPr>
            <w:tcW w:w="10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6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 ss.:</w:t>
            </w:r>
          </w:p>
        </w:tc>
      </w:tr>
      <w:tr>
        <w:trPr>
          <w:trHeight w:val="224"/>
        </w:trPr>
        <w:tc>
          <w:tcPr>
            <w:tcW w:w="1340" w:type="dxa"/>
            <w:vAlign w:val="bottom"/>
            <w:gridSpan w:val="3"/>
          </w:tcPr>
          <w:p>
            <w:pPr>
              <w:spacing w:after="0" w:line="224" w:lineRule="exact"/>
              <w:rPr>
                <w:sz w:val="20"/>
                <w:szCs w:val="20"/>
                <w:color w:val="auto"/>
              </w:rPr>
            </w:pPr>
            <w:r>
              <w:rPr>
                <w:rFonts w:ascii="Arial" w:cs="Arial" w:eastAsia="Arial" w:hAnsi="Arial"/>
                <w:sz w:val="22"/>
                <w:szCs w:val="22"/>
                <w:color w:val="auto"/>
              </w:rPr>
              <w:t>COUNTY OF</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gridSpan w:val="6"/>
          </w:tcPr>
          <w:p>
            <w:pPr>
              <w:ind w:left="1520"/>
              <w:spacing w:after="0" w:line="224" w:lineRule="exact"/>
              <w:rPr>
                <w:sz w:val="20"/>
                <w:szCs w:val="20"/>
                <w:color w:val="auto"/>
              </w:rPr>
            </w:pPr>
            <w:r>
              <w:rPr>
                <w:rFonts w:ascii="Arial" w:cs="Arial" w:eastAsia="Arial" w:hAnsi="Arial"/>
                <w:sz w:val="22"/>
                <w:szCs w:val="22"/>
                <w:color w:val="auto"/>
              </w:rPr>
              <w:t>)</w:t>
            </w:r>
          </w:p>
        </w:tc>
        <w:tc>
          <w:tcPr>
            <w:tcW w:w="13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39"/>
        </w:trPr>
        <w:tc>
          <w:tcPr>
            <w:tcW w:w="1340" w:type="dxa"/>
            <w:vAlign w:val="bottom"/>
            <w:gridSpan w:val="3"/>
          </w:tcPr>
          <w:p>
            <w:pPr>
              <w:ind w:left="580"/>
              <w:spacing w:after="0"/>
              <w:rPr>
                <w:sz w:val="20"/>
                <w:szCs w:val="20"/>
                <w:color w:val="auto"/>
              </w:rPr>
            </w:pPr>
            <w:r>
              <w:rPr>
                <w:rFonts w:ascii="Arial" w:cs="Arial" w:eastAsia="Arial" w:hAnsi="Arial"/>
                <w:sz w:val="22"/>
                <w:szCs w:val="22"/>
                <w:color w:val="auto"/>
              </w:rPr>
              <w:t>On this</w:t>
            </w:r>
          </w:p>
        </w:tc>
        <w:tc>
          <w:tcPr>
            <w:tcW w:w="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rPr>
              <w:t>day of</w:t>
            </w: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300" w:type="dxa"/>
            <w:vAlign w:val="bottom"/>
            <w:gridSpan w:val="6"/>
          </w:tcPr>
          <w:p>
            <w:pPr>
              <w:ind w:left="60"/>
              <w:spacing w:after="0"/>
              <w:rPr>
                <w:sz w:val="20"/>
                <w:szCs w:val="20"/>
                <w:color w:val="auto"/>
              </w:rPr>
            </w:pPr>
            <w:r>
              <w:rPr>
                <w:rFonts w:ascii="Arial" w:cs="Arial" w:eastAsia="Arial" w:hAnsi="Arial"/>
                <w:sz w:val="22"/>
                <w:szCs w:val="22"/>
                <w:color w:val="auto"/>
                <w:w w:val="94"/>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6" w:lineRule="exact"/>
        <w:rPr>
          <w:sz w:val="20"/>
          <w:szCs w:val="20"/>
          <w:color w:val="auto"/>
        </w:rPr>
      </w:pPr>
    </w:p>
    <w:p>
      <w:pPr>
        <w:ind w:left="5940" w:right="480" w:hanging="5933"/>
        <w:spacing w:after="0" w:line="481" w:lineRule="auto"/>
        <w:rPr>
          <w:sz w:val="20"/>
          <w:szCs w:val="20"/>
          <w:color w:val="auto"/>
        </w:rPr>
      </w:pPr>
      <w:r>
        <w:rPr>
          <w:rFonts w:ascii="Arial" w:cs="Arial" w:eastAsia="Arial" w:hAnsi="Arial"/>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-346710</wp:posOffset>
            </wp:positionV>
            <wp:extent cx="18180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26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10.9</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AGREEMENT RELATING TO RETENTION AND</w:t>
      </w:r>
    </w:p>
    <w:p>
      <w:pPr>
        <w:jc w:val="center"/>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21"/>
          <w:szCs w:val="21"/>
          <w:color w:val="auto"/>
        </w:rPr>
        <w:t>AMENDED AND RESTATED AGREEMENT, dated as of March 9,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Lazard Ltd, a company incorporated under the laws of Bermuda (“</w:t>
      </w:r>
      <w:r>
        <w:rPr>
          <w:rFonts w:ascii="Arial" w:cs="Arial" w:eastAsia="Arial" w:hAnsi="Arial"/>
          <w:sz w:val="21"/>
          <w:szCs w:val="21"/>
          <w:u w:val="single" w:color="auto"/>
          <w:color w:val="auto"/>
        </w:rPr>
        <w:t>Lazard</w:t>
      </w:r>
      <w:r>
        <w:rPr>
          <w:rFonts w:ascii="Arial" w:cs="Arial" w:eastAsia="Arial" w:hAnsi="Arial"/>
          <w:sz w:val="21"/>
          <w:szCs w:val="21"/>
          <w:color w:val="auto"/>
        </w:rPr>
        <w:t>”), Lazard Group LLC, a Delaware limited liability company (“</w:t>
      </w:r>
      <w:r>
        <w:rPr>
          <w:rFonts w:ascii="Arial" w:cs="Arial" w:eastAsia="Arial" w:hAnsi="Arial"/>
          <w:sz w:val="21"/>
          <w:szCs w:val="21"/>
          <w:u w:val="single" w:color="auto"/>
          <w:color w:val="auto"/>
        </w:rPr>
        <w:t>Lazard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its behalf and on behalf of its subsidiaries and affiliates (collectively with Lazard and Lazard Group, and its and their predecessors and successors, the “</w:t>
      </w:r>
      <w:r>
        <w:rPr>
          <w:rFonts w:ascii="Arial" w:cs="Arial" w:eastAsia="Arial" w:hAnsi="Arial"/>
          <w:sz w:val="21"/>
          <w:szCs w:val="21"/>
          <w:u w:val="single" w:color="auto"/>
          <w:color w:val="auto"/>
        </w:rPr>
        <w:t>Firm</w:t>
      </w:r>
      <w:r>
        <w:rPr>
          <w:rFonts w:ascii="Arial" w:cs="Arial" w:eastAsia="Arial" w:hAnsi="Arial"/>
          <w:sz w:val="21"/>
          <w:szCs w:val="21"/>
          <w:color w:val="auto"/>
        </w:rPr>
        <w:t>”), and Matthieu Bucaille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4" w:lineRule="exact"/>
        <w:rPr>
          <w:sz w:val="20"/>
          <w:szCs w:val="20"/>
          <w:color w:val="auto"/>
        </w:rPr>
      </w:pPr>
    </w:p>
    <w:p>
      <w:pPr>
        <w:ind w:right="380" w:firstLine="571"/>
        <w:spacing w:after="0" w:line="297" w:lineRule="auto"/>
        <w:rPr>
          <w:sz w:val="20"/>
          <w:szCs w:val="20"/>
          <w:color w:val="auto"/>
        </w:rPr>
      </w:pPr>
      <w:r>
        <w:rPr>
          <w:rFonts w:ascii="Arial" w:cs="Arial" w:eastAsia="Arial" w:hAnsi="Arial"/>
          <w:sz w:val="19"/>
          <w:szCs w:val="19"/>
          <w:color w:val="auto"/>
        </w:rPr>
        <w:t>WHEREAS, the Executive previously entered into an Agreement Relating to Retention and Noncompetition and Other Covenants with Lazard and Lazard Group, dated as of October 4, 2004, as amended on April 1, 2011 and March 14, 2013 (such agreement, together with all schedules and attachments thereto, the “</w:t>
      </w:r>
      <w:r>
        <w:rPr>
          <w:rFonts w:ascii="Arial" w:cs="Arial" w:eastAsia="Arial" w:hAnsi="Arial"/>
          <w:sz w:val="19"/>
          <w:szCs w:val="19"/>
          <w:u w:val="single" w:color="auto"/>
          <w:color w:val="auto"/>
        </w:rPr>
        <w:t>Prior Retention Agreement</w:t>
      </w:r>
      <w:r>
        <w:rPr>
          <w:rFonts w:ascii="Arial" w:cs="Arial" w:eastAsia="Arial" w:hAnsi="Arial"/>
          <w:sz w:val="19"/>
          <w:szCs w:val="19"/>
          <w:color w:val="auto"/>
        </w:rPr>
        <w:t>”);</w:t>
      </w:r>
    </w:p>
    <w:p>
      <w:pPr>
        <w:spacing w:after="0" w:line="134" w:lineRule="exact"/>
        <w:rPr>
          <w:sz w:val="20"/>
          <w:szCs w:val="20"/>
          <w:color w:val="auto"/>
        </w:rPr>
      </w:pPr>
    </w:p>
    <w:p>
      <w:pPr>
        <w:ind w:right="60" w:firstLine="571"/>
        <w:spacing w:after="0" w:line="236" w:lineRule="auto"/>
        <w:rPr>
          <w:sz w:val="20"/>
          <w:szCs w:val="20"/>
          <w:color w:val="auto"/>
        </w:rPr>
      </w:pPr>
      <w:r>
        <w:rPr>
          <w:rFonts w:ascii="Arial" w:cs="Arial" w:eastAsia="Arial" w:hAnsi="Arial"/>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WHEREAS, as of the date hereof, the Executive is the Chief Financial Officer of Lazard and Lazard Group.</w:t>
      </w:r>
    </w:p>
    <w:p>
      <w:pPr>
        <w:spacing w:after="0" w:line="206"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20" w:firstLine="579"/>
        <w:spacing w:after="0" w:line="272" w:lineRule="auto"/>
        <w:tabs>
          <w:tab w:leader="none" w:pos="1219"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Arial" w:cs="Arial" w:eastAsia="Arial" w:hAnsi="Arial"/>
          <w:sz w:val="19"/>
          <w:szCs w:val="19"/>
          <w:u w:val="single" w:color="auto"/>
          <w:color w:val="auto"/>
        </w:rPr>
        <w:t>Specified Expiration Date</w:t>
      </w:r>
      <w:r>
        <w:rPr>
          <w:rFonts w:ascii="Arial" w:cs="Arial" w:eastAsia="Arial" w:hAnsi="Arial"/>
          <w:sz w:val="19"/>
          <w:szCs w:val="19"/>
          <w:color w:val="auto"/>
        </w:rPr>
        <w:t>”), provided that, upon a Change in Control (as defined in Lazard’s 2008 Incentive Compensation Plan, as it may be amended from time to time, or any successor plan thereto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9"/>
          <w:szCs w:val="19"/>
          <w:u w:val="single" w:color="auto"/>
          <w:color w:val="auto"/>
        </w:rPr>
        <w:t>Disability</w:t>
      </w:r>
      <w:r>
        <w:rPr>
          <w:rFonts w:ascii="Arial" w:cs="Arial" w:eastAsia="Arial" w:hAnsi="Arial"/>
          <w:sz w:val="19"/>
          <w:szCs w:val="19"/>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12" w:right="239" w:bottom="1440" w:gutter="0" w:footer="0" w:header="0"/>
        </w:sectPr>
      </w:pPr>
    </w:p>
    <w:bookmarkStart w:id="127" w:name="page128"/>
    <w:bookmarkEnd w:id="127"/>
    <w:p>
      <w:pPr>
        <w:ind w:right="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month period in lieu of such notice;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86" w:lineRule="exact"/>
        <w:rPr>
          <w:sz w:val="20"/>
          <w:szCs w:val="20"/>
          <w:color w:val="auto"/>
        </w:rPr>
      </w:pPr>
    </w:p>
    <w:p>
      <w:pPr>
        <w:ind w:left="1220" w:hanging="641"/>
        <w:spacing w:after="0"/>
        <w:tabs>
          <w:tab w:leader="none" w:pos="122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right="660" w:firstLine="579"/>
        <w:spacing w:after="0" w:line="251" w:lineRule="auto"/>
        <w:tabs>
          <w:tab w:leader="none" w:pos="1219"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Continued Employment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Employment</w:t>
      </w:r>
      <w:r>
        <w:rPr>
          <w:rFonts w:ascii="Arial" w:cs="Arial" w:eastAsia="Arial" w:hAnsi="Arial"/>
          <w:sz w:val="22"/>
          <w:szCs w:val="22"/>
          <w:color w:val="auto"/>
        </w:rPr>
        <w:t>. The Executive hereby agrees to continue in the employ of the Firm, subject to the terms and conditions of this Agreement.</w:t>
      </w:r>
    </w:p>
    <w:p>
      <w:pPr>
        <w:spacing w:after="0" w:line="173" w:lineRule="exact"/>
        <w:rPr>
          <w:sz w:val="20"/>
          <w:szCs w:val="20"/>
          <w:color w:val="auto"/>
        </w:rPr>
      </w:pPr>
    </w:p>
    <w:p>
      <w:pPr>
        <w:ind w:firstLine="579"/>
        <w:spacing w:after="0" w:line="269" w:lineRule="auto"/>
        <w:tabs>
          <w:tab w:leader="none" w:pos="1309"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Duties and Responsibilities; Code of Conduct</w:t>
      </w:r>
      <w:r>
        <w:rPr>
          <w:rFonts w:ascii="Arial" w:cs="Arial" w:eastAsia="Arial" w:hAnsi="Arial"/>
          <w:sz w:val="19"/>
          <w:szCs w:val="19"/>
          <w:color w:val="auto"/>
        </w:rPr>
        <w:t xml:space="preserve">. During the Term until the Specified Expiration Date, the Executive shall continue to (i) serve as either, in Lazard’s sole discretion, (A) the Chief Financial Officer of Lazard and Lazard Group, with such authority, duties and responsibilities as are consistent with the authority, duties and responsibilities exercised by the Executive on the date hereof or (B) </w:t>
      </w:r>
      <w:r>
        <w:rPr>
          <w:rFonts w:ascii="Arial" w:cs="Arial" w:eastAsia="Arial" w:hAnsi="Arial"/>
          <w:sz w:val="19"/>
          <w:szCs w:val="19"/>
          <w:i w:val="1"/>
          <w:iCs w:val="1"/>
          <w:color w:val="auto"/>
        </w:rPr>
        <w:t>Associe-Gerant</w:t>
      </w:r>
      <w:r>
        <w:rPr>
          <w:rFonts w:ascii="Arial" w:cs="Arial" w:eastAsia="Arial" w:hAnsi="Arial"/>
          <w:sz w:val="19"/>
          <w:szCs w:val="19"/>
          <w:color w:val="auto"/>
        </w:rPr>
        <w:t xml:space="preserve"> and Vice Chairman of European Investment Banking of, or in another senior leadership position with, the Firm in Paris, France (such position a “</w:t>
      </w:r>
      <w:r>
        <w:rPr>
          <w:rFonts w:ascii="Arial" w:cs="Arial" w:eastAsia="Arial" w:hAnsi="Arial"/>
          <w:sz w:val="19"/>
          <w:szCs w:val="19"/>
          <w:u w:val="single" w:color="auto"/>
          <w:color w:val="auto"/>
        </w:rPr>
        <w:t>Lazard Paris Position</w:t>
      </w:r>
      <w:r>
        <w:rPr>
          <w:rFonts w:ascii="Arial" w:cs="Arial" w:eastAsia="Arial" w:hAnsi="Arial"/>
          <w:sz w:val="19"/>
          <w:szCs w:val="19"/>
          <w:color w:val="auto"/>
        </w:rPr>
        <w:t>”), with such authority, duties and responsibilities as are consistent with such positions (provided that, without his consent, the Executive’s principal place of employment may not be transferred to Paris, France prior to 90 days after such change in position), (ii) report directly to (A) the Firm’s Chief Executive Officer and the Audit Committee of the Board of Directors of Lazard, if the Executive is then serving as Chief Financial Officer of Lazard and Lazard Group, or (B) the Firm’s Chief Executive Officer or, after consultation with the Executive, Chief Operating Officer, if the Executive is then serving in a Lazard Paris Position,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Lazard agrees that at any time prior to the Specified Expiration Date, the Executive shall be entitled to resign from his position as Chief Financial Officer of Lazard and Lazard Group and commence employment in a Lazard Paris Position, in which case this Agreement shall remain in effect until the Specified Expiration Date and such change in position shall not constitute a termination of employment or resignation for purposes of this Agreement. In the event that the Executive commences a Lazard Paris Position, until the Specified Expiration Date, the Executive shall receive total compensation commensurate with his contributions to the Firm, his seniority and the level of his position, taking into account what others in similar positions have been or are being paid. Notwithstanding anything contained herein to the contrary, upon a Change in Control, if the Executive is not then serving in a Lazard Paris Position, Lazard shall cease to have the right to require the Executive to serve in such position and relocate to Paris, France.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128" w:name="page129"/>
    <w:bookmarkEnd w:id="128"/>
    <w:p>
      <w:pPr>
        <w:ind w:left="1240" w:hanging="721"/>
        <w:spacing w:after="0"/>
        <w:tabs>
          <w:tab w:leader="none" w:pos="124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w:t>
      </w:r>
      <w:r>
        <w:rPr>
          <w:rFonts w:ascii="Arial" w:cs="Arial" w:eastAsia="Arial" w:hAnsi="Arial"/>
          <w:sz w:val="22"/>
          <w:szCs w:val="22"/>
          <w:color w:val="auto"/>
        </w:rPr>
        <w:t>.</w:t>
      </w:r>
    </w:p>
    <w:p>
      <w:pPr>
        <w:spacing w:after="0" w:line="206" w:lineRule="exact"/>
        <w:rPr>
          <w:sz w:val="20"/>
          <w:szCs w:val="20"/>
          <w:color w:val="auto"/>
        </w:rPr>
      </w:pPr>
    </w:p>
    <w:p>
      <w:pPr>
        <w:ind w:left="-60" w:right="140" w:firstLine="579"/>
        <w:spacing w:after="0" w:line="245" w:lineRule="auto"/>
        <w:tabs>
          <w:tab w:leader="none" w:pos="1201"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period ending on the Specified Expiration Date, subject to the Executive’s continued employment hereunder, the Executive shall be entitled to receive an annual base salary of not less than $750,000 (“</w:t>
      </w:r>
      <w:r>
        <w:rPr>
          <w:rFonts w:ascii="Arial" w:cs="Arial" w:eastAsia="Arial" w:hAnsi="Arial"/>
          <w:sz w:val="21"/>
          <w:szCs w:val="21"/>
          <w:u w:val="single" w:color="auto"/>
          <w:color w:val="auto"/>
        </w:rPr>
        <w:t>Base Salary</w:t>
      </w:r>
      <w:r>
        <w:rPr>
          <w:rFonts w:ascii="Arial" w:cs="Arial" w:eastAsia="Arial" w:hAnsi="Arial"/>
          <w:sz w:val="21"/>
          <w:szCs w:val="21"/>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5" w:lineRule="exact"/>
        <w:rPr>
          <w:rFonts w:ascii="Arial" w:cs="Arial" w:eastAsia="Arial" w:hAnsi="Arial"/>
          <w:sz w:val="21"/>
          <w:szCs w:val="21"/>
          <w:color w:val="auto"/>
        </w:rPr>
      </w:pPr>
    </w:p>
    <w:p>
      <w:pPr>
        <w:ind w:left="-60" w:firstLine="579"/>
        <w:spacing w:after="0" w:line="272" w:lineRule="auto"/>
        <w:tabs>
          <w:tab w:leader="none" w:pos="1261"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as an executive officer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57" w:lineRule="exact"/>
        <w:rPr>
          <w:rFonts w:ascii="Arial" w:cs="Arial" w:eastAsia="Arial" w:hAnsi="Arial"/>
          <w:sz w:val="19"/>
          <w:szCs w:val="19"/>
          <w:color w:val="auto"/>
        </w:rPr>
      </w:pPr>
    </w:p>
    <w:p>
      <w:pPr>
        <w:ind w:left="-60" w:right="300" w:firstLine="579"/>
        <w:spacing w:after="0"/>
        <w:tabs>
          <w:tab w:leader="none" w:pos="1321"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left="-60" w:right="80" w:firstLine="579"/>
        <w:spacing w:after="0" w:line="277" w:lineRule="auto"/>
        <w:tabs>
          <w:tab w:leader="none" w:pos="1309"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 Furthermore, subject to the Executive’s continued employment in New York, (A) commencing April 1, 2016 and for the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20"/>
          </w:cols>
          <w:pgMar w:left="300" w:top="267" w:right="279" w:bottom="1440" w:gutter="0" w:footer="0" w:header="0"/>
        </w:sectPr>
      </w:pPr>
    </w:p>
    <w:bookmarkStart w:id="129" w:name="page130"/>
    <w:bookmarkEnd w:id="129"/>
    <w:p>
      <w:pPr>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2016, the Executive shall be entitled to reimbursement, in an amount not to exceed $5,000 per month, for the rent on the Executive’s residence in the New York City metropolitan area (the “</w:t>
      </w:r>
      <w:r>
        <w:rPr>
          <w:rFonts w:ascii="Arial" w:cs="Arial" w:eastAsia="Arial" w:hAnsi="Arial"/>
          <w:sz w:val="19"/>
          <w:szCs w:val="19"/>
          <w:u w:val="single" w:color="auto"/>
          <w:color w:val="auto"/>
        </w:rPr>
        <w:t>Housing Allowance</w:t>
      </w:r>
      <w:r>
        <w:rPr>
          <w:rFonts w:ascii="Arial" w:cs="Arial" w:eastAsia="Arial" w:hAnsi="Arial"/>
          <w:sz w:val="19"/>
          <w:szCs w:val="19"/>
          <w:color w:val="auto"/>
        </w:rPr>
        <w:t>”), and (B) in respect of the first semester of the 2016-2017 academic year, the Executive shall be entitled to reimbursement for 50% of private school tuition for each of the Executive’s children who is under the age of 18 years old (the “</w:t>
      </w:r>
      <w:r>
        <w:rPr>
          <w:rFonts w:ascii="Arial" w:cs="Arial" w:eastAsia="Arial" w:hAnsi="Arial"/>
          <w:sz w:val="19"/>
          <w:szCs w:val="19"/>
          <w:u w:val="single" w:color="auto"/>
          <w:color w:val="auto"/>
        </w:rPr>
        <w:t>Tuition Reimbursement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Lazard transfers the Executive to a Lazard Paris Position during 2016 and the Executive has already paid such children’s tuition prior to such transfer, the Executive shall be entitled to the Tuition Reimbursement and, through the remainder of 2016, the Housing Allowance. Within 30 days following the end of each calendar quarter during which the Executive is entitled to the Housing Allowance and Tuition Reimbursement, the Executive will provide the Firm with an invoice that sets forth the amount, if any, incurred with respect to the Housing Allowance and the Tuition Reimbursement during the preceding calendar quarter. Within 30 days following the Firm’s receipt of each such invoice, the Firm shall pay the Executive an amount in cash in U.S. dollars equal to the amount set forth on the invoice, subject to the limits set forth in clauses (A) and (B) of this Section 3(c)(iv). In addition, in the event Lazard elects to require the Executive to serve in a Lazard Paris Position at any time prior to the Specified Expiration Date, Lazard shall reimburse the Executive for his reasonable and customary expenses associated with the relocation of his family, family belongings and household possessions from New York City to Paris, France on the same basis as applied to the Executive in respect of his prior relocation to New York City as well as any other extraordinary, out of pocket expenses relating to such relocation, and, in the event Lazard elects to require the Executive to serve in a Lazard Paris Position prior to the end of an academic year, Lazard shall reimburse the Executive for his return trips (on a roundtrip basis) from Paris, France to New York City on a reasonable frequency (the “</w:t>
      </w:r>
      <w:r>
        <w:rPr>
          <w:rFonts w:ascii="Arial" w:cs="Arial" w:eastAsia="Arial" w:hAnsi="Arial"/>
          <w:sz w:val="19"/>
          <w:szCs w:val="19"/>
          <w:u w:val="single" w:color="auto"/>
          <w:color w:val="auto"/>
        </w:rPr>
        <w:t>Relocation Reimbursement</w:t>
      </w:r>
      <w:r>
        <w:rPr>
          <w:rFonts w:ascii="Arial" w:cs="Arial" w:eastAsia="Arial" w:hAnsi="Arial"/>
          <w:sz w:val="19"/>
          <w:szCs w:val="19"/>
          <w:color w:val="auto"/>
        </w:rPr>
        <w:t>”). Subject to the Executive’s continued employment, with respect to any period prior to the Specified Expiration Date in which the Executive is entitled to the Housing Allowance, the Tuition Reimbursement or the Relocation Reimbursement, the Executive shall be entitled to an additional payment (an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with respect to the Housing Allowance, the Tuition Reimbursement and the Relocation Reimbursement in an amount such that after payment by the Executive of all taxes (including any interest or penalties imposed with respect to such taxes), including any income taxes (and any interest and penalties imposed with respect thereto) upon the Additional Payment, but excluding any income taxes and penalties imposed pursuant to Section 409A of the Code (as defined in Section 3(d)(ii)(I)), the Executive retains an amount of the Additional Payment equal to all taxes upon the Housing Allowance, the Tuition Reimbursement and the Relocation Reimbursement (such taxes, the “</w:t>
      </w:r>
      <w:r>
        <w:rPr>
          <w:rFonts w:ascii="Arial" w:cs="Arial" w:eastAsia="Arial" w:hAnsi="Arial"/>
          <w:sz w:val="19"/>
          <w:szCs w:val="19"/>
          <w:u w:val="single" w:color="auto"/>
          <w:color w:val="auto"/>
        </w:rPr>
        <w:t>Additional Taxes</w:t>
      </w:r>
      <w:r>
        <w:rPr>
          <w:rFonts w:ascii="Arial" w:cs="Arial" w:eastAsia="Arial" w:hAnsi="Arial"/>
          <w:sz w:val="19"/>
          <w:szCs w:val="19"/>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the Tuition Reimbursement or the Relocation Reimbursement are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Section 3(c)(iv),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130" w:name="page131"/>
    <w:bookmarkEnd w:id="130"/>
    <w:p>
      <w:pPr>
        <w:ind w:left="-40" w:right="20" w:firstLine="579"/>
        <w:spacing w:after="0" w:line="248" w:lineRule="auto"/>
        <w:tabs>
          <w:tab w:leader="none" w:pos="1269"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7" w:lineRule="exact"/>
        <w:rPr>
          <w:sz w:val="20"/>
          <w:szCs w:val="20"/>
          <w:color w:val="auto"/>
        </w:rPr>
      </w:pPr>
    </w:p>
    <w:p>
      <w:pPr>
        <w:ind w:left="-40" w:firstLine="579"/>
        <w:spacing w:after="0" w:line="269" w:lineRule="auto"/>
        <w:tabs>
          <w:tab w:leader="none" w:pos="849"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terms of this Section 3(d)(ii) shall apply. The Firm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 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the Executive and his eligible dependents shall continue to be eligible to participate in the medical and dental benefit plans of the Firm on the same basis as the Executive participated in such plans immediately prior to the Date of Termination, to the extent that the applicable plan permits such continued participation for all or any portion of such period (it being agreed that the Firm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the Firm.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80" w:top="266" w:right="279" w:bottom="1440" w:gutter="0" w:footer="0" w:header="0"/>
        </w:sectPr>
      </w:pPr>
    </w:p>
    <w:bookmarkStart w:id="131" w:name="page132"/>
    <w:bookmarkEnd w:id="131"/>
    <w:p>
      <w:pPr>
        <w:ind w:left="580" w:firstLine="541"/>
        <w:spacing w:after="0" w:line="271" w:lineRule="auto"/>
        <w:tabs>
          <w:tab w:leader="none" w:pos="1734" w:val="left"/>
        </w:tabs>
        <w:numPr>
          <w:ilvl w:val="0"/>
          <w:numId w:val="14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200" w:lineRule="exact"/>
        <w:rPr>
          <w:sz w:val="20"/>
          <w:szCs w:val="20"/>
          <w:color w:val="auto"/>
        </w:rPr>
      </w:pPr>
    </w:p>
    <w:p>
      <w:pPr>
        <w:spacing w:after="0" w:line="205" w:lineRule="exact"/>
        <w:rPr>
          <w:sz w:val="20"/>
          <w:szCs w:val="20"/>
          <w:color w:val="auto"/>
        </w:rPr>
      </w:pPr>
    </w:p>
    <w:p>
      <w:pPr>
        <w:ind w:left="580" w:right="20" w:firstLine="541"/>
        <w:spacing w:after="0" w:line="279" w:lineRule="auto"/>
        <w:tabs>
          <w:tab w:leader="none" w:pos="180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51" w:lineRule="exact"/>
        <w:rPr>
          <w:sz w:val="20"/>
          <w:szCs w:val="20"/>
          <w:color w:val="auto"/>
        </w:rPr>
      </w:pPr>
    </w:p>
    <w:p>
      <w:pPr>
        <w:ind w:firstLine="571"/>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67" w:lineRule="exact"/>
        <w:rPr>
          <w:sz w:val="20"/>
          <w:szCs w:val="20"/>
          <w:color w:val="auto"/>
        </w:rPr>
      </w:pPr>
    </w:p>
    <w:p>
      <w:pPr>
        <w:ind w:right="20" w:firstLine="579"/>
        <w:spacing w:after="0" w:line="234" w:lineRule="auto"/>
        <w:tabs>
          <w:tab w:leader="none" w:pos="94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267" w:right="279" w:bottom="1440" w:gutter="0" w:footer="0" w:header="0"/>
        </w:sectPr>
      </w:pPr>
    </w:p>
    <w:bookmarkStart w:id="132" w:name="page133"/>
    <w:bookmarkEnd w:id="132"/>
    <w:p>
      <w:pPr>
        <w:ind w:firstLine="579"/>
        <w:spacing w:after="0" w:line="235" w:lineRule="auto"/>
        <w:tabs>
          <w:tab w:leader="none" w:pos="937" w:val="left"/>
        </w:tabs>
        <w:numPr>
          <w:ilvl w:val="0"/>
          <w:numId w:val="14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 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right="180" w:firstLine="579"/>
        <w:spacing w:after="0" w:line="235" w:lineRule="auto"/>
        <w:tabs>
          <w:tab w:leader="none" w:pos="87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80" w:lineRule="exact"/>
        <w:rPr>
          <w:sz w:val="20"/>
          <w:szCs w:val="20"/>
          <w:color w:val="auto"/>
        </w:rPr>
      </w:pPr>
    </w:p>
    <w:p>
      <w:pPr>
        <w:ind w:left="1300" w:hanging="721"/>
        <w:spacing w:after="0"/>
        <w:tabs>
          <w:tab w:leader="none" w:pos="1300"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as applicable,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right="20" w:firstLine="571"/>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(x) the Firm’s Chief Executive Officer or the Audit Committee of the Board of Directors of Lazard, if the Executive is then serving as Chief Financial Officer of Lazard, or (y) the person to whom the Executive reports in accordance with Section 3(b)(ii)(B), if the Executive is then serving in a Lazard Paris Position,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advice of counsel to the Firm or the direct instructions of the Firm’s Chief Executive Officer, the Audit Committee of the Board of Directors of Lazard or, solely if the Executive is then serving in a Lazard Paris Position, the person to whom the Executive reports in accordance with Section 3(b)(ii)(B). Except in the case of a termination of the Executive’s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267" w:right="279" w:bottom="1440" w:gutter="0" w:footer="0" w:header="0"/>
        </w:sectPr>
      </w:pPr>
    </w:p>
    <w:bookmarkStart w:id="133" w:name="page134"/>
    <w:bookmarkEnd w:id="133"/>
    <w:p>
      <w:pPr>
        <w:ind w:right="8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21"/>
          <w:szCs w:val="21"/>
          <w:u w:val="single" w:color="auto"/>
          <w:color w:val="auto"/>
        </w:rPr>
        <w:t>Applicable Board</w:t>
      </w:r>
      <w:r>
        <w:rPr>
          <w:rFonts w:ascii="Arial" w:cs="Arial" w:eastAsia="Arial" w:hAnsi="Arial"/>
          <w:sz w:val="21"/>
          <w:szCs w:val="21"/>
          <w:color w:val="auto"/>
        </w:rPr>
        <w:t>”) finding that, in the good faith opinion of the Applicable Board, circumstances constituting Cause exist.</w:t>
      </w:r>
    </w:p>
    <w:p>
      <w:pPr>
        <w:spacing w:after="0" w:line="179" w:lineRule="exact"/>
        <w:rPr>
          <w:sz w:val="20"/>
          <w:szCs w:val="20"/>
          <w:color w:val="auto"/>
        </w:rPr>
      </w:pPr>
    </w:p>
    <w:p>
      <w:pPr>
        <w:ind w:firstLine="57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the Firm formally notifies the Executive in writing that it does not intend to cure, unless the Firm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ind w:right="60" w:firstLine="57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3(b)(i)(A) or (B), as applicable, of this Agreement (without regard to whether or not the Specified Expiration Date has passed and which, in the event of a Change in Control, shall be deemed to be those described in Section 3(b)(i) that applied to the Executive as of immediately prior to the date of such Change in Control), or any other action by the Firm which results in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7" w:right="239" w:bottom="1440" w:gutter="0" w:footer="0" w:header="0"/>
        </w:sectPr>
      </w:pPr>
    </w:p>
    <w:bookmarkStart w:id="134" w:name="page135"/>
    <w:bookmarkEnd w:id="134"/>
    <w:p>
      <w:pPr>
        <w:ind w:right="1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diminution in such positions (including status, offices, titles and reporting requirements), authority, duties or responsibilities from those contemplated by Section 3(b)(i)(A) or (B), as applicable, of this Agreement (without regard to whether or not the Specified Expiration Date has passed and which, in the event of a Change in Control, shall be deemed to be those described in Section 3(b)(i) that applied to the Executive as of immediately prior to the date of such Change in Control),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in New York City or Paris, France, as applicable, by more than thirty (30) miles, and which, in the event of a Change in Control, shall be deemed to be the principal place of employment applicable to the Executive as of immediately prior to the date of such Change in Control.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w:t>
      </w:r>
    </w:p>
    <w:p>
      <w:pPr>
        <w:spacing w:after="0" w:line="7" w:lineRule="exact"/>
        <w:rPr>
          <w:sz w:val="20"/>
          <w:szCs w:val="20"/>
          <w:color w:val="auto"/>
        </w:rPr>
      </w:pPr>
    </w:p>
    <w:p>
      <w:pPr>
        <w:ind w:right="160" w:firstLine="8"/>
        <w:spacing w:after="0" w:line="273" w:lineRule="auto"/>
        <w:tabs>
          <w:tab w:leader="none" w:pos="414"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60" w:lineRule="exact"/>
        <w:rPr>
          <w:rFonts w:ascii="Arial" w:cs="Arial" w:eastAsia="Arial" w:hAnsi="Arial"/>
          <w:sz w:val="19"/>
          <w:szCs w:val="19"/>
          <w:color w:val="auto"/>
        </w:rPr>
      </w:pPr>
    </w:p>
    <w:p>
      <w:pPr>
        <w:ind w:firstLine="579"/>
        <w:spacing w:after="0" w:line="269" w:lineRule="auto"/>
        <w:tabs>
          <w:tab w:leader="none" w:pos="1273"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Certain Limitations on Payments</w:t>
      </w:r>
      <w:r>
        <w:rPr>
          <w:rFonts w:ascii="Arial" w:cs="Arial" w:eastAsia="Arial" w:hAnsi="Arial"/>
          <w:sz w:val="19"/>
          <w:szCs w:val="19"/>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9"/>
          <w:szCs w:val="19"/>
          <w:u w:val="single" w:color="auto"/>
          <w:color w:val="auto"/>
        </w:rPr>
        <w:t>Accountant</w:t>
      </w:r>
      <w:r>
        <w:rPr>
          <w:rFonts w:ascii="Arial" w:cs="Arial" w:eastAsia="Arial" w:hAnsi="Arial"/>
          <w:sz w:val="19"/>
          <w:szCs w:val="19"/>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9"/>
          <w:szCs w:val="19"/>
          <w:u w:val="single" w:color="auto"/>
          <w:color w:val="auto"/>
        </w:rPr>
        <w:t>Parachute Payments</w:t>
      </w:r>
      <w:r>
        <w:rPr>
          <w:rFonts w:ascii="Arial" w:cs="Arial" w:eastAsia="Arial" w:hAnsi="Arial"/>
          <w:sz w:val="19"/>
          <w:szCs w:val="19"/>
          <w:color w:val="auto"/>
        </w:rPr>
        <w:t>”) that, but for this</w:t>
      </w:r>
    </w:p>
    <w:p>
      <w:pPr>
        <w:spacing w:after="0" w:line="1" w:lineRule="exact"/>
        <w:rPr>
          <w:rFonts w:ascii="Arial" w:cs="Arial" w:eastAsia="Arial" w:hAnsi="Arial"/>
          <w:sz w:val="19"/>
          <w:szCs w:val="19"/>
          <w:color w:val="auto"/>
        </w:rPr>
      </w:pPr>
    </w:p>
    <w:p>
      <w:pPr>
        <w:ind w:right="40"/>
        <w:spacing w:after="0" w:line="275" w:lineRule="auto"/>
        <w:rPr>
          <w:rFonts w:ascii="Arial" w:cs="Arial" w:eastAsia="Arial" w:hAnsi="Arial"/>
          <w:sz w:val="19"/>
          <w:szCs w:val="19"/>
          <w:color w:val="auto"/>
        </w:rPr>
      </w:pPr>
      <w:r>
        <w:rPr>
          <w:rFonts w:ascii="Arial" w:cs="Arial" w:eastAsia="Arial" w:hAnsi="Arial"/>
          <w:sz w:val="19"/>
          <w:szCs w:val="19"/>
          <w:color w:val="auto"/>
        </w:rPr>
        <w:t>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9"/>
          <w:szCs w:val="19"/>
          <w:u w:val="single" w:color="auto"/>
          <w:color w:val="auto"/>
        </w:rPr>
        <w:t>Excise</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w:t>
      </w:r>
      <w:r>
        <w:rPr>
          <w:rFonts w:ascii="Arial" w:cs="Arial" w:eastAsia="Arial" w:hAnsi="Arial"/>
          <w:sz w:val="19"/>
          <w:szCs w:val="19"/>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135" w:name="page136"/>
    <w:bookmarkEnd w:id="135"/>
    <w:p>
      <w:pPr>
        <w:ind w:right="14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9"/>
          <w:szCs w:val="19"/>
          <w:u w:val="single" w:color="auto"/>
          <w:color w:val="auto"/>
        </w:rPr>
        <w:t>Agreement Payments</w:t>
      </w:r>
      <w:r>
        <w:rPr>
          <w:rFonts w:ascii="Arial" w:cs="Arial" w:eastAsia="Arial" w:hAnsi="Arial"/>
          <w:sz w:val="19"/>
          <w:szCs w:val="19"/>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56" w:lineRule="exact"/>
        <w:rPr>
          <w:sz w:val="20"/>
          <w:szCs w:val="20"/>
          <w:color w:val="auto"/>
        </w:rPr>
      </w:pPr>
    </w:p>
    <w:p>
      <w:pPr>
        <w:ind w:right="120" w:firstLine="567"/>
        <w:spacing w:after="0" w:line="243" w:lineRule="auto"/>
        <w:tabs>
          <w:tab w:leader="none" w:pos="1297"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80"/>
          </w:cols>
          <w:pgMar w:left="240" w:top="267" w:right="379" w:bottom="1440" w:gutter="0" w:footer="0" w:header="0"/>
        </w:sectPr>
      </w:pPr>
    </w:p>
    <w:bookmarkStart w:id="136" w:name="page137"/>
    <w:bookmarkEnd w:id="136"/>
    <w:p>
      <w:pPr>
        <w:ind w:right="20"/>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w:t>
      </w:r>
    </w:p>
    <w:p>
      <w:pPr>
        <w:spacing w:after="0" w:line="2" w:lineRule="exact"/>
        <w:rPr>
          <w:sz w:val="20"/>
          <w:szCs w:val="20"/>
          <w:color w:val="auto"/>
        </w:rPr>
      </w:pPr>
    </w:p>
    <w:p>
      <w:pPr>
        <w:ind w:firstLine="8"/>
        <w:spacing w:after="0" w:line="271" w:lineRule="auto"/>
        <w:tabs>
          <w:tab w:leader="none" w:pos="3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58" w:lineRule="exact"/>
        <w:rPr>
          <w:rFonts w:ascii="Arial" w:cs="Arial" w:eastAsia="Arial" w:hAnsi="Arial"/>
          <w:sz w:val="19"/>
          <w:szCs w:val="19"/>
          <w:color w:val="auto"/>
        </w:rPr>
      </w:pPr>
    </w:p>
    <w:p>
      <w:pPr>
        <w:ind w:right="20" w:firstLine="579"/>
        <w:spacing w:after="0" w:line="244" w:lineRule="auto"/>
        <w:tabs>
          <w:tab w:leader="none" w:pos="1219" w:val="left"/>
        </w:tabs>
        <w:numPr>
          <w:ilvl w:val="1"/>
          <w:numId w:val="147"/>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267" w:right="259" w:bottom="1440" w:gutter="0" w:footer="0" w:header="0"/>
        </w:sectPr>
      </w:pPr>
    </w:p>
    <w:bookmarkStart w:id="137" w:name="page138"/>
    <w:bookmarkEnd w:id="137"/>
    <w:p>
      <w:pPr>
        <w:ind w:right="60"/>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59" w:lineRule="exact"/>
        <w:rPr>
          <w:sz w:val="20"/>
          <w:szCs w:val="20"/>
          <w:color w:val="auto"/>
        </w:rPr>
      </w:pPr>
    </w:p>
    <w:p>
      <w:pPr>
        <w:ind w:firstLine="579"/>
        <w:spacing w:after="0" w:line="269" w:lineRule="auto"/>
        <w:tabs>
          <w:tab w:leader="none" w:pos="1219"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three months after the Date of Termination by the Firm without Cause or by the Executive for Good Reason (such period, the</w:t>
      </w:r>
    </w:p>
    <w:p>
      <w:pPr>
        <w:spacing w:after="0" w:line="2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Noncompete Restriction Period</w:t>
      </w:r>
      <w:r>
        <w:rPr>
          <w:rFonts w:ascii="Arial" w:cs="Arial" w:eastAsia="Arial" w:hAnsi="Arial"/>
          <w:sz w:val="19"/>
          <w:szCs w:val="19"/>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Arial" w:cs="Arial" w:eastAsia="Arial" w:hAnsi="Arial"/>
          <w:sz w:val="19"/>
          <w:szCs w:val="19"/>
          <w:u w:val="single" w:color="auto"/>
          <w:color w:val="auto"/>
        </w:rPr>
        <w:t>Competing Activity</w:t>
      </w:r>
      <w:r>
        <w:rPr>
          <w:rFonts w:ascii="Arial" w:cs="Arial" w:eastAsia="Arial" w:hAnsi="Arial"/>
          <w:sz w:val="19"/>
          <w:szCs w:val="19"/>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Arial" w:cs="Arial" w:eastAsia="Arial" w:hAnsi="Arial"/>
          <w:sz w:val="19"/>
          <w:szCs w:val="19"/>
          <w:u w:val="single" w:color="auto"/>
          <w:color w:val="auto"/>
        </w:rPr>
        <w:t>Competitive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Enterprise</w:t>
      </w:r>
      <w:r>
        <w:rPr>
          <w:rFonts w:ascii="Arial" w:cs="Arial" w:eastAsia="Arial" w:hAnsi="Arial"/>
          <w:sz w:val="19"/>
          <w:szCs w:val="19"/>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7" w:right="239" w:bottom="1440" w:gutter="0" w:footer="0" w:header="0"/>
        </w:sectPr>
      </w:pPr>
    </w:p>
    <w:bookmarkStart w:id="138" w:name="page139"/>
    <w:bookmarkEnd w:id="138"/>
    <w:p>
      <w:pPr>
        <w:ind w:left="-20" w:right="20" w:firstLine="579"/>
        <w:spacing w:after="0" w:line="238" w:lineRule="auto"/>
        <w:tabs>
          <w:tab w:leader="none" w:pos="1289" w:val="left"/>
        </w:tabs>
        <w:numPr>
          <w:ilvl w:val="0"/>
          <w:numId w:val="15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left="-20" w:right="40" w:firstLine="579"/>
        <w:spacing w:after="0" w:line="273" w:lineRule="auto"/>
        <w:tabs>
          <w:tab w:leader="none" w:pos="1199"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56" w:lineRule="exact"/>
        <w:rPr>
          <w:rFonts w:ascii="Arial" w:cs="Arial" w:eastAsia="Arial" w:hAnsi="Arial"/>
          <w:sz w:val="19"/>
          <w:szCs w:val="19"/>
          <w:color w:val="auto"/>
        </w:rPr>
      </w:pPr>
    </w:p>
    <w:p>
      <w:pPr>
        <w:ind w:left="-20" w:firstLine="579"/>
        <w:spacing w:after="0" w:line="247" w:lineRule="auto"/>
        <w:tabs>
          <w:tab w:leader="none" w:pos="1199"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No Hire of Employees</w:t>
      </w:r>
      <w:r>
        <w:rPr>
          <w:rFonts w:ascii="Arial" w:cs="Arial" w:eastAsia="Arial" w:hAnsi="Arial"/>
          <w:sz w:val="21"/>
          <w:szCs w:val="21"/>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1"/>
          <w:szCs w:val="21"/>
          <w:u w:val="single" w:color="auto"/>
          <w:color w:val="auto"/>
        </w:rPr>
        <w:t>No Hire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8" w:lineRule="exact"/>
        <w:rPr>
          <w:rFonts w:ascii="Arial" w:cs="Arial" w:eastAsia="Arial" w:hAnsi="Arial"/>
          <w:sz w:val="21"/>
          <w:szCs w:val="21"/>
          <w:color w:val="auto"/>
        </w:rPr>
      </w:pPr>
    </w:p>
    <w:p>
      <w:pPr>
        <w:ind w:left="-20" w:right="40" w:firstLine="579"/>
        <w:spacing w:after="0" w:line="244" w:lineRule="auto"/>
        <w:tabs>
          <w:tab w:leader="none" w:pos="1199"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Nondisparagement; Transfer of Client Relationships</w:t>
      </w:r>
      <w:r>
        <w:rPr>
          <w:rFonts w:ascii="Arial" w:cs="Arial" w:eastAsia="Arial" w:hAnsi="Arial"/>
          <w:sz w:val="21"/>
          <w:szCs w:val="21"/>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60" w:top="266" w:right="239" w:bottom="1440" w:gutter="0" w:footer="0" w:header="0"/>
        </w:sectPr>
      </w:pPr>
    </w:p>
    <w:bookmarkStart w:id="139" w:name="page140"/>
    <w:bookmarkEnd w:id="139"/>
    <w:p>
      <w:pPr>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200" w:lineRule="exact"/>
        <w:rPr>
          <w:sz w:val="20"/>
          <w:szCs w:val="20"/>
          <w:color w:val="auto"/>
        </w:rPr>
      </w:pPr>
    </w:p>
    <w:p>
      <w:pPr>
        <w:spacing w:after="0" w:line="209" w:lineRule="exact"/>
        <w:rPr>
          <w:sz w:val="20"/>
          <w:szCs w:val="20"/>
          <w:color w:val="auto"/>
        </w:rPr>
      </w:pPr>
    </w:p>
    <w:p>
      <w:pPr>
        <w:ind w:right="120" w:firstLine="579"/>
        <w:spacing w:after="0" w:line="236" w:lineRule="auto"/>
        <w:tabs>
          <w:tab w:leader="none" w:pos="1219"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firstLine="579"/>
        <w:spacing w:after="0" w:line="277" w:lineRule="auto"/>
        <w:tabs>
          <w:tab w:leader="none" w:pos="132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Covenants Generally</w:t>
      </w:r>
      <w:r>
        <w:rPr>
          <w:rFonts w:ascii="Arial" w:cs="Arial" w:eastAsia="Arial" w:hAnsi="Arial"/>
          <w:sz w:val="19"/>
          <w:szCs w:val="19"/>
          <w:color w:val="auto"/>
        </w:rPr>
        <w:t>. (a) The Executive’s covenants as set forth in Sections 4 through 9 of this Agreement are from time to time referred to herein as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53" w:lineRule="exact"/>
        <w:rPr>
          <w:sz w:val="20"/>
          <w:szCs w:val="20"/>
          <w:color w:val="auto"/>
        </w:rPr>
      </w:pPr>
    </w:p>
    <w:p>
      <w:pPr>
        <w:ind w:firstLine="579"/>
        <w:spacing w:after="0" w:line="273" w:lineRule="auto"/>
        <w:tabs>
          <w:tab w:leader="none" w:pos="130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67" w:right="239" w:bottom="1440" w:gutter="0" w:footer="0" w:header="0"/>
        </w:sectPr>
      </w:pPr>
    </w:p>
    <w:bookmarkStart w:id="140" w:name="page141"/>
    <w:bookmarkEnd w:id="140"/>
    <w:p>
      <w:pPr>
        <w:jc w:val="both"/>
        <w:ind w:right="6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67" w:lineRule="exact"/>
        <w:rPr>
          <w:sz w:val="20"/>
          <w:szCs w:val="20"/>
          <w:color w:val="auto"/>
        </w:rPr>
      </w:pPr>
    </w:p>
    <w:p>
      <w:pPr>
        <w:ind w:right="20" w:firstLine="579"/>
        <w:spacing w:after="0" w:line="272" w:lineRule="auto"/>
        <w:tabs>
          <w:tab w:leader="none" w:pos="129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62" w:lineRule="exact"/>
        <w:rPr>
          <w:sz w:val="20"/>
          <w:szCs w:val="20"/>
          <w:color w:val="auto"/>
        </w:rPr>
      </w:pPr>
    </w:p>
    <w:p>
      <w:pPr>
        <w:ind w:firstLine="579"/>
        <w:spacing w:after="0" w:line="273" w:lineRule="auto"/>
        <w:tabs>
          <w:tab w:leader="none" w:pos="1319"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6" w:lineRule="exact"/>
        <w:rPr>
          <w:rFonts w:ascii="Arial" w:cs="Arial" w:eastAsia="Arial" w:hAnsi="Arial"/>
          <w:sz w:val="19"/>
          <w:szCs w:val="19"/>
          <w:color w:val="auto"/>
        </w:rPr>
      </w:pPr>
    </w:p>
    <w:p>
      <w:pPr>
        <w:ind w:right="60" w:firstLine="579"/>
        <w:spacing w:after="0" w:line="247" w:lineRule="auto"/>
        <w:tabs>
          <w:tab w:leader="none" w:pos="1327"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21"/>
          <w:szCs w:val="21"/>
          <w:u w:val="single" w:color="auto"/>
          <w:color w:val="auto"/>
        </w:rPr>
        <w:t>Employment Related Matters</w:t>
      </w:r>
      <w:r>
        <w:rPr>
          <w:rFonts w:ascii="Arial" w:cs="Arial" w:eastAsia="Arial" w:hAnsi="Arial"/>
          <w:sz w:val="21"/>
          <w:szCs w:val="21"/>
          <w:color w:val="auto"/>
        </w:rPr>
        <w:t>”), shall be finally settled by arbitration in New York City before, and in accordance with the rules then obtaining of, the Financial Industry Regulatory Authority (“</w:t>
      </w:r>
      <w:r>
        <w:rPr>
          <w:rFonts w:ascii="Arial" w:cs="Arial" w:eastAsia="Arial" w:hAnsi="Arial"/>
          <w:sz w:val="21"/>
          <w:szCs w:val="21"/>
          <w:u w:val="single" w:color="auto"/>
          <w:color w:val="auto"/>
        </w:rPr>
        <w:t>FINRA</w:t>
      </w:r>
      <w:r>
        <w:rPr>
          <w:rFonts w:ascii="Arial" w:cs="Arial" w:eastAsia="Arial" w:hAnsi="Arial"/>
          <w:sz w:val="21"/>
          <w:szCs w:val="21"/>
          <w:color w:val="auto"/>
        </w:rPr>
        <w:t>”) or, if FINRA declines to arbitrate the matter, the American Arbitration Association (the “</w:t>
      </w:r>
      <w:r>
        <w:rPr>
          <w:rFonts w:ascii="Arial" w:cs="Arial" w:eastAsia="Arial" w:hAnsi="Arial"/>
          <w:sz w:val="21"/>
          <w:szCs w:val="21"/>
          <w:u w:val="single" w:color="auto"/>
          <w:color w:val="auto"/>
        </w:rPr>
        <w:t>AAA</w:t>
      </w:r>
      <w:r>
        <w:rPr>
          <w:rFonts w:ascii="Arial" w:cs="Arial" w:eastAsia="Arial" w:hAnsi="Arial"/>
          <w:sz w:val="21"/>
          <w:szCs w:val="21"/>
          <w:color w:val="auto"/>
        </w:rPr>
        <w:t>”) in accordance with the commercial arbitration rules of the AAA. Prior</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20"/>
          </w:cols>
          <w:pgMar w:left="240" w:top="267" w:right="3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Change in Control, each party shall bear its own costs and expenses of any such arbitration. Following a Change in Control,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Lazard Group shall pay to the Executive, as incurred, all legal fees and expenses reasonably incurred by the Executive or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Executive during his lifetime or within ten years after his death in connection with any contest by Lazard Group,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Executive or others of the validity or enforceability of, or liability under, any provision of this Agreement or any guarantee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performance thereof (including any action to compel arbitration or enforce any arbitration award or as a result of any contest by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Executive about the amount of any payment pursuant to this Agreement, and whether or not any such contest is under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12 or Section 13 of this Agreement or otherwise), plus Interest determined as of the date such legal fees and expenses were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promptly repay to Lazard Group all such amounts if the Executive fails to prevail on at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least one material issue in dispute in any such contest.</w:t>
      </w:r>
    </w:p>
    <w:p>
      <w:pPr>
        <w:spacing w:after="0" w:line="188" w:lineRule="exact"/>
        <w:rPr>
          <w:sz w:val="20"/>
          <w:szCs w:val="20"/>
          <w:color w:val="auto"/>
        </w:rPr>
      </w:pPr>
    </w:p>
    <w:p>
      <w:pPr>
        <w:ind w:right="40" w:firstLine="579"/>
        <w:spacing w:after="0" w:line="274" w:lineRule="auto"/>
        <w:tabs>
          <w:tab w:leader="none" w:pos="1327"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58" w:lineRule="exact"/>
        <w:rPr>
          <w:rFonts w:ascii="Arial" w:cs="Arial" w:eastAsia="Arial" w:hAnsi="Arial"/>
          <w:sz w:val="19"/>
          <w:szCs w:val="19"/>
          <w:color w:val="auto"/>
        </w:rPr>
      </w:pPr>
    </w:p>
    <w:p>
      <w:pPr>
        <w:ind w:firstLine="579"/>
        <w:spacing w:after="0" w:line="245" w:lineRule="auto"/>
        <w:tabs>
          <w:tab w:leader="none" w:pos="1327"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2" w:lineRule="exact"/>
        <w:rPr>
          <w:sz w:val="20"/>
          <w:szCs w:val="20"/>
          <w:color w:val="auto"/>
        </w:rPr>
      </w:pPr>
    </w:p>
    <w:p>
      <w:pPr>
        <w:ind w:right="40" w:firstLine="579"/>
        <w:spacing w:after="0" w:line="236" w:lineRule="auto"/>
        <w:tabs>
          <w:tab w:leader="none" w:pos="130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267" w:right="259" w:bottom="1440" w:gutter="0" w:footer="0" w:header="0"/>
        </w:sectPr>
      </w:pPr>
    </w:p>
    <w:bookmarkStart w:id="142" w:name="page143"/>
    <w:bookmarkEnd w:id="142"/>
    <w:p>
      <w:pPr>
        <w:ind w:right="80"/>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74" w:lineRule="exact"/>
        <w:rPr>
          <w:sz w:val="20"/>
          <w:szCs w:val="20"/>
          <w:color w:val="auto"/>
        </w:rPr>
      </w:pPr>
    </w:p>
    <w:p>
      <w:pPr>
        <w:ind w:right="440" w:firstLine="579"/>
        <w:spacing w:after="0" w:line="238" w:lineRule="auto"/>
        <w:tabs>
          <w:tab w:leader="none" w:pos="1327"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jc w:val="both"/>
        <w:ind w:right="240" w:firstLine="579"/>
        <w:spacing w:after="0" w:line="258" w:lineRule="auto"/>
        <w:tabs>
          <w:tab w:leader="none" w:pos="1327"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(a) This Agreement shall supersede any other agreement, written or oral, pertaining to the matters covered herein, provided that in respect of the period prior to April 1, 2016, the Executive shall be entitled to housing and tuition reimbursements and related tax reimbursements in accordance with the Prior Retention Agreement.</w:t>
      </w:r>
    </w:p>
    <w:p>
      <w:pPr>
        <w:spacing w:after="0" w:line="167" w:lineRule="exact"/>
        <w:rPr>
          <w:sz w:val="20"/>
          <w:szCs w:val="20"/>
          <w:color w:val="auto"/>
        </w:rPr>
      </w:pPr>
    </w:p>
    <w:p>
      <w:pPr>
        <w:ind w:right="140" w:firstLine="579"/>
        <w:spacing w:after="0"/>
        <w:tabs>
          <w:tab w:leader="none" w:pos="130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firstLine="579"/>
        <w:spacing w:after="0" w:line="238" w:lineRule="auto"/>
        <w:tabs>
          <w:tab w:leader="none" w:pos="129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5" w:lineRule="exact"/>
        <w:rPr>
          <w:rFonts w:ascii="Arial" w:cs="Arial" w:eastAsia="Arial" w:hAnsi="Arial"/>
          <w:sz w:val="22"/>
          <w:szCs w:val="22"/>
          <w:color w:val="auto"/>
        </w:rPr>
      </w:pPr>
    </w:p>
    <w:p>
      <w:pPr>
        <w:ind w:firstLine="579"/>
        <w:spacing w:after="0" w:line="272" w:lineRule="auto"/>
        <w:tabs>
          <w:tab w:leader="none" w:pos="130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9"/>
          <w:szCs w:val="19"/>
          <w:u w:val="single" w:color="auto"/>
          <w:color w:val="auto"/>
        </w:rPr>
        <w:t>provided</w:t>
      </w:r>
      <w:r>
        <w:rPr>
          <w:rFonts w:ascii="Arial" w:cs="Arial" w:eastAsia="Arial" w:hAnsi="Arial"/>
          <w:sz w:val="19"/>
          <w:szCs w:val="19"/>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61" w:lineRule="exact"/>
        <w:rPr>
          <w:rFonts w:ascii="Arial" w:cs="Arial" w:eastAsia="Arial" w:hAnsi="Arial"/>
          <w:sz w:val="19"/>
          <w:szCs w:val="19"/>
          <w:color w:val="auto"/>
        </w:rPr>
      </w:pPr>
    </w:p>
    <w:p>
      <w:pPr>
        <w:ind w:right="420" w:firstLine="579"/>
        <w:spacing w:after="0" w:line="251" w:lineRule="auto"/>
        <w:tabs>
          <w:tab w:leader="none" w:pos="129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Without limiting the provisions of Section 10(a), if any provision of this Agreement is finally held to be invalid, illegal or unenforceable (whether in whole or in part),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267" w:right="259" w:bottom="1440" w:gutter="0" w:footer="0" w:header="0"/>
        </w:sectPr>
      </w:pPr>
    </w:p>
    <w:bookmarkStart w:id="143" w:name="page144"/>
    <w:bookmarkEnd w:id="143"/>
    <w:p>
      <w:pPr>
        <w:ind w:right="22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provision shall be deemed modified to the extent, but only to the extent, of such invalidity, illegality or unenforceability and the remaining provisions shall not be affected thereby.</w:t>
      </w:r>
    </w:p>
    <w:p>
      <w:pPr>
        <w:spacing w:after="0" w:line="173" w:lineRule="exact"/>
        <w:rPr>
          <w:sz w:val="20"/>
          <w:szCs w:val="20"/>
          <w:color w:val="auto"/>
        </w:rPr>
      </w:pPr>
    </w:p>
    <w:p>
      <w:pPr>
        <w:ind w:firstLine="579"/>
        <w:spacing w:after="0" w:line="248" w:lineRule="auto"/>
        <w:tabs>
          <w:tab w:leader="none" w:pos="1273"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77" w:lineRule="exact"/>
        <w:rPr>
          <w:rFonts w:ascii="Arial" w:cs="Arial" w:eastAsia="Arial" w:hAnsi="Arial"/>
          <w:sz w:val="21"/>
          <w:szCs w:val="21"/>
          <w:color w:val="auto"/>
        </w:rPr>
      </w:pPr>
    </w:p>
    <w:p>
      <w:pPr>
        <w:ind w:right="460" w:firstLine="579"/>
        <w:spacing w:after="0" w:line="274" w:lineRule="auto"/>
        <w:tabs>
          <w:tab w:leader="none" w:pos="1309" w:val="left"/>
        </w:tabs>
        <w:numPr>
          <w:ilvl w:val="0"/>
          <w:numId w:val="160"/>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right="60" w:firstLine="579"/>
        <w:spacing w:after="0" w:line="252" w:lineRule="auto"/>
        <w:tabs>
          <w:tab w:leader="none" w:pos="1309"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right="40" w:firstLine="579"/>
        <w:spacing w:after="0" w:line="248" w:lineRule="auto"/>
        <w:tabs>
          <w:tab w:leader="none" w:pos="1261"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77" w:lineRule="exact"/>
        <w:rPr>
          <w:rFonts w:ascii="Arial" w:cs="Arial" w:eastAsia="Arial" w:hAnsi="Arial"/>
          <w:sz w:val="21"/>
          <w:szCs w:val="21"/>
          <w:color w:val="auto"/>
        </w:rPr>
      </w:pPr>
    </w:p>
    <w:p>
      <w:pPr>
        <w:ind w:right="200" w:firstLine="579"/>
        <w:spacing w:after="0" w:line="328" w:lineRule="auto"/>
        <w:tabs>
          <w:tab w:leader="none" w:pos="126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05" w:lineRule="exact"/>
        <w:rPr>
          <w:rFonts w:ascii="Arial" w:cs="Arial" w:eastAsia="Arial" w:hAnsi="Arial"/>
          <w:sz w:val="19"/>
          <w:szCs w:val="19"/>
          <w:color w:val="auto"/>
        </w:rPr>
      </w:pPr>
    </w:p>
    <w:p>
      <w:pPr>
        <w:ind w:right="80" w:firstLine="579"/>
        <w:spacing w:after="0" w:line="279" w:lineRule="auto"/>
        <w:tabs>
          <w:tab w:leader="none" w:pos="13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50" w:lineRule="exact"/>
        <w:rPr>
          <w:rFonts w:ascii="Arial" w:cs="Arial" w:eastAsia="Arial" w:hAnsi="Arial"/>
          <w:sz w:val="19"/>
          <w:szCs w:val="19"/>
          <w:color w:val="auto"/>
        </w:rPr>
      </w:pPr>
    </w:p>
    <w:p>
      <w:pPr>
        <w:ind w:right="80" w:firstLine="579"/>
        <w:spacing w:after="0"/>
        <w:tabs>
          <w:tab w:leader="none" w:pos="126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267" w:right="259" w:bottom="1440" w:gutter="0" w:footer="0" w:header="0"/>
        </w:sectPr>
      </w:pPr>
    </w:p>
    <w:bookmarkStart w:id="144" w:name="page145"/>
    <w:bookmarkEnd w:id="144"/>
    <w:p>
      <w:pPr>
        <w:ind w:right="20"/>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78" w:lineRule="exact"/>
        <w:rPr>
          <w:sz w:val="20"/>
          <w:szCs w:val="20"/>
          <w:color w:val="auto"/>
        </w:rPr>
      </w:pPr>
    </w:p>
    <w:p>
      <w:pPr>
        <w:ind w:right="120" w:firstLine="579"/>
        <w:spacing w:after="0" w:line="238" w:lineRule="auto"/>
        <w:tabs>
          <w:tab w:leader="none" w:pos="111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firstLine="571"/>
        <w:spacing w:after="0" w:line="251" w:lineRule="auto"/>
        <w:rPr>
          <w:sz w:val="20"/>
          <w:szCs w:val="20"/>
          <w:color w:val="auto"/>
        </w:rPr>
      </w:pPr>
      <w:r>
        <w:rPr>
          <w:rFonts w:ascii="Arial" w:cs="Arial" w:eastAsia="Arial" w:hAnsi="Arial"/>
          <w:sz w:val="22"/>
          <w:szCs w:val="22"/>
          <w:color w:val="auto"/>
        </w:rPr>
        <w:t>IN WITNESS WHEREOF, the Executive and the Firm hereto have caused this Agreement to be executed and delivered on the date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General Counsel</w:t>
            </w:r>
          </w:p>
        </w:tc>
      </w:tr>
    </w:tbl>
    <w:p>
      <w:pPr>
        <w:spacing w:after="0" w:line="34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GROUP LLC (on its behalf,</w:t>
      </w:r>
    </w:p>
    <w:p>
      <w:pPr>
        <w:ind w:left="6860"/>
        <w:spacing w:after="0" w:line="238" w:lineRule="auto"/>
        <w:rPr>
          <w:sz w:val="20"/>
          <w:szCs w:val="20"/>
          <w:color w:val="auto"/>
        </w:rPr>
      </w:pPr>
      <w:r>
        <w:rPr>
          <w:rFonts w:ascii="Arial" w:cs="Arial" w:eastAsia="Arial" w:hAnsi="Arial"/>
          <w:sz w:val="22"/>
          <w:szCs w:val="22"/>
          <w:color w:val="auto"/>
        </w:rPr>
        <w:t>and on behalf of its subsidiaries and</w:t>
      </w:r>
    </w:p>
    <w:p>
      <w:pPr>
        <w:ind w:left="6860"/>
        <w:spacing w:after="0"/>
        <w:rPr>
          <w:sz w:val="20"/>
          <w:szCs w:val="20"/>
          <w:color w:val="auto"/>
        </w:rPr>
      </w:pPr>
      <w:r>
        <w:rPr>
          <w:rFonts w:ascii="Arial" w:cs="Arial" w:eastAsia="Arial" w:hAnsi="Arial"/>
          <w:sz w:val="22"/>
          <w:szCs w:val="22"/>
          <w:color w:val="auto"/>
        </w:rPr>
        <w:t>affiliates),</w:t>
      </w:r>
    </w:p>
    <w:p>
      <w:pPr>
        <w:spacing w:after="0" w:line="202"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gridSpan w:val="2"/>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General Counsel</w:t>
            </w:r>
          </w:p>
        </w:tc>
      </w:tr>
      <w:tr>
        <w:trPr>
          <w:trHeight w:val="908"/>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68"/>
        </w:trPr>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22"/>
                <w:szCs w:val="22"/>
                <w:color w:val="auto"/>
              </w:rPr>
              <w:t>Matthieu Bucaille</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67" w:right="239" w:bottom="1440" w:gutter="0" w:footer="0" w:header="0"/>
        </w:sectPr>
      </w:pPr>
    </w:p>
    <w:bookmarkStart w:id="145" w:name="page146"/>
    <w:bookmarkEnd w:id="145"/>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4"/>
              </w:rPr>
              <w:t>Exhibit A</w:t>
            </w:r>
          </w:p>
        </w:tc>
      </w:tr>
      <w:tr>
        <w:trPr>
          <w:trHeight w:val="490"/>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Arial" w:cs="Arial" w:eastAsia="Arial" w:hAnsi="Arial"/>
                <w:sz w:val="22"/>
                <w:szCs w:val="22"/>
                <w:b w:val="1"/>
                <w:bCs w:val="1"/>
                <w:color w:val="auto"/>
              </w:rPr>
              <w:t>WAIVER AND GENERAL RELEASE</w:t>
            </w:r>
          </w:p>
        </w:tc>
      </w:tr>
      <w:tr>
        <w:trPr>
          <w:trHeight w:val="409"/>
        </w:trPr>
        <w:tc>
          <w:tcPr>
            <w:tcW w:w="4900" w:type="dxa"/>
            <w:vAlign w:val="bottom"/>
            <w:gridSpan w:val="3"/>
          </w:tcPr>
          <w:p>
            <w:pPr>
              <w:spacing w:after="0"/>
              <w:rPr>
                <w:sz w:val="20"/>
                <w:szCs w:val="20"/>
                <w:color w:val="auto"/>
              </w:rPr>
            </w:pPr>
            <w:r>
              <w:rPr>
                <w:rFonts w:ascii="Arial" w:cs="Arial" w:eastAsia="Arial" w:hAnsi="Arial"/>
                <w:sz w:val="22"/>
                <w:szCs w:val="22"/>
                <w:color w:val="auto"/>
                <w:w w:val="89"/>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Arial" w:cs="Arial" w:eastAsia="Arial" w:hAnsi="Arial"/>
                <w:sz w:val="22"/>
                <w:szCs w:val="22"/>
                <w:color w:val="auto"/>
                <w:w w:val="94"/>
              </w:rPr>
              <w:t>, by and between Matthieu Bucaille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82" w:lineRule="auto"/>
        <w:rPr>
          <w:sz w:val="20"/>
          <w:szCs w:val="20"/>
          <w:color w:val="auto"/>
        </w:rPr>
      </w:pPr>
      <w:r>
        <w:rPr>
          <w:rFonts w:ascii="Arial" w:cs="Arial" w:eastAsia="Arial" w:hAnsi="Arial"/>
          <w:sz w:val="19"/>
          <w:szCs w:val="19"/>
          <w:color w:val="auto"/>
        </w:rPr>
        <w:t>and Lazard Group LLC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48" w:lineRule="exact"/>
        <w:rPr>
          <w:sz w:val="20"/>
          <w:szCs w:val="20"/>
          <w:color w:val="auto"/>
        </w:rPr>
      </w:pPr>
    </w:p>
    <w:p>
      <w:pPr>
        <w:ind w:left="1220" w:hanging="641"/>
        <w:spacing w:after="0"/>
        <w:tabs>
          <w:tab w:leader="none" w:pos="1220"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Concluding Employment</w:t>
      </w:r>
      <w:r>
        <w:rPr>
          <w:rFonts w:ascii="Arial" w:cs="Arial" w:eastAsia="Arial" w:hAnsi="Arial"/>
          <w:sz w:val="21"/>
          <w:szCs w:val="21"/>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6710680</wp:posOffset>
            </wp:positionH>
            <wp:positionV relativeFrom="paragraph">
              <wp:posOffset>-10160</wp:posOffset>
            </wp:positionV>
            <wp:extent cx="4114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sz w:val="20"/>
          <w:szCs w:val="20"/>
          <w:color w:val="auto"/>
        </w:rPr>
      </w:pPr>
    </w:p>
    <w:p>
      <w:pPr>
        <w:ind w:right="220" w:firstLine="579"/>
        <w:spacing w:after="0" w:line="297" w:lineRule="auto"/>
        <w:tabs>
          <w:tab w:leader="none" w:pos="1219"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238" w:right="239" w:bottom="1440" w:gutter="0" w:footer="0" w:header="0"/>
        </w:sectPr>
      </w:pPr>
    </w:p>
    <w:bookmarkStart w:id="146" w:name="page147"/>
    <w:bookmarkEnd w:id="146"/>
    <w:p>
      <w:pPr>
        <w:ind w:right="86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by and among the Company, Lazard Ltd and you, dated as of March 9, 2016 (such agreement, the “</w:t>
      </w:r>
      <w:r>
        <w:rPr>
          <w:rFonts w:ascii="Arial" w:cs="Arial" w:eastAsia="Arial" w:hAnsi="Arial"/>
          <w:sz w:val="19"/>
          <w:szCs w:val="19"/>
          <w:u w:val="single" w:color="auto"/>
          <w:color w:val="auto"/>
        </w:rPr>
        <w:t>Retention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05" w:lineRule="exact"/>
        <w:rPr>
          <w:sz w:val="20"/>
          <w:szCs w:val="20"/>
          <w:color w:val="auto"/>
        </w:rPr>
      </w:pPr>
    </w:p>
    <w:p>
      <w:pPr>
        <w:ind w:right="60" w:firstLine="579"/>
        <w:spacing w:after="0" w:line="282" w:lineRule="auto"/>
        <w:tabs>
          <w:tab w:leader="none" w:pos="1219"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47" w:lineRule="exact"/>
        <w:rPr>
          <w:rFonts w:ascii="Arial" w:cs="Arial" w:eastAsia="Arial" w:hAnsi="Arial"/>
          <w:sz w:val="19"/>
          <w:szCs w:val="19"/>
          <w:color w:val="auto"/>
        </w:rPr>
      </w:pPr>
    </w:p>
    <w:p>
      <w:pPr>
        <w:ind w:right="40" w:firstLine="579"/>
        <w:spacing w:after="0" w:line="247" w:lineRule="auto"/>
        <w:tabs>
          <w:tab w:leader="none" w:pos="1219"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1"/>
          <w:szCs w:val="21"/>
          <w:u w:val="single" w:color="auto"/>
          <w:color w:val="auto"/>
        </w:rPr>
        <w:t>Releasors</w:t>
      </w:r>
      <w:r>
        <w:rPr>
          <w:rFonts w:ascii="Arial" w:cs="Arial" w:eastAsia="Arial" w:hAnsi="Arial"/>
          <w:sz w:val="21"/>
          <w:szCs w:val="21"/>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178" w:lineRule="exact"/>
        <w:rPr>
          <w:rFonts w:ascii="Arial" w:cs="Arial" w:eastAsia="Arial" w:hAnsi="Arial"/>
          <w:sz w:val="21"/>
          <w:szCs w:val="21"/>
          <w:color w:val="auto"/>
        </w:rPr>
      </w:pPr>
    </w:p>
    <w:p>
      <w:pPr>
        <w:jc w:val="both"/>
        <w:ind w:firstLine="1433"/>
        <w:spacing w:after="0" w:line="272" w:lineRule="auto"/>
        <w:tabs>
          <w:tab w:leader="none" w:pos="2227" w:val="left"/>
        </w:tabs>
        <w:numPr>
          <w:ilvl w:val="2"/>
          <w:numId w:val="164"/>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397"/>
        <w:spacing w:after="0" w:line="235" w:lineRule="auto"/>
        <w:tabs>
          <w:tab w:leader="none" w:pos="2096" w:val="left"/>
        </w:tabs>
        <w:numPr>
          <w:ilvl w:val="1"/>
          <w:numId w:val="164"/>
        </w:numPr>
        <w:rPr>
          <w:rFonts w:ascii="Arial" w:cs="Arial" w:eastAsia="Arial" w:hAnsi="Arial"/>
          <w:sz w:val="22"/>
          <w:szCs w:val="22"/>
          <w:color w:val="auto"/>
        </w:rPr>
      </w:pPr>
      <w:r>
        <w:rPr>
          <w:rFonts w:ascii="Arial" w:cs="Arial" w:eastAsia="Arial" w:hAnsi="Arial"/>
          <w:sz w:val="22"/>
          <w:szCs w:val="22"/>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266" w:right="2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to be paid upon your Separation Date or in connection with your separation (including as described in Section 18 hereof),</w:t>
      </w:r>
    </w:p>
    <w:p>
      <w:pPr>
        <w:spacing w:after="0" w:line="43" w:lineRule="exact"/>
        <w:rPr>
          <w:sz w:val="20"/>
          <w:szCs w:val="20"/>
          <w:color w:val="auto"/>
        </w:rPr>
      </w:pPr>
    </w:p>
    <w:p>
      <w:pPr>
        <w:jc w:val="both"/>
        <w:ind w:firstLine="8"/>
        <w:spacing w:after="0" w:line="244" w:lineRule="auto"/>
        <w:tabs>
          <w:tab w:leader="none" w:pos="367" w:val="left"/>
        </w:tabs>
        <w:numPr>
          <w:ilvl w:val="0"/>
          <w:numId w:val="165"/>
        </w:numPr>
        <w:rPr>
          <w:rFonts w:ascii="Arial" w:cs="Arial" w:eastAsia="Arial" w:hAnsi="Arial"/>
          <w:sz w:val="21"/>
          <w:szCs w:val="21"/>
          <w:color w:val="auto"/>
        </w:rPr>
      </w:pPr>
      <w:r>
        <w:rPr>
          <w:rFonts w:ascii="Arial" w:cs="Arial" w:eastAsia="Arial" w:hAnsi="Arial"/>
          <w:sz w:val="21"/>
          <w:szCs w:val="21"/>
          <w:color w:val="auto"/>
        </w:rPr>
        <w:t>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83" w:lineRule="exact"/>
        <w:rPr>
          <w:rFonts w:ascii="Arial" w:cs="Arial" w:eastAsia="Arial" w:hAnsi="Arial"/>
          <w:sz w:val="21"/>
          <w:szCs w:val="21"/>
          <w:color w:val="auto"/>
        </w:rPr>
      </w:pPr>
    </w:p>
    <w:p>
      <w:pPr>
        <w:jc w:val="both"/>
        <w:ind w:firstLine="579"/>
        <w:spacing w:after="0" w:line="236" w:lineRule="auto"/>
        <w:tabs>
          <w:tab w:leader="none" w:pos="1232"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87" w:lineRule="exact"/>
        <w:rPr>
          <w:rFonts w:ascii="Arial" w:cs="Arial" w:eastAsia="Arial" w:hAnsi="Arial"/>
          <w:sz w:val="22"/>
          <w:szCs w:val="22"/>
          <w:color w:val="auto"/>
        </w:rPr>
      </w:pPr>
    </w:p>
    <w:p>
      <w:pPr>
        <w:jc w:val="both"/>
        <w:ind w:firstLine="579"/>
        <w:spacing w:after="0" w:line="249" w:lineRule="auto"/>
        <w:tabs>
          <w:tab w:leader="none" w:pos="1354" w:val="left"/>
        </w:tabs>
        <w:numPr>
          <w:ilvl w:val="1"/>
          <w:numId w:val="165"/>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jc w:val="both"/>
        <w:ind w:firstLine="1397"/>
        <w:spacing w:after="0" w:line="273" w:lineRule="auto"/>
        <w:tabs>
          <w:tab w:leader="none" w:pos="2110" w:val="left"/>
        </w:tabs>
        <w:numPr>
          <w:ilvl w:val="2"/>
          <w:numId w:val="165"/>
        </w:numPr>
        <w:rPr>
          <w:rFonts w:ascii="Arial" w:cs="Arial" w:eastAsia="Arial" w:hAnsi="Arial"/>
          <w:sz w:val="19"/>
          <w:szCs w:val="19"/>
          <w:color w:val="auto"/>
        </w:rPr>
      </w:pPr>
      <w:r>
        <w:rPr>
          <w:rFonts w:ascii="Arial" w:cs="Arial" w:eastAsia="Arial" w:hAnsi="Arial"/>
          <w:sz w:val="19"/>
          <w:szCs w:val="19"/>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Arial" w:cs="Arial" w:eastAsia="Arial" w:hAnsi="Arial"/>
          <w:sz w:val="22"/>
          <w:szCs w:val="22"/>
          <w:color w:val="auto"/>
        </w:rPr>
        <w:t>requirements, based on the written legal advice of your counsel, you will give prompt notice of such request to</w:t>
      </w:r>
      <w:r>
        <w:rPr>
          <w:sz w:val="20"/>
          <w:szCs w:val="20"/>
          <w:color w:val="auto"/>
        </w:rPr>
        <w:tab/>
      </w:r>
      <w:r>
        <w:rPr>
          <w:rFonts w:ascii="Arial" w:cs="Arial" w:eastAsia="Arial" w:hAnsi="Arial"/>
          <w:sz w:val="19"/>
          <w:szCs w:val="19"/>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7" w:lineRule="exact"/>
        <w:rPr>
          <w:sz w:val="20"/>
          <w:szCs w:val="20"/>
          <w:color w:val="auto"/>
        </w:rPr>
      </w:pPr>
    </w:p>
    <w:p>
      <w:pPr>
        <w:jc w:val="both"/>
        <w:ind w:firstLine="579"/>
        <w:spacing w:after="0" w:line="297" w:lineRule="auto"/>
        <w:tabs>
          <w:tab w:leader="none" w:pos="1286"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26" w:lineRule="exact"/>
        <w:rPr>
          <w:rFonts w:ascii="Arial" w:cs="Arial" w:eastAsia="Arial" w:hAnsi="Arial"/>
          <w:sz w:val="19"/>
          <w:szCs w:val="19"/>
          <w:color w:val="auto"/>
        </w:rPr>
      </w:pPr>
    </w:p>
    <w:p>
      <w:pPr>
        <w:jc w:val="both"/>
        <w:ind w:firstLine="579"/>
        <w:spacing w:after="0" w:line="235" w:lineRule="auto"/>
        <w:tabs>
          <w:tab w:leader="none" w:pos="1313"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Return of Property</w:t>
      </w:r>
      <w:r>
        <w:rPr>
          <w:rFonts w:ascii="Arial" w:cs="Arial" w:eastAsia="Arial" w:hAnsi="Arial"/>
          <w:sz w:val="22"/>
          <w:szCs w:val="22"/>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266" w:right="239" w:bottom="1440" w:gutter="0" w:footer="0" w:header="0"/>
        </w:sectPr>
      </w:pPr>
    </w:p>
    <w:bookmarkStart w:id="148" w:name="page149"/>
    <w:bookmarkEnd w:id="148"/>
    <w:p>
      <w:pPr>
        <w:jc w:val="both"/>
        <w:spacing w:after="0" w:line="234"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188" w:lineRule="exact"/>
        <w:rPr>
          <w:sz w:val="20"/>
          <w:szCs w:val="20"/>
          <w:color w:val="auto"/>
        </w:rPr>
      </w:pPr>
    </w:p>
    <w:p>
      <w:pPr>
        <w:jc w:val="both"/>
        <w:ind w:firstLine="579"/>
        <w:spacing w:after="0" w:line="236" w:lineRule="auto"/>
        <w:tabs>
          <w:tab w:leader="none" w:pos="1367"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87" w:lineRule="exact"/>
        <w:rPr>
          <w:rFonts w:ascii="Arial" w:cs="Arial" w:eastAsia="Arial" w:hAnsi="Arial"/>
          <w:sz w:val="22"/>
          <w:szCs w:val="22"/>
          <w:color w:val="auto"/>
        </w:rPr>
      </w:pPr>
    </w:p>
    <w:p>
      <w:pPr>
        <w:ind w:firstLine="579"/>
        <w:spacing w:after="0" w:line="251" w:lineRule="auto"/>
        <w:tabs>
          <w:tab w:leader="none" w:pos="1327"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579"/>
        <w:spacing w:after="0"/>
        <w:tabs>
          <w:tab w:leader="none" w:pos="1535"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jc w:val="both"/>
        <w:ind w:right="380" w:firstLine="1419"/>
        <w:spacing w:after="0" w:line="297" w:lineRule="auto"/>
        <w:tabs>
          <w:tab w:leader="none" w:pos="206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34" w:lineRule="exact"/>
        <w:rPr>
          <w:rFonts w:ascii="Arial" w:cs="Arial" w:eastAsia="Arial" w:hAnsi="Arial"/>
          <w:sz w:val="19"/>
          <w:szCs w:val="19"/>
          <w:color w:val="auto"/>
        </w:rPr>
      </w:pPr>
    </w:p>
    <w:p>
      <w:pPr>
        <w:ind w:firstLine="579"/>
        <w:spacing w:after="0" w:line="251" w:lineRule="auto"/>
        <w:tabs>
          <w:tab w:leader="none" w:pos="134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579"/>
        <w:spacing w:after="0" w:line="251" w:lineRule="auto"/>
        <w:tabs>
          <w:tab w:leader="none" w:pos="1367"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firstLine="1449"/>
        <w:spacing w:after="0" w:line="251" w:lineRule="auto"/>
        <w:tabs>
          <w:tab w:leader="none" w:pos="2142" w:val="left"/>
        </w:tabs>
        <w:numPr>
          <w:ilvl w:val="2"/>
          <w:numId w:val="167"/>
        </w:numPr>
        <w:rPr>
          <w:rFonts w:ascii="Arial" w:cs="Arial" w:eastAsia="Arial" w:hAnsi="Arial"/>
          <w:sz w:val="22"/>
          <w:szCs w:val="22"/>
          <w:color w:val="auto"/>
        </w:rPr>
      </w:pPr>
      <w:r>
        <w:rPr>
          <w:rFonts w:ascii="Arial" w:cs="Arial" w:eastAsia="Arial" w:hAnsi="Arial"/>
          <w:sz w:val="22"/>
          <w:szCs w:val="22"/>
          <w:color w:val="auto"/>
        </w:rPr>
        <w:t>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579"/>
        <w:spacing w:after="0"/>
        <w:tabs>
          <w:tab w:leader="none" w:pos="1597"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You understand that this Agreement and the Retention Agreement constitute the complete understanding between the Company and you, and supersede any and all agreements, understandings, and discussions, whether written or oral, between you</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267" w:right="239" w:bottom="1440" w:gutter="0" w:footer="0" w:header="0"/>
        </w:sectPr>
      </w:pPr>
    </w:p>
    <w:bookmarkStart w:id="149" w:name="page150"/>
    <w:bookmarkEnd w:id="149"/>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of the Company Entities. No other promises or agreements shall be binding unless in writing and signed by both the Company and you after the Effective Date (as defined below).</w:t>
      </w:r>
    </w:p>
    <w:p>
      <w:pPr>
        <w:spacing w:after="0" w:line="173" w:lineRule="exact"/>
        <w:rPr>
          <w:sz w:val="20"/>
          <w:szCs w:val="20"/>
          <w:color w:val="auto"/>
        </w:rPr>
      </w:pPr>
    </w:p>
    <w:p>
      <w:pPr>
        <w:jc w:val="both"/>
        <w:ind w:firstLine="579"/>
        <w:spacing w:after="0" w:line="246" w:lineRule="auto"/>
        <w:tabs>
          <w:tab w:leader="none" w:pos="1448"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ind w:left="1460" w:hanging="881"/>
        <w:spacing w:after="0"/>
        <w:tabs>
          <w:tab w:leader="none" w:pos="146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w:t>
      </w:r>
    </w:p>
    <w:tbl>
      <w:tblPr>
        <w:tblLayout w:type="fixed"/>
        <w:tblInd w:w="0" w:type="dxa"/>
        <w:tblCellMar>
          <w:top w:w="0" w:type="dxa"/>
          <w:left w:w="0" w:type="dxa"/>
          <w:bottom w:w="0" w:type="dxa"/>
          <w:right w:w="0" w:type="dxa"/>
        </w:tblCellMar>
      </w:tblPr>
      <w:tr>
        <w:trPr>
          <w:trHeight w:val="249"/>
        </w:trPr>
        <w:tc>
          <w:tcPr>
            <w:tcW w:w="3540" w:type="dxa"/>
            <w:vAlign w:val="bottom"/>
            <w:gridSpan w:val="3"/>
          </w:tcPr>
          <w:p>
            <w:pPr>
              <w:spacing w:after="0" w:line="248" w:lineRule="exact"/>
              <w:rPr>
                <w:sz w:val="20"/>
                <w:szCs w:val="20"/>
                <w:color w:val="auto"/>
              </w:rPr>
            </w:pPr>
            <w:r>
              <w:rPr>
                <w:rFonts w:ascii="Arial" w:cs="Arial" w:eastAsia="Arial" w:hAnsi="Arial"/>
                <w:sz w:val="22"/>
                <w:szCs w:val="22"/>
                <w:color w:val="auto"/>
                <w:w w:val="93"/>
              </w:rPr>
              <w:t>Plaza, New York, NY 10020, Attention:</w:t>
            </w:r>
          </w:p>
        </w:tc>
        <w:tc>
          <w:tcPr>
            <w:tcW w:w="1160" w:type="dxa"/>
            <w:vAlign w:val="bottom"/>
            <w:tcBorders>
              <w:bottom w:val="single" w:sz="8" w:color="auto"/>
            </w:tcBorders>
          </w:tcPr>
          <w:p>
            <w:pPr>
              <w:spacing w:after="0"/>
              <w:rPr>
                <w:sz w:val="21"/>
                <w:szCs w:val="21"/>
                <w:color w:val="auto"/>
              </w:rPr>
            </w:pPr>
          </w:p>
        </w:tc>
        <w:tc>
          <w:tcPr>
            <w:tcW w:w="1220" w:type="dxa"/>
            <w:vAlign w:val="bottom"/>
          </w:tcPr>
          <w:p>
            <w:pPr>
              <w:spacing w:after="0" w:line="248" w:lineRule="exact"/>
              <w:rPr>
                <w:sz w:val="20"/>
                <w:szCs w:val="20"/>
                <w:color w:val="auto"/>
              </w:rPr>
            </w:pPr>
            <w:r>
              <w:rPr>
                <w:rFonts w:ascii="Arial" w:cs="Arial" w:eastAsia="Arial" w:hAnsi="Arial"/>
                <w:sz w:val="22"/>
                <w:szCs w:val="22"/>
                <w:color w:val="auto"/>
                <w:w w:val="91"/>
              </w:rPr>
              <w:t>, on or before</w:t>
            </w:r>
          </w:p>
        </w:tc>
        <w:tc>
          <w:tcPr>
            <w:tcW w:w="700" w:type="dxa"/>
            <w:vAlign w:val="bottom"/>
            <w:tcBorders>
              <w:bottom w:val="single" w:sz="8" w:color="auto"/>
            </w:tcBorders>
          </w:tcPr>
          <w:p>
            <w:pPr>
              <w:spacing w:after="0"/>
              <w:rPr>
                <w:sz w:val="21"/>
                <w:szCs w:val="21"/>
                <w:color w:val="auto"/>
              </w:rPr>
            </w:pPr>
          </w:p>
        </w:tc>
        <w:tc>
          <w:tcPr>
            <w:tcW w:w="4800" w:type="dxa"/>
            <w:vAlign w:val="bottom"/>
            <w:gridSpan w:val="3"/>
          </w:tcPr>
          <w:p>
            <w:pPr>
              <w:jc w:val="right"/>
              <w:spacing w:after="0" w:line="248" w:lineRule="exact"/>
              <w:rPr>
                <w:sz w:val="20"/>
                <w:szCs w:val="20"/>
                <w:color w:val="auto"/>
              </w:rPr>
            </w:pPr>
            <w:r>
              <w:rPr>
                <w:rFonts w:ascii="Arial" w:cs="Arial" w:eastAsia="Arial" w:hAnsi="Arial"/>
                <w:sz w:val="22"/>
                <w:szCs w:val="22"/>
                <w:color w:val="auto"/>
                <w:w w:val="90"/>
              </w:rPr>
              <w:t>. After executing this Agreement, you shall have seven</w:t>
            </w:r>
          </w:p>
        </w:tc>
      </w:tr>
      <w:tr>
        <w:trPr>
          <w:trHeight w:val="223"/>
        </w:trPr>
        <w:tc>
          <w:tcPr>
            <w:tcW w:w="9060" w:type="dxa"/>
            <w:vAlign w:val="bottom"/>
            <w:gridSpan w:val="7"/>
          </w:tcPr>
          <w:p>
            <w:pPr>
              <w:spacing w:after="0" w:line="223" w:lineRule="exact"/>
              <w:rPr>
                <w:sz w:val="20"/>
                <w:szCs w:val="20"/>
                <w:color w:val="auto"/>
              </w:rPr>
            </w:pPr>
            <w:r>
              <w:rPr>
                <w:rFonts w:ascii="Arial" w:cs="Arial" w:eastAsia="Arial" w:hAnsi="Arial"/>
                <w:sz w:val="22"/>
                <w:szCs w:val="22"/>
                <w:color w:val="auto"/>
                <w:w w:val="91"/>
              </w:rPr>
              <w:t>(7) days (the “Revocation Period”) to revoke it by indicating your desire to do so in writing delivered to</w:t>
            </w:r>
          </w:p>
        </w:tc>
        <w:tc>
          <w:tcPr>
            <w:tcW w:w="1120" w:type="dxa"/>
            <w:vAlign w:val="bottom"/>
          </w:tcPr>
          <w:p>
            <w:pPr>
              <w:spacing w:after="0"/>
              <w:rPr>
                <w:sz w:val="19"/>
                <w:szCs w:val="19"/>
                <w:color w:val="auto"/>
              </w:rPr>
            </w:pPr>
          </w:p>
        </w:tc>
        <w:tc>
          <w:tcPr>
            <w:tcW w:w="1240" w:type="dxa"/>
            <w:vAlign w:val="bottom"/>
          </w:tcPr>
          <w:p>
            <w:pPr>
              <w:jc w:val="right"/>
              <w:spacing w:after="0" w:line="223" w:lineRule="exact"/>
              <w:rPr>
                <w:sz w:val="20"/>
                <w:szCs w:val="20"/>
                <w:color w:val="auto"/>
              </w:rPr>
            </w:pPr>
            <w:r>
              <w:rPr>
                <w:rFonts w:ascii="Arial" w:cs="Arial" w:eastAsia="Arial" w:hAnsi="Arial"/>
                <w:sz w:val="22"/>
                <w:szCs w:val="22"/>
                <w:color w:val="auto"/>
                <w:w w:val="87"/>
              </w:rPr>
              <w:t>at the address</w:t>
            </w:r>
          </w:p>
        </w:tc>
      </w:tr>
      <w:tr>
        <w:trPr>
          <w:trHeight w:val="20"/>
        </w:trPr>
        <w:tc>
          <w:tcPr>
            <w:tcW w:w="1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above by no later than 5:00 p.m. on the seventh (7th) day after the date you sign this Agreement. The effective date of this Agreement shall be the eighth (8th) day after you sign it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88" w:lineRule="exact"/>
        <w:rPr>
          <w:sz w:val="20"/>
          <w:szCs w:val="20"/>
          <w:color w:val="auto"/>
        </w:rPr>
      </w:pPr>
    </w:p>
    <w:p>
      <w:pPr>
        <w:ind w:firstLine="579"/>
        <w:spacing w:after="0" w:line="274" w:lineRule="auto"/>
        <w:tabs>
          <w:tab w:leader="none" w:pos="1435"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ind w:left="1540" w:hanging="961"/>
        <w:spacing w:after="0"/>
        <w:tabs>
          <w:tab w:leader="none" w:pos="154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Treatment of Awards</w:t>
      </w:r>
      <w:r>
        <w:rPr>
          <w:rFonts w:ascii="Arial" w:cs="Arial" w:eastAsia="Arial" w:hAnsi="Arial"/>
          <w:sz w:val="19"/>
          <w:szCs w:val="19"/>
          <w:color w:val="auto"/>
        </w:rPr>
        <w:t>. You currently hold the awards listed on Annex I to this Agreement (the “</w:t>
      </w:r>
      <w:r>
        <w:rPr>
          <w:rFonts w:ascii="Arial" w:cs="Arial" w:eastAsia="Arial" w:hAnsi="Arial"/>
          <w:sz w:val="19"/>
          <w:szCs w:val="19"/>
          <w:u w:val="single" w:color="auto"/>
          <w:color w:val="auto"/>
        </w:rPr>
        <w:t>Awards</w:t>
      </w:r>
      <w:r>
        <w:rPr>
          <w:rFonts w:ascii="Arial" w:cs="Arial" w:eastAsia="Arial" w:hAnsi="Arial"/>
          <w:sz w:val="19"/>
          <w:szCs w:val="19"/>
          <w:color w:val="auto"/>
        </w:rPr>
        <w:t>”). The</w:t>
      </w:r>
    </w:p>
    <w:p>
      <w:pPr>
        <w:spacing w:after="0" w:line="3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Awards [(other than the</w:t>
      </w:r>
      <w:r>
        <w:rPr>
          <w:sz w:val="20"/>
          <w:szCs w:val="20"/>
          <w:color w:val="auto"/>
        </w:rPr>
        <w:tab/>
      </w:r>
      <w:r>
        <w:rPr>
          <w:rFonts w:ascii="Arial" w:cs="Arial" w:eastAsia="Arial" w:hAnsi="Arial"/>
          <w:sz w:val="19"/>
          <w:szCs w:val="19"/>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1"/>
          <w:szCs w:val="21"/>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267"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1260" w:type="dxa"/>
            <w:vAlign w:val="bottom"/>
            <w:tcBorders>
              <w:bottom w:val="single" w:sz="8" w:color="auto"/>
            </w:tcBorders>
            <w:gridSpan w:val="5"/>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580" w:type="dxa"/>
            <w:vAlign w:val="bottom"/>
          </w:tcPr>
          <w:p>
            <w:pPr>
              <w:ind w:left="4020"/>
              <w:spacing w:after="0"/>
              <w:rPr>
                <w:sz w:val="20"/>
                <w:szCs w:val="20"/>
                <w:color w:val="auto"/>
              </w:rPr>
            </w:pPr>
            <w:r>
              <w:rPr>
                <w:rFonts w:ascii="Arial" w:cs="Arial" w:eastAsia="Arial" w:hAnsi="Arial"/>
                <w:sz w:val="22"/>
                <w:szCs w:val="22"/>
                <w:color w:val="auto"/>
              </w:rPr>
              <w:t>Date:</w:t>
            </w:r>
          </w:p>
        </w:tc>
        <w:tc>
          <w:tcPr>
            <w:tcW w:w="1300" w:type="dxa"/>
            <w:vAlign w:val="bottom"/>
            <w:tcBorders>
              <w:bottom w:val="single" w:sz="8" w:color="auto"/>
            </w:tcBorders>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1080" w:type="dxa"/>
            <w:vAlign w:val="bottom"/>
          </w:tcPr>
          <w:p>
            <w:pPr>
              <w:spacing w:after="0"/>
              <w:rPr>
                <w:sz w:val="23"/>
                <w:szCs w:val="23"/>
                <w:color w:val="auto"/>
              </w:rPr>
            </w:pPr>
          </w:p>
        </w:tc>
        <w:tc>
          <w:tcPr>
            <w:tcW w:w="1300" w:type="dxa"/>
            <w:vAlign w:val="bottom"/>
            <w:gridSpan w:val="6"/>
          </w:tcPr>
          <w:p>
            <w:pPr>
              <w:spacing w:after="0"/>
              <w:rPr>
                <w:sz w:val="20"/>
                <w:szCs w:val="20"/>
                <w:color w:val="auto"/>
              </w:rPr>
            </w:pPr>
            <w:r>
              <w:rPr>
                <w:rFonts w:ascii="Arial" w:cs="Arial" w:eastAsia="Arial" w:hAnsi="Arial"/>
                <w:sz w:val="22"/>
                <w:szCs w:val="22"/>
                <w:color w:val="auto"/>
              </w:rPr>
              <w:t>NAME</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1"/>
        </w:trPr>
        <w:tc>
          <w:tcPr>
            <w:tcW w:w="2380" w:type="dxa"/>
            <w:vAlign w:val="bottom"/>
            <w:gridSpan w:val="7"/>
          </w:tcPr>
          <w:p>
            <w:pPr>
              <w:spacing w:after="0"/>
              <w:rPr>
                <w:sz w:val="20"/>
                <w:szCs w:val="20"/>
                <w:color w:val="auto"/>
              </w:rPr>
            </w:pPr>
            <w:r>
              <w:rPr>
                <w:rFonts w:ascii="Arial" w:cs="Arial" w:eastAsia="Arial" w:hAnsi="Arial"/>
                <w:sz w:val="22"/>
                <w:szCs w:val="22"/>
                <w:color w:val="auto"/>
              </w:rPr>
              <w:t>STATE OF</w:t>
            </w:r>
          </w:p>
        </w:tc>
        <w:tc>
          <w:tcPr>
            <w:tcW w:w="5960" w:type="dxa"/>
            <w:vAlign w:val="bottom"/>
            <w:gridSpan w:val="6"/>
          </w:tcPr>
          <w:p>
            <w:pPr>
              <w:ind w:left="1520"/>
              <w:spacing w:after="0"/>
              <w:rPr>
                <w:sz w:val="20"/>
                <w:szCs w:val="20"/>
                <w:color w:val="auto"/>
              </w:rPr>
            </w:pPr>
            <w:r>
              <w:rPr>
                <w:rFonts w:ascii="Arial" w:cs="Arial" w:eastAsia="Arial" w:hAnsi="Arial"/>
                <w:sz w:val="22"/>
                <w:szCs w:val="22"/>
                <w:color w:val="auto"/>
              </w:rPr>
              <w:t>)</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2"/>
        </w:trPr>
        <w:tc>
          <w:tcPr>
            <w:tcW w:w="10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94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 ss.:</w:t>
            </w:r>
          </w:p>
        </w:tc>
      </w:tr>
      <w:tr>
        <w:trPr>
          <w:trHeight w:val="224"/>
        </w:trPr>
        <w:tc>
          <w:tcPr>
            <w:tcW w:w="1340" w:type="dxa"/>
            <w:vAlign w:val="bottom"/>
            <w:gridSpan w:val="4"/>
          </w:tcPr>
          <w:p>
            <w:pPr>
              <w:spacing w:after="0" w:line="224" w:lineRule="exact"/>
              <w:rPr>
                <w:sz w:val="20"/>
                <w:szCs w:val="20"/>
                <w:color w:val="auto"/>
              </w:rPr>
            </w:pPr>
            <w:r>
              <w:rPr>
                <w:rFonts w:ascii="Arial" w:cs="Arial" w:eastAsia="Arial" w:hAnsi="Arial"/>
                <w:sz w:val="22"/>
                <w:szCs w:val="22"/>
                <w:color w:val="auto"/>
              </w:rPr>
              <w:t>COUNTY OF</w:t>
            </w:r>
          </w:p>
        </w:tc>
        <w:tc>
          <w:tcPr>
            <w:tcW w:w="1040" w:type="dxa"/>
            <w:vAlign w:val="bottom"/>
            <w:tcBorders>
              <w:bottom w:val="single" w:sz="8" w:color="auto"/>
            </w:tcBorders>
            <w:gridSpan w:val="3"/>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920" w:type="dxa"/>
            <w:vAlign w:val="bottom"/>
            <w:gridSpan w:val="5"/>
          </w:tcPr>
          <w:p>
            <w:pPr>
              <w:ind w:left="1480"/>
              <w:spacing w:after="0" w:line="224" w:lineRule="exact"/>
              <w:rPr>
                <w:sz w:val="20"/>
                <w:szCs w:val="20"/>
                <w:color w:val="auto"/>
              </w:rPr>
            </w:pPr>
            <w:r>
              <w:rPr>
                <w:rFonts w:ascii="Arial" w:cs="Arial" w:eastAsia="Arial" w:hAnsi="Arial"/>
                <w:sz w:val="22"/>
                <w:szCs w:val="22"/>
                <w:color w:val="auto"/>
              </w:rPr>
              <w:t>)</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9"/>
        </w:trPr>
        <w:tc>
          <w:tcPr>
            <w:tcW w:w="2380" w:type="dxa"/>
            <w:vAlign w:val="bottom"/>
            <w:gridSpan w:val="7"/>
          </w:tcPr>
          <w:p>
            <w:pPr>
              <w:ind w:left="580"/>
              <w:spacing w:after="0"/>
              <w:rPr>
                <w:sz w:val="20"/>
                <w:szCs w:val="20"/>
                <w:color w:val="auto"/>
              </w:rPr>
            </w:pPr>
            <w:r>
              <w:rPr>
                <w:rFonts w:ascii="Arial" w:cs="Arial" w:eastAsia="Arial" w:hAnsi="Arial"/>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6"/>
          </w:tcPr>
          <w:p>
            <w:pPr>
              <w:ind w:left="60"/>
              <w:spacing w:after="0"/>
              <w:rPr>
                <w:sz w:val="20"/>
                <w:szCs w:val="20"/>
                <w:color w:val="auto"/>
              </w:rPr>
            </w:pPr>
            <w:r>
              <w:rPr>
                <w:rFonts w:ascii="Arial" w:cs="Arial" w:eastAsia="Arial" w:hAnsi="Arial"/>
                <w:sz w:val="22"/>
                <w:szCs w:val="22"/>
                <w:color w:val="auto"/>
                <w:w w:val="90"/>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described and who executed the foregoing Agreement, and [she/he] duly acknowledged to me that [she/he]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449580</wp:posOffset>
            </wp:positionV>
            <wp:extent cx="18180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Notary Public</w:t>
      </w:r>
    </w:p>
    <w:p>
      <w:pPr>
        <w:spacing w:after="0" w:line="13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940"/>
          </w:cols>
          <w:pgMar w:left="240" w:top="238" w:right="71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10.10</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AGREEMENT RELATING TO RETENTION AND</w:t>
      </w:r>
    </w:p>
    <w:p>
      <w:pPr>
        <w:jc w:val="center"/>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21"/>
          <w:szCs w:val="21"/>
          <w:color w:val="auto"/>
        </w:rPr>
        <w:t>AMENDED AND RESTATED AGREEMENT, dated as of March 9,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Lazard Ltd, a company incorporated under the laws of Bermuda (“</w:t>
      </w:r>
      <w:r>
        <w:rPr>
          <w:rFonts w:ascii="Arial" w:cs="Arial" w:eastAsia="Arial" w:hAnsi="Arial"/>
          <w:sz w:val="21"/>
          <w:szCs w:val="21"/>
          <w:u w:val="single" w:color="auto"/>
          <w:color w:val="auto"/>
        </w:rPr>
        <w:t>Lazard</w:t>
      </w:r>
      <w:r>
        <w:rPr>
          <w:rFonts w:ascii="Arial" w:cs="Arial" w:eastAsia="Arial" w:hAnsi="Arial"/>
          <w:sz w:val="21"/>
          <w:szCs w:val="21"/>
          <w:color w:val="auto"/>
        </w:rPr>
        <w:t>”), Lazard Group LLC, a Delaware limited liability company (“</w:t>
      </w:r>
      <w:r>
        <w:rPr>
          <w:rFonts w:ascii="Arial" w:cs="Arial" w:eastAsia="Arial" w:hAnsi="Arial"/>
          <w:sz w:val="21"/>
          <w:szCs w:val="21"/>
          <w:u w:val="single" w:color="auto"/>
          <w:color w:val="auto"/>
        </w:rPr>
        <w:t>Lazard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its behalf and on behalf of its subsidiaries and affiliates (collectively with Lazard and Lazard Group, and its and their predecessors and successors, the “</w:t>
      </w:r>
      <w:r>
        <w:rPr>
          <w:rFonts w:ascii="Arial" w:cs="Arial" w:eastAsia="Arial" w:hAnsi="Arial"/>
          <w:sz w:val="21"/>
          <w:szCs w:val="21"/>
          <w:u w:val="single" w:color="auto"/>
          <w:color w:val="auto"/>
        </w:rPr>
        <w:t>Firm</w:t>
      </w:r>
      <w:r>
        <w:rPr>
          <w:rFonts w:ascii="Arial" w:cs="Arial" w:eastAsia="Arial" w:hAnsi="Arial"/>
          <w:sz w:val="21"/>
          <w:szCs w:val="21"/>
          <w:color w:val="auto"/>
        </w:rPr>
        <w:t>”), and Scott D. Hoffman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4" w:lineRule="exact"/>
        <w:rPr>
          <w:sz w:val="20"/>
          <w:szCs w:val="20"/>
          <w:color w:val="auto"/>
        </w:rPr>
      </w:pPr>
    </w:p>
    <w:p>
      <w:pPr>
        <w:ind w:right="40" w:firstLine="571"/>
        <w:spacing w:after="0" w:line="297" w:lineRule="auto"/>
        <w:rPr>
          <w:sz w:val="20"/>
          <w:szCs w:val="20"/>
          <w:color w:val="auto"/>
        </w:rPr>
      </w:pPr>
      <w:r>
        <w:rPr>
          <w:rFonts w:ascii="Arial" w:cs="Arial" w:eastAsia="Arial" w:hAnsi="Arial"/>
          <w:sz w:val="19"/>
          <w:szCs w:val="19"/>
          <w:color w:val="auto"/>
        </w:rPr>
        <w:t>WHEREAS, the Executive previously entered into an Agreement Relating to Retention and Noncompetition and Other Covenants with Lazard and Lazard Group, dated as of May 4, 2005, as amended on May 7, 2008, February 23, 2011 and March 14, 2013 (such agreement, together with all schedules and attachments thereto, the “</w:t>
      </w:r>
      <w:r>
        <w:rPr>
          <w:rFonts w:ascii="Arial" w:cs="Arial" w:eastAsia="Arial" w:hAnsi="Arial"/>
          <w:sz w:val="19"/>
          <w:szCs w:val="19"/>
          <w:u w:val="single" w:color="auto"/>
          <w:color w:val="auto"/>
        </w:rPr>
        <w:t>Prior Retention Agreement</w:t>
      </w:r>
      <w:r>
        <w:rPr>
          <w:rFonts w:ascii="Arial" w:cs="Arial" w:eastAsia="Arial" w:hAnsi="Arial"/>
          <w:sz w:val="19"/>
          <w:szCs w:val="19"/>
          <w:color w:val="auto"/>
        </w:rPr>
        <w:t>”);</w:t>
      </w:r>
    </w:p>
    <w:p>
      <w:pPr>
        <w:spacing w:after="0" w:line="134" w:lineRule="exact"/>
        <w:rPr>
          <w:sz w:val="20"/>
          <w:szCs w:val="20"/>
          <w:color w:val="auto"/>
        </w:rPr>
      </w:pPr>
    </w:p>
    <w:p>
      <w:pPr>
        <w:ind w:right="60" w:firstLine="571"/>
        <w:spacing w:after="0" w:line="236" w:lineRule="auto"/>
        <w:rPr>
          <w:sz w:val="20"/>
          <w:szCs w:val="20"/>
          <w:color w:val="auto"/>
        </w:rPr>
      </w:pPr>
      <w:r>
        <w:rPr>
          <w:rFonts w:ascii="Arial" w:cs="Arial" w:eastAsia="Arial" w:hAnsi="Arial"/>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WHEREAS, as of the date hereof, the Executive is the General Counsel of Lazard and Lazard Group.</w:t>
      </w:r>
    </w:p>
    <w:p>
      <w:pPr>
        <w:spacing w:after="0" w:line="206"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20" w:firstLine="579"/>
        <w:spacing w:after="0" w:line="272" w:lineRule="auto"/>
        <w:tabs>
          <w:tab w:leader="none" w:pos="116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Arial" w:cs="Arial" w:eastAsia="Arial" w:hAnsi="Arial"/>
          <w:sz w:val="19"/>
          <w:szCs w:val="19"/>
          <w:u w:val="single" w:color="auto"/>
          <w:color w:val="auto"/>
        </w:rPr>
        <w:t>Specified Expiration Date</w:t>
      </w:r>
      <w:r>
        <w:rPr>
          <w:rFonts w:ascii="Arial" w:cs="Arial" w:eastAsia="Arial" w:hAnsi="Arial"/>
          <w:sz w:val="19"/>
          <w:szCs w:val="19"/>
          <w:color w:val="auto"/>
        </w:rPr>
        <w:t>”), provided that, upon a Change in Control (as defined in Lazard’s 2008 Incentive Compensation Plan, as it may be amended from time to time, or any successor plan thereto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9"/>
          <w:szCs w:val="19"/>
          <w:u w:val="single" w:color="auto"/>
          <w:color w:val="auto"/>
        </w:rPr>
        <w:t>Disability</w:t>
      </w:r>
      <w:r>
        <w:rPr>
          <w:rFonts w:ascii="Arial" w:cs="Arial" w:eastAsia="Arial" w:hAnsi="Arial"/>
          <w:sz w:val="19"/>
          <w:szCs w:val="19"/>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11" w:right="239" w:bottom="1440" w:gutter="0" w:footer="0" w:header="0"/>
        </w:sectPr>
      </w:pPr>
    </w:p>
    <w:bookmarkStart w:id="152" w:name="page153"/>
    <w:bookmarkEnd w:id="152"/>
    <w:p>
      <w:pPr>
        <w:ind w:right="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period in lieu of such notice;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86" w:lineRule="exact"/>
        <w:rPr>
          <w:sz w:val="20"/>
          <w:szCs w:val="20"/>
          <w:color w:val="auto"/>
        </w:rPr>
      </w:pPr>
    </w:p>
    <w:p>
      <w:pPr>
        <w:ind w:left="1180" w:hanging="601"/>
        <w:spacing w:after="0"/>
        <w:tabs>
          <w:tab w:leader="none" w:pos="118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right="20" w:firstLine="579"/>
        <w:spacing w:after="0" w:line="251" w:lineRule="auto"/>
        <w:tabs>
          <w:tab w:leader="none" w:pos="1165"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Continued Employment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Employment</w:t>
      </w:r>
      <w:r>
        <w:rPr>
          <w:rFonts w:ascii="Arial" w:cs="Arial" w:eastAsia="Arial" w:hAnsi="Arial"/>
          <w:sz w:val="22"/>
          <w:szCs w:val="22"/>
          <w:color w:val="auto"/>
        </w:rPr>
        <w:t>. The Executive hereby agrees to continue in the employ of the Firm, subject to the terms and conditions of this Agreement.</w:t>
      </w:r>
    </w:p>
    <w:p>
      <w:pPr>
        <w:spacing w:after="0" w:line="173" w:lineRule="exact"/>
        <w:rPr>
          <w:sz w:val="20"/>
          <w:szCs w:val="20"/>
          <w:color w:val="auto"/>
        </w:rPr>
      </w:pPr>
    </w:p>
    <w:p>
      <w:pPr>
        <w:ind w:firstLine="579"/>
        <w:spacing w:after="0" w:line="273" w:lineRule="auto"/>
        <w:tabs>
          <w:tab w:leader="none" w:pos="1255"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Duties and Responsibilities; Code of Conduct</w:t>
      </w:r>
      <w:r>
        <w:rPr>
          <w:rFonts w:ascii="Arial" w:cs="Arial" w:eastAsia="Arial" w:hAnsi="Arial"/>
          <w:sz w:val="19"/>
          <w:szCs w:val="19"/>
          <w:color w:val="auto"/>
        </w:rPr>
        <w:t>. During the Term until the Specified Expiration Date, the Executive shall continue to (i) serve as the General Counsel of Lazard and Lazard Group, with such authority, duties and responsibilities as are consistent with the authority, duties and responsibilities exercised by the Executive on the date hereof, (ii) report directly to the Firm’s Chief Executive Officer and the Board of Directors of Lazard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61" w:lineRule="exact"/>
        <w:rPr>
          <w:rFonts w:ascii="Arial" w:cs="Arial" w:eastAsia="Arial" w:hAnsi="Arial"/>
          <w:sz w:val="19"/>
          <w:szCs w:val="19"/>
          <w:color w:val="auto"/>
        </w:rPr>
      </w:pPr>
    </w:p>
    <w:p>
      <w:pPr>
        <w:ind w:left="1260" w:hanging="681"/>
        <w:spacing w:after="0"/>
        <w:tabs>
          <w:tab w:leader="none" w:pos="126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right="160" w:firstLine="579"/>
        <w:spacing w:after="0" w:line="245" w:lineRule="auto"/>
        <w:tabs>
          <w:tab w:leader="none" w:pos="1207"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period ending on the Specified Expiration Date, subject to the Executive’s continued employment hereunder, the Executive shall be entitled to receive an annual base salary of not less than $750,000 (“</w:t>
      </w:r>
      <w:r>
        <w:rPr>
          <w:rFonts w:ascii="Arial" w:cs="Arial" w:eastAsia="Arial" w:hAnsi="Arial"/>
          <w:sz w:val="21"/>
          <w:szCs w:val="21"/>
          <w:u w:val="single" w:color="auto"/>
          <w:color w:val="auto"/>
        </w:rPr>
        <w:t>Base Salary</w:t>
      </w:r>
      <w:r>
        <w:rPr>
          <w:rFonts w:ascii="Arial" w:cs="Arial" w:eastAsia="Arial" w:hAnsi="Arial"/>
          <w:sz w:val="21"/>
          <w:szCs w:val="21"/>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5" w:lineRule="exact"/>
        <w:rPr>
          <w:rFonts w:ascii="Arial" w:cs="Arial" w:eastAsia="Arial" w:hAnsi="Arial"/>
          <w:sz w:val="21"/>
          <w:szCs w:val="21"/>
          <w:color w:val="auto"/>
        </w:rPr>
      </w:pPr>
    </w:p>
    <w:p>
      <w:pPr>
        <w:ind w:right="20" w:firstLine="579"/>
        <w:spacing w:after="0" w:line="247" w:lineRule="auto"/>
        <w:tabs>
          <w:tab w:leader="none" w:pos="1267"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 deferred awards or recapture of previous gains in respect of such equity compensation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67" w:right="259" w:bottom="1440" w:gutter="0" w:footer="0" w:header="0"/>
        </w:sectPr>
      </w:pPr>
    </w:p>
    <w:bookmarkStart w:id="153" w:name="page154"/>
    <w:bookmarkEnd w:id="153"/>
    <w:p>
      <w:pPr>
        <w:ind w:right="300"/>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53" w:lineRule="exact"/>
        <w:rPr>
          <w:sz w:val="20"/>
          <w:szCs w:val="20"/>
          <w:color w:val="auto"/>
        </w:rPr>
      </w:pPr>
    </w:p>
    <w:p>
      <w:pPr>
        <w:jc w:val="both"/>
        <w:ind w:firstLine="440"/>
        <w:spacing w:after="0"/>
        <w:tabs>
          <w:tab w:leader="none" w:pos="1188"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right="20" w:firstLine="440"/>
        <w:spacing w:after="0" w:line="248" w:lineRule="auto"/>
        <w:tabs>
          <w:tab w:leader="none" w:pos="1176"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Employee Benefit Plans</w:t>
      </w:r>
      <w:r>
        <w:rPr>
          <w:rFonts w:ascii="Arial" w:cs="Arial" w:eastAsia="Arial" w:hAnsi="Arial"/>
          <w:sz w:val="21"/>
          <w:szCs w:val="21"/>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77" w:lineRule="exact"/>
        <w:rPr>
          <w:sz w:val="20"/>
          <w:szCs w:val="20"/>
          <w:color w:val="auto"/>
        </w:rPr>
      </w:pPr>
    </w:p>
    <w:p>
      <w:pPr>
        <w:ind w:right="60" w:firstLine="440"/>
        <w:spacing w:after="0" w:line="248" w:lineRule="auto"/>
        <w:tabs>
          <w:tab w:leader="none" w:pos="1116"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7" w:lineRule="exact"/>
        <w:rPr>
          <w:sz w:val="20"/>
          <w:szCs w:val="20"/>
          <w:color w:val="auto"/>
        </w:rPr>
      </w:pPr>
    </w:p>
    <w:p>
      <w:pPr>
        <w:ind w:right="140" w:firstLine="440"/>
        <w:spacing w:after="0" w:line="273" w:lineRule="auto"/>
        <w:tabs>
          <w:tab w:leader="none" w:pos="75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7" w:right="239" w:bottom="1440" w:gutter="0" w:footer="0" w:header="0"/>
        </w:sectPr>
      </w:pPr>
    </w:p>
    <w:bookmarkStart w:id="154" w:name="page155"/>
    <w:bookmarkEnd w:id="154"/>
    <w:p>
      <w:pPr>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 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Continuation Period</w:t>
      </w:r>
      <w:r>
        <w:rPr>
          <w:rFonts w:ascii="Arial" w:cs="Arial" w:eastAsia="Arial" w:hAnsi="Arial"/>
          <w:sz w:val="19"/>
          <w:szCs w:val="19"/>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200" w:lineRule="exact"/>
        <w:rPr>
          <w:sz w:val="20"/>
          <w:szCs w:val="20"/>
          <w:color w:val="auto"/>
        </w:rPr>
      </w:pPr>
    </w:p>
    <w:p>
      <w:pPr>
        <w:spacing w:after="0" w:line="216" w:lineRule="exact"/>
        <w:rPr>
          <w:sz w:val="20"/>
          <w:szCs w:val="20"/>
          <w:color w:val="auto"/>
        </w:rPr>
      </w:pPr>
    </w:p>
    <w:p>
      <w:pPr>
        <w:ind w:left="580" w:firstLine="541"/>
        <w:spacing w:after="0" w:line="271" w:lineRule="auto"/>
        <w:tabs>
          <w:tab w:leader="none" w:pos="168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267" w:right="279" w:bottom="1440" w:gutter="0" w:footer="0" w:header="0"/>
        </w:sectPr>
      </w:pPr>
    </w:p>
    <w:bookmarkStart w:id="155" w:name="page156"/>
    <w:bookmarkEnd w:id="155"/>
    <w:p>
      <w:pPr>
        <w:ind w:left="580" w:right="20" w:firstLine="541"/>
        <w:spacing w:after="0" w:line="279" w:lineRule="auto"/>
        <w:tabs>
          <w:tab w:leader="none" w:pos="1752" w:val="left"/>
        </w:tabs>
        <w:numPr>
          <w:ilvl w:val="0"/>
          <w:numId w:val="17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51" w:lineRule="exact"/>
        <w:rPr>
          <w:sz w:val="20"/>
          <w:szCs w:val="20"/>
          <w:color w:val="auto"/>
        </w:rPr>
      </w:pPr>
    </w:p>
    <w:p>
      <w:pPr>
        <w:ind w:firstLine="571"/>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67" w:lineRule="exact"/>
        <w:rPr>
          <w:sz w:val="20"/>
          <w:szCs w:val="20"/>
          <w:color w:val="auto"/>
        </w:rPr>
      </w:pPr>
    </w:p>
    <w:p>
      <w:pPr>
        <w:ind w:right="20" w:firstLine="579"/>
        <w:spacing w:after="0" w:line="234" w:lineRule="auto"/>
        <w:tabs>
          <w:tab w:leader="none" w:pos="94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91" w:lineRule="exact"/>
        <w:rPr>
          <w:rFonts w:ascii="Arial" w:cs="Arial" w:eastAsia="Arial" w:hAnsi="Arial"/>
          <w:sz w:val="22"/>
          <w:szCs w:val="22"/>
          <w:color w:val="auto"/>
        </w:rPr>
      </w:pPr>
    </w:p>
    <w:p>
      <w:pPr>
        <w:ind w:firstLine="579"/>
        <w:spacing w:after="0" w:line="235" w:lineRule="auto"/>
        <w:tabs>
          <w:tab w:leader="none" w:pos="93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 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right="180" w:firstLine="579"/>
        <w:spacing w:after="0" w:line="235" w:lineRule="auto"/>
        <w:tabs>
          <w:tab w:leader="none" w:pos="87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8" w:lineRule="exact"/>
        <w:rPr>
          <w:sz w:val="20"/>
          <w:szCs w:val="20"/>
          <w:color w:val="auto"/>
        </w:rPr>
      </w:pPr>
    </w:p>
    <w:p>
      <w:pPr>
        <w:ind w:left="1260" w:hanging="681"/>
        <w:spacing w:after="0"/>
        <w:tabs>
          <w:tab w:leader="none" w:pos="126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as applicable,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right="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(i) conviction of the Executive of, or a guilty or nolo contendere plea (or the equivalent in a non-United States jurisdiction) by the Executive to, a felony (or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267" w:right="279" w:bottom="1440" w:gutter="0" w:footer="0" w:header="0"/>
        </w:sectPr>
      </w:pPr>
    </w:p>
    <w:bookmarkStart w:id="156" w:name="page157"/>
    <w:bookmarkEnd w:id="156"/>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 in a non-United States jurisdiction), or of any other crime that legally prohibits the Executive from working for the Firm;</w:t>
      </w:r>
    </w:p>
    <w:p>
      <w:pPr>
        <w:spacing w:after="0" w:line="43" w:lineRule="exact"/>
        <w:rPr>
          <w:sz w:val="20"/>
          <w:szCs w:val="20"/>
          <w:color w:val="auto"/>
        </w:rPr>
      </w:pPr>
    </w:p>
    <w:p>
      <w:pPr>
        <w:ind w:right="20" w:firstLine="8"/>
        <w:spacing w:after="0" w:line="269" w:lineRule="auto"/>
        <w:tabs>
          <w:tab w:leader="none" w:pos="31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or the Board of Directors of Lazard,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9"/>
          <w:szCs w:val="19"/>
          <w:u w:val="single" w:color="auto"/>
          <w:color w:val="auto"/>
        </w:rPr>
        <w:t>Applicable Board</w:t>
      </w:r>
      <w:r>
        <w:rPr>
          <w:rFonts w:ascii="Arial" w:cs="Arial" w:eastAsia="Arial" w:hAnsi="Arial"/>
          <w:sz w:val="19"/>
          <w:szCs w:val="19"/>
          <w:color w:val="auto"/>
        </w:rPr>
        <w:t>”) finding that, in the good faith opinion of the Applicable Board, circumstances constituting Cause exist.</w:t>
      </w:r>
    </w:p>
    <w:p>
      <w:pPr>
        <w:spacing w:after="0" w:line="164" w:lineRule="exact"/>
        <w:rPr>
          <w:sz w:val="20"/>
          <w:szCs w:val="20"/>
          <w:color w:val="auto"/>
        </w:rPr>
      </w:pPr>
    </w:p>
    <w:p>
      <w:pPr>
        <w:ind w:firstLine="571"/>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157" w:name="page158"/>
    <w:bookmarkEnd w:id="157"/>
    <w:p>
      <w:pPr>
        <w:ind w:right="60"/>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159" w:lineRule="exact"/>
        <w:rPr>
          <w:sz w:val="20"/>
          <w:szCs w:val="20"/>
          <w:color w:val="auto"/>
        </w:rPr>
      </w:pPr>
    </w:p>
    <w:p>
      <w:pPr>
        <w:ind w:firstLine="57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w:t>
      </w:r>
    </w:p>
    <w:p>
      <w:pPr>
        <w:spacing w:after="0" w:line="2" w:lineRule="exact"/>
        <w:rPr>
          <w:sz w:val="20"/>
          <w:szCs w:val="20"/>
          <w:color w:val="auto"/>
        </w:rPr>
      </w:pPr>
    </w:p>
    <w:p>
      <w:pPr>
        <w:ind w:right="180" w:firstLine="8"/>
        <w:spacing w:after="0" w:line="243" w:lineRule="auto"/>
        <w:tabs>
          <w:tab w:leader="none" w:pos="414" w:val="left"/>
        </w:tabs>
        <w:numPr>
          <w:ilvl w:val="0"/>
          <w:numId w:val="182"/>
        </w:numPr>
        <w:rPr>
          <w:rFonts w:ascii="Arial" w:cs="Arial" w:eastAsia="Arial" w:hAnsi="Arial"/>
          <w:sz w:val="21"/>
          <w:szCs w:val="21"/>
          <w:color w:val="auto"/>
        </w:rPr>
      </w:pPr>
      <w:r>
        <w:rPr>
          <w:rFonts w:ascii="Arial" w:cs="Arial" w:eastAsia="Arial" w:hAnsi="Arial"/>
          <w:sz w:val="21"/>
          <w:szCs w:val="21"/>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4" w:lineRule="exact"/>
        <w:rPr>
          <w:rFonts w:ascii="Arial" w:cs="Arial" w:eastAsia="Arial" w:hAnsi="Arial"/>
          <w:sz w:val="21"/>
          <w:szCs w:val="21"/>
          <w:color w:val="auto"/>
        </w:rPr>
      </w:pPr>
    </w:p>
    <w:p>
      <w:pPr>
        <w:ind w:right="140" w:firstLine="579"/>
        <w:spacing w:after="0" w:line="279" w:lineRule="auto"/>
        <w:tabs>
          <w:tab w:leader="none" w:pos="1219"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Certain Limitations on Payments</w:t>
      </w:r>
      <w:r>
        <w:rPr>
          <w:rFonts w:ascii="Arial" w:cs="Arial" w:eastAsia="Arial" w:hAnsi="Arial"/>
          <w:sz w:val="19"/>
          <w:szCs w:val="19"/>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9"/>
          <w:szCs w:val="19"/>
          <w:u w:val="single" w:color="auto"/>
          <w:color w:val="auto"/>
        </w:rPr>
        <w:t>Accountant</w:t>
      </w:r>
      <w:r>
        <w:rPr>
          <w:rFonts w:ascii="Arial" w:cs="Arial" w:eastAsia="Arial" w:hAnsi="Arial"/>
          <w:sz w:val="19"/>
          <w:szCs w:val="19"/>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6" w:right="239" w:bottom="1440" w:gutter="0" w:footer="0" w:header="0"/>
        </w:sectPr>
      </w:pPr>
    </w:p>
    <w:bookmarkStart w:id="158" w:name="page159"/>
    <w:bookmarkEnd w:id="158"/>
    <w:p>
      <w:pPr>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9"/>
          <w:szCs w:val="19"/>
          <w:u w:val="single" w:color="auto"/>
          <w:color w:val="auto"/>
        </w:rPr>
        <w:t>Parachute Payments</w:t>
      </w:r>
      <w:r>
        <w:rPr>
          <w:rFonts w:ascii="Arial" w:cs="Arial" w:eastAsia="Arial" w:hAnsi="Arial"/>
          <w:sz w:val="19"/>
          <w:szCs w:val="19"/>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9"/>
          <w:szCs w:val="19"/>
          <w:u w:val="single" w:color="auto"/>
          <w:color w:val="auto"/>
        </w:rPr>
        <w:t>Agreement Payments</w:t>
      </w:r>
      <w:r>
        <w:rPr>
          <w:rFonts w:ascii="Arial" w:cs="Arial" w:eastAsia="Arial" w:hAnsi="Arial"/>
          <w:sz w:val="19"/>
          <w:szCs w:val="19"/>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58" w:lineRule="exact"/>
        <w:rPr>
          <w:sz w:val="20"/>
          <w:szCs w:val="20"/>
          <w:color w:val="auto"/>
        </w:rPr>
      </w:pPr>
    </w:p>
    <w:p>
      <w:pPr>
        <w:ind w:right="120" w:firstLine="571"/>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56" w:lineRule="exact"/>
        <w:rPr>
          <w:sz w:val="20"/>
          <w:szCs w:val="20"/>
          <w:color w:val="auto"/>
        </w:rPr>
      </w:pPr>
    </w:p>
    <w:p>
      <w:pPr>
        <w:ind w:right="160" w:firstLine="579"/>
        <w:spacing w:after="0" w:line="282" w:lineRule="auto"/>
        <w:tabs>
          <w:tab w:leader="none" w:pos="1255"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267" w:right="259" w:bottom="1440" w:gutter="0" w:footer="0" w:header="0"/>
        </w:sectPr>
      </w:pPr>
    </w:p>
    <w:bookmarkStart w:id="159" w:name="page160"/>
    <w:bookmarkEnd w:id="159"/>
    <w:p>
      <w:pPr>
        <w:ind w:right="50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w:t>
      </w:r>
    </w:p>
    <w:p>
      <w:pPr>
        <w:spacing w:after="0" w:line="6" w:lineRule="exact"/>
        <w:rPr>
          <w:sz w:val="20"/>
          <w:szCs w:val="20"/>
          <w:color w:val="auto"/>
        </w:rPr>
      </w:pPr>
    </w:p>
    <w:p>
      <w:pPr>
        <w:ind w:right="480"/>
        <w:spacing w:after="0" w:line="269" w:lineRule="auto"/>
        <w:rPr>
          <w:sz w:val="20"/>
          <w:szCs w:val="20"/>
          <w:color w:val="auto"/>
        </w:rPr>
      </w:pPr>
      <w:r>
        <w:rPr>
          <w:rFonts w:ascii="Arial" w:cs="Arial" w:eastAsia="Arial" w:hAnsi="Arial"/>
          <w:sz w:val="19"/>
          <w:szCs w:val="19"/>
          <w:color w:val="auto"/>
        </w:rPr>
        <w:t>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200" w:lineRule="exact"/>
        <w:rPr>
          <w:sz w:val="20"/>
          <w:szCs w:val="20"/>
          <w:color w:val="auto"/>
        </w:rPr>
      </w:pPr>
    </w:p>
    <w:p>
      <w:pPr>
        <w:spacing w:after="0" w:line="212" w:lineRule="exact"/>
        <w:rPr>
          <w:sz w:val="20"/>
          <w:szCs w:val="20"/>
          <w:color w:val="auto"/>
        </w:rPr>
      </w:pPr>
    </w:p>
    <w:p>
      <w:pPr>
        <w:ind w:firstLine="579"/>
        <w:spacing w:after="0" w:line="236" w:lineRule="auto"/>
        <w:tabs>
          <w:tab w:leader="none" w:pos="1165"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20"/>
          </w:cols>
          <w:pgMar w:left="240" w:top="267" w:right="339" w:bottom="1440" w:gutter="0" w:footer="0" w:header="0"/>
        </w:sectPr>
      </w:pPr>
    </w:p>
    <w:bookmarkStart w:id="160" w:name="page161"/>
    <w:bookmarkEnd w:id="160"/>
    <w:p>
      <w:pPr>
        <w:ind w:right="6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67" w:lineRule="exact"/>
        <w:rPr>
          <w:sz w:val="20"/>
          <w:szCs w:val="20"/>
          <w:color w:val="auto"/>
        </w:rPr>
      </w:pPr>
    </w:p>
    <w:p>
      <w:pPr>
        <w:ind w:firstLine="579"/>
        <w:spacing w:after="0" w:line="269" w:lineRule="auto"/>
        <w:tabs>
          <w:tab w:leader="none" w:pos="1165"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three months after the Date of Termination by the Firm without Cause or by the Executive for Good Reason (such period, the</w:t>
      </w:r>
    </w:p>
    <w:p>
      <w:pPr>
        <w:spacing w:after="0" w:line="25" w:lineRule="exact"/>
        <w:rPr>
          <w:sz w:val="20"/>
          <w:szCs w:val="20"/>
          <w:color w:val="auto"/>
        </w:rPr>
      </w:pPr>
    </w:p>
    <w:p>
      <w:pPr>
        <w:ind w:right="30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Noncompete Restriction Period</w:t>
      </w:r>
      <w:r>
        <w:rPr>
          <w:rFonts w:ascii="Arial" w:cs="Arial" w:eastAsia="Arial" w:hAnsi="Arial"/>
          <w:sz w:val="21"/>
          <w:szCs w:val="21"/>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Arial" w:cs="Arial" w:eastAsia="Arial" w:hAnsi="Arial"/>
          <w:sz w:val="21"/>
          <w:szCs w:val="21"/>
          <w:u w:val="single" w:color="auto"/>
          <w:color w:val="auto"/>
        </w:rPr>
        <w:t>Competing Activity</w:t>
      </w:r>
      <w:r>
        <w:rPr>
          <w:rFonts w:ascii="Arial" w:cs="Arial" w:eastAsia="Arial" w:hAnsi="Arial"/>
          <w:sz w:val="21"/>
          <w:szCs w:val="21"/>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7" w:right="239" w:bottom="1440" w:gutter="0" w:footer="0" w:header="0"/>
        </w:sectPr>
      </w:pPr>
    </w:p>
    <w:bookmarkStart w:id="161" w:name="page162"/>
    <w:bookmarkEnd w:id="161"/>
    <w:p>
      <w:pPr>
        <w:ind w:right="24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acted for the Firm while employed by the Firm, and (B) “</w:t>
      </w:r>
      <w:r>
        <w:rPr>
          <w:rFonts w:ascii="Arial" w:cs="Arial" w:eastAsia="Arial" w:hAnsi="Arial"/>
          <w:sz w:val="19"/>
          <w:szCs w:val="19"/>
          <w:u w:val="single" w:color="auto"/>
          <w:color w:val="auto"/>
        </w:rPr>
        <w:t>Competitive Enterprise</w:t>
      </w:r>
      <w:r>
        <w:rPr>
          <w:rFonts w:ascii="Arial" w:cs="Arial" w:eastAsia="Arial" w:hAnsi="Arial"/>
          <w:sz w:val="19"/>
          <w:szCs w:val="19"/>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58" w:lineRule="exact"/>
        <w:rPr>
          <w:sz w:val="20"/>
          <w:szCs w:val="20"/>
          <w:color w:val="auto"/>
        </w:rPr>
      </w:pPr>
    </w:p>
    <w:p>
      <w:pPr>
        <w:ind w:right="80" w:firstLine="579"/>
        <w:spacing w:after="0" w:line="238" w:lineRule="auto"/>
        <w:tabs>
          <w:tab w:leader="none" w:pos="125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right="60" w:firstLine="579"/>
        <w:spacing w:after="0" w:line="273" w:lineRule="auto"/>
        <w:tabs>
          <w:tab w:leader="none" w:pos="1165"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56" w:lineRule="exact"/>
        <w:rPr>
          <w:rFonts w:ascii="Arial" w:cs="Arial" w:eastAsia="Arial" w:hAnsi="Arial"/>
          <w:sz w:val="19"/>
          <w:szCs w:val="19"/>
          <w:color w:val="auto"/>
        </w:rPr>
      </w:pPr>
    </w:p>
    <w:p>
      <w:pPr>
        <w:ind w:firstLine="579"/>
        <w:spacing w:after="0" w:line="247" w:lineRule="auto"/>
        <w:tabs>
          <w:tab w:leader="none" w:pos="1165"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No Hire of Employees</w:t>
      </w:r>
      <w:r>
        <w:rPr>
          <w:rFonts w:ascii="Arial" w:cs="Arial" w:eastAsia="Arial" w:hAnsi="Arial"/>
          <w:sz w:val="21"/>
          <w:szCs w:val="21"/>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1"/>
          <w:szCs w:val="21"/>
          <w:u w:val="single" w:color="auto"/>
          <w:color w:val="auto"/>
        </w:rPr>
        <w:t>No Hire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8" w:lineRule="exact"/>
        <w:rPr>
          <w:rFonts w:ascii="Arial" w:cs="Arial" w:eastAsia="Arial" w:hAnsi="Arial"/>
          <w:sz w:val="21"/>
          <w:szCs w:val="21"/>
          <w:color w:val="auto"/>
        </w:rPr>
      </w:pPr>
    </w:p>
    <w:p>
      <w:pPr>
        <w:ind w:right="120" w:firstLine="579"/>
        <w:spacing w:after="0" w:line="251" w:lineRule="auto"/>
        <w:tabs>
          <w:tab w:leader="none" w:pos="1165"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Nondisparagement; Transfer of Client Relationships</w:t>
      </w:r>
      <w:r>
        <w:rPr>
          <w:rFonts w:ascii="Arial" w:cs="Arial" w:eastAsia="Arial" w:hAnsi="Arial"/>
          <w:sz w:val="22"/>
          <w:szCs w:val="22"/>
          <w:color w:val="auto"/>
        </w:rPr>
        <w:t>. The Executive shall not at any time (whether during or after the Executive’s employment with the Firm), and shall instruct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67" w:right="239" w:bottom="1440" w:gutter="0" w:footer="0" w:header="0"/>
        </w:sectPr>
      </w:pPr>
    </w:p>
    <w:bookmarkStart w:id="162" w:name="page163"/>
    <w:bookmarkEnd w:id="162"/>
    <w:p>
      <w:pPr>
        <w:ind w:right="8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62" w:lineRule="exact"/>
        <w:rPr>
          <w:sz w:val="20"/>
          <w:szCs w:val="20"/>
          <w:color w:val="auto"/>
        </w:rPr>
      </w:pPr>
    </w:p>
    <w:p>
      <w:pPr>
        <w:ind w:right="120" w:firstLine="579"/>
        <w:spacing w:after="0" w:line="236" w:lineRule="auto"/>
        <w:tabs>
          <w:tab w:leader="none" w:pos="1165"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firstLine="579"/>
        <w:spacing w:after="0" w:line="277" w:lineRule="auto"/>
        <w:tabs>
          <w:tab w:leader="none" w:pos="1273"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Covenants Generally</w:t>
      </w:r>
      <w:r>
        <w:rPr>
          <w:rFonts w:ascii="Arial" w:cs="Arial" w:eastAsia="Arial" w:hAnsi="Arial"/>
          <w:sz w:val="19"/>
          <w:szCs w:val="19"/>
          <w:color w:val="auto"/>
        </w:rPr>
        <w:t>. (a) The Executive’s covenants as set forth in Sections 4 through 9 of this Agreement are from time to time referred to herein as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7" w:right="239" w:bottom="1440" w:gutter="0" w:footer="0" w:header="0"/>
        </w:sectPr>
      </w:pPr>
    </w:p>
    <w:bookmarkStart w:id="163" w:name="page164"/>
    <w:bookmarkEnd w:id="163"/>
    <w:p>
      <w:pPr>
        <w:ind w:left="-20" w:firstLine="579"/>
        <w:spacing w:after="0" w:line="272" w:lineRule="auto"/>
        <w:tabs>
          <w:tab w:leader="none" w:pos="1231" w:val="left"/>
        </w:tabs>
        <w:numPr>
          <w:ilvl w:val="0"/>
          <w:numId w:val="19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20" w:right="120" w:firstLine="579"/>
        <w:spacing w:after="0" w:line="272" w:lineRule="auto"/>
        <w:tabs>
          <w:tab w:leader="none" w:pos="121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62" w:lineRule="exact"/>
        <w:rPr>
          <w:sz w:val="20"/>
          <w:szCs w:val="20"/>
          <w:color w:val="auto"/>
        </w:rPr>
      </w:pPr>
    </w:p>
    <w:p>
      <w:pPr>
        <w:ind w:left="-20" w:right="100" w:firstLine="579"/>
        <w:spacing w:after="0" w:line="274" w:lineRule="auto"/>
        <w:tabs>
          <w:tab w:leader="none" w:pos="1245"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60" w:top="267" w:right="239" w:bottom="1440" w:gutter="0" w:footer="0" w:header="0"/>
        </w:sectPr>
      </w:pPr>
    </w:p>
    <w:bookmarkStart w:id="164" w:name="page165"/>
    <w:bookmarkEnd w:id="164"/>
    <w:p>
      <w:pPr>
        <w:ind w:right="2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05" w:lineRule="exact"/>
        <w:rPr>
          <w:sz w:val="20"/>
          <w:szCs w:val="20"/>
          <w:color w:val="auto"/>
        </w:rPr>
      </w:pPr>
    </w:p>
    <w:p>
      <w:pPr>
        <w:ind w:right="20" w:firstLine="579"/>
        <w:spacing w:after="0" w:line="271" w:lineRule="auto"/>
        <w:tabs>
          <w:tab w:leader="none" w:pos="1273"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9"/>
          <w:szCs w:val="19"/>
          <w:u w:val="single" w:color="auto"/>
          <w:color w:val="auto"/>
        </w:rPr>
        <w:t>Employment Related Matters</w:t>
      </w:r>
      <w:r>
        <w:rPr>
          <w:rFonts w:ascii="Arial" w:cs="Arial" w:eastAsia="Arial" w:hAnsi="Arial"/>
          <w:sz w:val="19"/>
          <w:szCs w:val="19"/>
          <w:color w:val="auto"/>
        </w:rPr>
        <w:t>”), shall be finally settled by arbitration in New York City before, and in accordance with the rules then obtaining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or, if FINRA declines to arbitrate the matter,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promptly repay to Lazard Group all such amounts if the Executive fails to prevail on at least one material issue in dispute in any such contest.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579"/>
        <w:spacing w:after="0" w:line="274" w:lineRule="auto"/>
        <w:tabs>
          <w:tab w:leader="none" w:pos="1273"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58" w:lineRule="exact"/>
        <w:rPr>
          <w:rFonts w:ascii="Arial" w:cs="Arial" w:eastAsia="Arial" w:hAnsi="Arial"/>
          <w:sz w:val="19"/>
          <w:szCs w:val="19"/>
          <w:color w:val="auto"/>
        </w:rPr>
      </w:pPr>
    </w:p>
    <w:p>
      <w:pPr>
        <w:ind w:firstLine="579"/>
        <w:spacing w:after="0" w:line="248" w:lineRule="auto"/>
        <w:tabs>
          <w:tab w:leader="none" w:pos="1273"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267" w:right="299" w:bottom="1440" w:gutter="0" w:footer="0" w:header="0"/>
        </w:sectPr>
      </w:pPr>
    </w:p>
    <w:bookmarkStart w:id="165" w:name="page166"/>
    <w:bookmarkEnd w:id="165"/>
    <w:p>
      <w:pPr>
        <w:ind w:right="140"/>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74" w:lineRule="exact"/>
        <w:rPr>
          <w:sz w:val="20"/>
          <w:szCs w:val="20"/>
          <w:color w:val="auto"/>
        </w:rPr>
      </w:pPr>
    </w:p>
    <w:p>
      <w:pPr>
        <w:ind w:right="40" w:firstLine="579"/>
        <w:spacing w:after="0" w:line="275" w:lineRule="auto"/>
        <w:tabs>
          <w:tab w:leader="none" w:pos="125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58" w:lineRule="exact"/>
        <w:rPr>
          <w:sz w:val="20"/>
          <w:szCs w:val="20"/>
          <w:color w:val="auto"/>
        </w:rPr>
      </w:pPr>
    </w:p>
    <w:p>
      <w:pPr>
        <w:ind w:right="500" w:firstLine="579"/>
        <w:spacing w:after="0" w:line="238" w:lineRule="auto"/>
        <w:tabs>
          <w:tab w:leader="none" w:pos="1273"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ind w:right="340" w:firstLine="579"/>
        <w:spacing w:after="0" w:line="251" w:lineRule="auto"/>
        <w:tabs>
          <w:tab w:leader="none" w:pos="1273"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shall supersede any other agreement, written or oral, pertaining to the matters covered herein.</w:t>
      </w:r>
    </w:p>
    <w:p>
      <w:pPr>
        <w:spacing w:after="0" w:line="173" w:lineRule="exact"/>
        <w:rPr>
          <w:sz w:val="20"/>
          <w:szCs w:val="20"/>
          <w:color w:val="auto"/>
        </w:rPr>
      </w:pPr>
    </w:p>
    <w:p>
      <w:pPr>
        <w:ind w:right="200" w:firstLine="579"/>
        <w:spacing w:after="0"/>
        <w:tabs>
          <w:tab w:leader="none" w:pos="125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firstLine="579"/>
        <w:spacing w:after="0" w:line="282" w:lineRule="auto"/>
        <w:tabs>
          <w:tab w:leader="none" w:pos="1243" w:val="left"/>
        </w:tabs>
        <w:numPr>
          <w:ilvl w:val="0"/>
          <w:numId w:val="195"/>
        </w:numPr>
        <w:rPr>
          <w:rFonts w:ascii="Arial" w:cs="Arial" w:eastAsia="Arial" w:hAnsi="Arial"/>
          <w:sz w:val="19"/>
          <w:szCs w:val="19"/>
          <w:color w:val="auto"/>
        </w:rPr>
      </w:pPr>
      <w:r>
        <w:rPr>
          <w:rFonts w:ascii="Arial" w:cs="Arial" w:eastAsia="Arial" w:hAnsi="Arial"/>
          <w:sz w:val="19"/>
          <w:szCs w:val="19"/>
          <w:color w:val="auto"/>
        </w:rPr>
        <w:t>Notices hereunder shall be delivered to Lazard at its principal executive office directed to the attention of its General Counsel (provided that if, at the time of delivery of a notice, the Executive is serving as Lazard’s General Counsel, such notice shall be directed to the attention of Lazard’s Chief Executive Officer),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47" w:lineRule="exact"/>
        <w:rPr>
          <w:rFonts w:ascii="Arial" w:cs="Arial" w:eastAsia="Arial" w:hAnsi="Arial"/>
          <w:sz w:val="19"/>
          <w:szCs w:val="19"/>
          <w:color w:val="auto"/>
        </w:rPr>
      </w:pPr>
    </w:p>
    <w:p>
      <w:pPr>
        <w:ind w:right="20" w:firstLine="579"/>
        <w:spacing w:after="0" w:line="235" w:lineRule="auto"/>
        <w:tabs>
          <w:tab w:leader="none" w:pos="125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22"/>
          <w:szCs w:val="22"/>
          <w:u w:val="single" w:color="auto"/>
          <w:color w:val="auto"/>
        </w:rPr>
        <w:t>provided</w:t>
      </w:r>
      <w:r>
        <w:rPr>
          <w:rFonts w:ascii="Arial" w:cs="Arial" w:eastAsia="Arial" w:hAnsi="Arial"/>
          <w:sz w:val="22"/>
          <w:szCs w:val="22"/>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267" w:right="239" w:bottom="1440" w:gutter="0" w:footer="0" w:header="0"/>
        </w:sectPr>
      </w:pPr>
    </w:p>
    <w:bookmarkStart w:id="166" w:name="page167"/>
    <w:bookmarkEnd w:id="166"/>
    <w:p>
      <w:pPr>
        <w:ind w:right="40"/>
        <w:spacing w:after="0" w:line="247"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78" w:lineRule="exact"/>
        <w:rPr>
          <w:sz w:val="20"/>
          <w:szCs w:val="20"/>
          <w:color w:val="auto"/>
        </w:rPr>
      </w:pPr>
    </w:p>
    <w:p>
      <w:pPr>
        <w:ind w:right="20" w:firstLine="579"/>
        <w:spacing w:after="0" w:line="258" w:lineRule="auto"/>
        <w:tabs>
          <w:tab w:leader="none" w:pos="1239" w:val="left"/>
        </w:tabs>
        <w:numPr>
          <w:ilvl w:val="0"/>
          <w:numId w:val="196"/>
        </w:numPr>
        <w:rPr>
          <w:rFonts w:ascii="Arial" w:cs="Arial" w:eastAsia="Arial" w:hAnsi="Arial"/>
          <w:sz w:val="21"/>
          <w:szCs w:val="21"/>
          <w:color w:val="auto"/>
        </w:rPr>
      </w:pPr>
      <w:r>
        <w:rPr>
          <w:rFonts w:ascii="Arial" w:cs="Arial" w:eastAsia="Arial" w:hAnsi="Arial"/>
          <w:sz w:val="21"/>
          <w:szCs w:val="21"/>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66" w:lineRule="exact"/>
        <w:rPr>
          <w:rFonts w:ascii="Arial" w:cs="Arial" w:eastAsia="Arial" w:hAnsi="Arial"/>
          <w:sz w:val="21"/>
          <w:szCs w:val="21"/>
          <w:color w:val="auto"/>
        </w:rPr>
      </w:pPr>
    </w:p>
    <w:p>
      <w:pPr>
        <w:ind w:firstLine="579"/>
        <w:spacing w:after="0" w:line="248" w:lineRule="auto"/>
        <w:tabs>
          <w:tab w:leader="none" w:pos="121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77" w:lineRule="exact"/>
        <w:rPr>
          <w:rFonts w:ascii="Arial" w:cs="Arial" w:eastAsia="Arial" w:hAnsi="Arial"/>
          <w:sz w:val="21"/>
          <w:szCs w:val="21"/>
          <w:color w:val="auto"/>
        </w:rPr>
      </w:pPr>
    </w:p>
    <w:p>
      <w:pPr>
        <w:ind w:right="520" w:firstLine="579"/>
        <w:spacing w:after="0" w:line="274" w:lineRule="auto"/>
        <w:tabs>
          <w:tab w:leader="none" w:pos="125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right="60" w:firstLine="579"/>
        <w:spacing w:after="0" w:line="252" w:lineRule="auto"/>
        <w:tabs>
          <w:tab w:leader="none" w:pos="1251"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right="40" w:firstLine="579"/>
        <w:spacing w:after="0" w:line="248" w:lineRule="auto"/>
        <w:tabs>
          <w:tab w:leader="none" w:pos="120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77" w:lineRule="exact"/>
        <w:rPr>
          <w:rFonts w:ascii="Arial" w:cs="Arial" w:eastAsia="Arial" w:hAnsi="Arial"/>
          <w:sz w:val="21"/>
          <w:szCs w:val="21"/>
          <w:color w:val="auto"/>
        </w:rPr>
      </w:pPr>
    </w:p>
    <w:p>
      <w:pPr>
        <w:jc w:val="both"/>
        <w:ind w:right="260" w:firstLine="579"/>
        <w:spacing w:after="0" w:line="328" w:lineRule="auto"/>
        <w:tabs>
          <w:tab w:leader="none" w:pos="120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267" w:right="259" w:bottom="1440" w:gutter="0" w:footer="0" w:header="0"/>
        </w:sectPr>
      </w:pPr>
    </w:p>
    <w:bookmarkStart w:id="167" w:name="page168"/>
    <w:bookmarkEnd w:id="167"/>
    <w:p>
      <w:pPr>
        <w:ind w:right="100" w:firstLine="579"/>
        <w:spacing w:after="0" w:line="279" w:lineRule="auto"/>
        <w:tabs>
          <w:tab w:leader="none" w:pos="1251" w:val="left"/>
        </w:tabs>
        <w:numPr>
          <w:ilvl w:val="0"/>
          <w:numId w:val="19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50" w:lineRule="exact"/>
        <w:rPr>
          <w:rFonts w:ascii="Arial" w:cs="Arial" w:eastAsia="Arial" w:hAnsi="Arial"/>
          <w:sz w:val="19"/>
          <w:szCs w:val="19"/>
          <w:color w:val="auto"/>
        </w:rPr>
      </w:pPr>
    </w:p>
    <w:p>
      <w:pPr>
        <w:ind w:firstLine="579"/>
        <w:spacing w:after="0" w:line="274" w:lineRule="auto"/>
        <w:tabs>
          <w:tab w:leader="none" w:pos="1207" w:val="left"/>
        </w:tabs>
        <w:numPr>
          <w:ilvl w:val="0"/>
          <w:numId w:val="197"/>
        </w:numPr>
        <w:rPr>
          <w:rFonts w:ascii="Arial" w:cs="Arial" w:eastAsia="Arial" w:hAnsi="Arial"/>
          <w:sz w:val="19"/>
          <w:szCs w:val="19"/>
          <w:color w:val="auto"/>
        </w:rPr>
      </w:pPr>
      <w:r>
        <w:rPr>
          <w:rFonts w:ascii="Arial" w:cs="Arial" w:eastAsia="Arial" w:hAnsi="Arial"/>
          <w:sz w:val="19"/>
          <w:szCs w:val="19"/>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59" w:lineRule="exact"/>
        <w:rPr>
          <w:sz w:val="20"/>
          <w:szCs w:val="20"/>
          <w:color w:val="auto"/>
        </w:rPr>
      </w:pPr>
    </w:p>
    <w:p>
      <w:pPr>
        <w:ind w:right="200" w:firstLine="579"/>
        <w:spacing w:after="0" w:line="238" w:lineRule="auto"/>
        <w:tabs>
          <w:tab w:leader="none" w:pos="1273"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67" w:right="239" w:bottom="1440" w:gutter="0" w:footer="0" w:header="0"/>
        </w:sectPr>
      </w:pPr>
    </w:p>
    <w:bookmarkStart w:id="168" w:name="page169"/>
    <w:bookmarkEnd w:id="168"/>
    <w:p>
      <w:pPr>
        <w:ind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7620</wp:posOffset>
            </wp:positionV>
            <wp:extent cx="24269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22"/>
          <w:szCs w:val="22"/>
          <w:color w:val="auto"/>
        </w:rPr>
        <w:t>Name:</w:t>
        <w:tab/>
        <w:t>Kenneth M. Jacobs</w:t>
      </w:r>
    </w:p>
    <w:p>
      <w:pPr>
        <w:ind w:left="6860"/>
        <w:spacing w:after="0" w:line="234" w:lineRule="auto"/>
        <w:tabs>
          <w:tab w:leader="none" w:pos="7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Chairman and</w:t>
      </w:r>
    </w:p>
    <w:p>
      <w:pPr>
        <w:ind w:left="77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GROUP LLC (on its behalf, and on</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behalf of its subsidiaries and affiliates),</w:t>
      </w:r>
    </w:p>
    <w:p>
      <w:pPr>
        <w:spacing w:after="0" w:line="188"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7620</wp:posOffset>
            </wp:positionV>
            <wp:extent cx="24269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7680" w:val="left"/>
        </w:tabs>
        <w:rPr>
          <w:sz w:val="20"/>
          <w:szCs w:val="20"/>
          <w:color w:val="auto"/>
        </w:rPr>
      </w:pPr>
      <w:r>
        <w:rPr>
          <w:rFonts w:ascii="Arial" w:cs="Arial" w:eastAsia="Arial" w:hAnsi="Arial"/>
          <w:sz w:val="22"/>
          <w:szCs w:val="22"/>
          <w:color w:val="auto"/>
        </w:rPr>
        <w:t>Name:</w:t>
        <w:tab/>
        <w:t>Kenneth M. Jacobs</w:t>
      </w:r>
    </w:p>
    <w:p>
      <w:pPr>
        <w:ind w:left="6860"/>
        <w:spacing w:after="0" w:line="234" w:lineRule="auto"/>
        <w:tabs>
          <w:tab w:leader="none" w:pos="76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Chairman and</w:t>
      </w:r>
    </w:p>
    <w:p>
      <w:pPr>
        <w:ind w:left="77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780"/>
        <w:spacing w:after="0"/>
        <w:rPr>
          <w:sz w:val="20"/>
          <w:szCs w:val="20"/>
          <w:color w:val="auto"/>
        </w:rPr>
      </w:pPr>
      <w:r>
        <w:rPr>
          <w:rFonts w:ascii="Arial" w:cs="Arial" w:eastAsia="Arial" w:hAnsi="Arial"/>
          <w:sz w:val="22"/>
          <w:szCs w:val="22"/>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7620</wp:posOffset>
            </wp:positionV>
            <wp:extent cx="23152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Scott D. Hoffman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240" w:top="267" w:right="459" w:bottom="1440" w:gutter="0" w:footer="0" w:header="0"/>
        </w:sectPr>
      </w:pPr>
    </w:p>
    <w:bookmarkStart w:id="169" w:name="page170"/>
    <w:bookmarkEnd w:id="169"/>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4"/>
              </w:rPr>
              <w:t>Exhibit A</w:t>
            </w:r>
          </w:p>
        </w:tc>
      </w:tr>
      <w:tr>
        <w:trPr>
          <w:trHeight w:val="490"/>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Arial" w:cs="Arial" w:eastAsia="Arial" w:hAnsi="Arial"/>
                <w:sz w:val="22"/>
                <w:szCs w:val="22"/>
                <w:b w:val="1"/>
                <w:bCs w:val="1"/>
                <w:color w:val="auto"/>
              </w:rPr>
              <w:t>WAIVER AND GENERAL RELEASE</w:t>
            </w:r>
          </w:p>
        </w:tc>
      </w:tr>
      <w:tr>
        <w:trPr>
          <w:trHeight w:val="409"/>
        </w:trPr>
        <w:tc>
          <w:tcPr>
            <w:tcW w:w="4900" w:type="dxa"/>
            <w:vAlign w:val="bottom"/>
            <w:gridSpan w:val="3"/>
          </w:tcPr>
          <w:p>
            <w:pPr>
              <w:spacing w:after="0"/>
              <w:rPr>
                <w:sz w:val="20"/>
                <w:szCs w:val="20"/>
                <w:color w:val="auto"/>
              </w:rPr>
            </w:pPr>
            <w:r>
              <w:rPr>
                <w:rFonts w:ascii="Arial" w:cs="Arial" w:eastAsia="Arial" w:hAnsi="Arial"/>
                <w:sz w:val="22"/>
                <w:szCs w:val="22"/>
                <w:color w:val="auto"/>
                <w:w w:val="89"/>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Arial" w:cs="Arial" w:eastAsia="Arial" w:hAnsi="Arial"/>
                <w:sz w:val="22"/>
                <w:szCs w:val="22"/>
                <w:color w:val="auto"/>
                <w:w w:val="94"/>
              </w:rPr>
              <w:t>, by and between Scott D. Hoffman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82" w:lineRule="auto"/>
        <w:rPr>
          <w:sz w:val="20"/>
          <w:szCs w:val="20"/>
          <w:color w:val="auto"/>
        </w:rPr>
      </w:pPr>
      <w:r>
        <w:rPr>
          <w:rFonts w:ascii="Arial" w:cs="Arial" w:eastAsia="Arial" w:hAnsi="Arial"/>
          <w:sz w:val="19"/>
          <w:szCs w:val="19"/>
          <w:color w:val="auto"/>
        </w:rPr>
        <w:t>and Lazard Group LLC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48" w:lineRule="exact"/>
        <w:rPr>
          <w:sz w:val="20"/>
          <w:szCs w:val="20"/>
          <w:color w:val="auto"/>
        </w:rPr>
      </w:pPr>
    </w:p>
    <w:p>
      <w:pPr>
        <w:ind w:left="1180" w:hanging="601"/>
        <w:spacing w:after="0"/>
        <w:tabs>
          <w:tab w:leader="none" w:pos="1180" w:val="left"/>
        </w:tabs>
        <w:numPr>
          <w:ilvl w:val="0"/>
          <w:numId w:val="199"/>
        </w:numPr>
        <w:rPr>
          <w:rFonts w:ascii="Arial" w:cs="Arial" w:eastAsia="Arial" w:hAnsi="Arial"/>
          <w:sz w:val="21"/>
          <w:szCs w:val="21"/>
          <w:color w:val="auto"/>
        </w:rPr>
      </w:pPr>
      <w:r>
        <w:rPr>
          <w:rFonts w:ascii="Arial" w:cs="Arial" w:eastAsia="Arial" w:hAnsi="Arial"/>
          <w:sz w:val="21"/>
          <w:szCs w:val="21"/>
          <w:u w:val="single" w:color="auto"/>
          <w:color w:val="auto"/>
        </w:rPr>
        <w:t>Concluding Employment</w:t>
      </w:r>
      <w:r>
        <w:rPr>
          <w:rFonts w:ascii="Arial" w:cs="Arial" w:eastAsia="Arial" w:hAnsi="Arial"/>
          <w:sz w:val="21"/>
          <w:szCs w:val="21"/>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-10160</wp:posOffset>
            </wp:positionV>
            <wp:extent cx="4114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sz w:val="20"/>
          <w:szCs w:val="20"/>
          <w:color w:val="auto"/>
        </w:rPr>
      </w:pPr>
    </w:p>
    <w:p>
      <w:pPr>
        <w:ind w:right="160" w:firstLine="579"/>
        <w:spacing w:after="0" w:line="282" w:lineRule="auto"/>
        <w:tabs>
          <w:tab w:leader="none" w:pos="116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120" w:firstLine="579"/>
        <w:spacing w:after="0" w:line="282" w:lineRule="auto"/>
        <w:tabs>
          <w:tab w:leader="none" w:pos="116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47" w:lineRule="exact"/>
        <w:rPr>
          <w:rFonts w:ascii="Arial" w:cs="Arial" w:eastAsia="Arial" w:hAnsi="Arial"/>
          <w:sz w:val="19"/>
          <w:szCs w:val="19"/>
          <w:color w:val="auto"/>
        </w:rPr>
      </w:pPr>
    </w:p>
    <w:p>
      <w:pPr>
        <w:ind w:right="40" w:firstLine="579"/>
        <w:spacing w:after="0" w:line="236" w:lineRule="auto"/>
        <w:tabs>
          <w:tab w:leader="none" w:pos="1165"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2"/>
          <w:szCs w:val="22"/>
          <w:u w:val="single" w:color="auto"/>
          <w:color w:val="auto"/>
        </w:rPr>
        <w:t>Releasors</w:t>
      </w:r>
      <w:r>
        <w:rPr>
          <w:rFonts w:ascii="Arial" w:cs="Arial" w:eastAsia="Arial" w:hAnsi="Arial"/>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38" w:right="239" w:bottom="1440" w:gutter="0" w:footer="0" w:header="0"/>
        </w:sectPr>
      </w:pPr>
    </w:p>
    <w:bookmarkStart w:id="170" w:name="page171"/>
    <w:bookmarkEnd w:id="170"/>
    <w:p>
      <w:pPr>
        <w:ind w:right="94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05" w:lineRule="exact"/>
        <w:rPr>
          <w:sz w:val="20"/>
          <w:szCs w:val="20"/>
          <w:color w:val="auto"/>
        </w:rPr>
      </w:pPr>
    </w:p>
    <w:p>
      <w:pPr>
        <w:jc w:val="both"/>
        <w:ind w:firstLine="1444"/>
        <w:spacing w:after="0" w:line="272" w:lineRule="auto"/>
        <w:tabs>
          <w:tab w:leader="none" w:pos="2185" w:val="left"/>
        </w:tabs>
        <w:numPr>
          <w:ilvl w:val="2"/>
          <w:numId w:val="20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371"/>
        <w:spacing w:after="0" w:line="272" w:lineRule="auto"/>
        <w:tabs>
          <w:tab w:leader="none" w:pos="1956" w:val="left"/>
        </w:tabs>
        <w:numPr>
          <w:ilvl w:val="1"/>
          <w:numId w:val="202"/>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61" w:lineRule="exact"/>
        <w:rPr>
          <w:rFonts w:ascii="Arial" w:cs="Arial" w:eastAsia="Arial" w:hAnsi="Arial"/>
          <w:sz w:val="19"/>
          <w:szCs w:val="19"/>
          <w:color w:val="auto"/>
        </w:rPr>
      </w:pPr>
    </w:p>
    <w:p>
      <w:pPr>
        <w:jc w:val="both"/>
        <w:ind w:firstLine="579"/>
        <w:spacing w:after="0" w:line="236" w:lineRule="auto"/>
        <w:tabs>
          <w:tab w:leader="none" w:pos="1192"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267" w:right="239" w:bottom="1440" w:gutter="0" w:footer="0" w:header="0"/>
        </w:sectPr>
      </w:pPr>
    </w:p>
    <w:bookmarkStart w:id="171" w:name="page172"/>
    <w:bookmarkEnd w:id="171"/>
    <w:p>
      <w:pPr>
        <w:jc w:val="both"/>
        <w:ind w:firstLine="579"/>
        <w:spacing w:after="0" w:line="249" w:lineRule="auto"/>
        <w:tabs>
          <w:tab w:leader="none" w:pos="1300"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ind w:right="200" w:firstLine="1119"/>
        <w:spacing w:after="0" w:line="273" w:lineRule="auto"/>
        <w:tabs>
          <w:tab w:leader="none" w:pos="1697" w:val="left"/>
        </w:tabs>
        <w:numPr>
          <w:ilvl w:val="1"/>
          <w:numId w:val="204"/>
        </w:numPr>
        <w:rPr>
          <w:rFonts w:ascii="Arial" w:cs="Arial" w:eastAsia="Arial" w:hAnsi="Arial"/>
          <w:sz w:val="19"/>
          <w:szCs w:val="19"/>
          <w:color w:val="auto"/>
        </w:rPr>
      </w:pPr>
      <w:r>
        <w:rPr>
          <w:rFonts w:ascii="Arial" w:cs="Arial" w:eastAsia="Arial" w:hAnsi="Arial"/>
          <w:sz w:val="19"/>
          <w:szCs w:val="19"/>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Arial" w:cs="Arial" w:eastAsia="Arial" w:hAnsi="Arial"/>
          <w:sz w:val="22"/>
          <w:szCs w:val="22"/>
          <w:color w:val="auto"/>
        </w:rPr>
        <w:t>requirements, based on the written legal advice of your counsel, you will give prompt notice of such request to</w:t>
      </w:r>
      <w:r>
        <w:rPr>
          <w:sz w:val="20"/>
          <w:szCs w:val="20"/>
          <w:color w:val="auto"/>
        </w:rPr>
        <w:tab/>
      </w:r>
      <w:r>
        <w:rPr>
          <w:rFonts w:ascii="Arial" w:cs="Arial" w:eastAsia="Arial" w:hAnsi="Arial"/>
          <w:sz w:val="19"/>
          <w:szCs w:val="19"/>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right="60"/>
        <w:spacing w:after="0" w:line="234" w:lineRule="auto"/>
        <w:rPr>
          <w:sz w:val="20"/>
          <w:szCs w:val="20"/>
          <w:color w:val="auto"/>
        </w:rPr>
      </w:pPr>
      <w:r>
        <w:rPr>
          <w:rFonts w:ascii="Arial" w:cs="Arial" w:eastAsia="Arial" w:hAnsi="Arial"/>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7" w:lineRule="exact"/>
        <w:rPr>
          <w:sz w:val="20"/>
          <w:szCs w:val="20"/>
          <w:color w:val="auto"/>
        </w:rPr>
      </w:pPr>
    </w:p>
    <w:p>
      <w:pPr>
        <w:jc w:val="both"/>
        <w:ind w:firstLine="579"/>
        <w:spacing w:after="0" w:line="297" w:lineRule="auto"/>
        <w:tabs>
          <w:tab w:leader="none" w:pos="1246"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34" w:lineRule="exact"/>
        <w:rPr>
          <w:rFonts w:ascii="Arial" w:cs="Arial" w:eastAsia="Arial" w:hAnsi="Arial"/>
          <w:sz w:val="19"/>
          <w:szCs w:val="19"/>
          <w:color w:val="auto"/>
        </w:rPr>
      </w:pPr>
    </w:p>
    <w:p>
      <w:pPr>
        <w:jc w:val="both"/>
        <w:ind w:firstLine="579"/>
        <w:spacing w:after="0" w:line="272" w:lineRule="auto"/>
        <w:tabs>
          <w:tab w:leader="none" w:pos="1165"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579"/>
        <w:spacing w:after="0" w:line="236" w:lineRule="auto"/>
        <w:tabs>
          <w:tab w:leader="none" w:pos="1313"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267" w:right="239" w:bottom="1440" w:gutter="0" w:footer="0" w:header="0"/>
        </w:sectPr>
      </w:pPr>
    </w:p>
    <w:bookmarkStart w:id="172" w:name="page173"/>
    <w:bookmarkEnd w:id="172"/>
    <w:p>
      <w:pPr>
        <w:ind w:right="20" w:firstLine="579"/>
        <w:spacing w:after="0" w:line="251" w:lineRule="auto"/>
        <w:tabs>
          <w:tab w:leader="none" w:pos="1286"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579"/>
        <w:spacing w:after="0"/>
        <w:tabs>
          <w:tab w:leader="none" w:pos="1481"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jc w:val="both"/>
        <w:ind w:right="20" w:firstLine="1371"/>
        <w:spacing w:after="0" w:line="258" w:lineRule="auto"/>
        <w:rPr>
          <w:rFonts w:ascii="Arial" w:cs="Arial" w:eastAsia="Arial" w:hAnsi="Arial"/>
          <w:sz w:val="22"/>
          <w:szCs w:val="22"/>
          <w:color w:val="auto"/>
        </w:rPr>
      </w:pPr>
      <w:r>
        <w:rPr>
          <w:rFonts w:ascii="Arial" w:cs="Arial" w:eastAsia="Arial" w:hAnsi="Arial"/>
          <w:sz w:val="21"/>
          <w:szCs w:val="21"/>
          <w:color w:val="auto"/>
        </w:rPr>
        <w:t>b. 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66" w:lineRule="exact"/>
        <w:rPr>
          <w:rFonts w:ascii="Arial" w:cs="Arial" w:eastAsia="Arial" w:hAnsi="Arial"/>
          <w:sz w:val="22"/>
          <w:szCs w:val="22"/>
          <w:color w:val="auto"/>
        </w:rPr>
      </w:pPr>
    </w:p>
    <w:p>
      <w:pPr>
        <w:ind w:firstLine="579"/>
        <w:spacing w:after="0" w:line="251" w:lineRule="auto"/>
        <w:tabs>
          <w:tab w:leader="none" w:pos="130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579"/>
        <w:spacing w:after="0" w:line="251" w:lineRule="auto"/>
        <w:tabs>
          <w:tab w:leader="none" w:pos="1327"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firstLine="1399"/>
        <w:spacing w:after="0" w:line="251" w:lineRule="auto"/>
        <w:rPr>
          <w:rFonts w:ascii="Arial" w:cs="Arial" w:eastAsia="Arial" w:hAnsi="Arial"/>
          <w:sz w:val="22"/>
          <w:szCs w:val="22"/>
          <w:color w:val="auto"/>
        </w:rPr>
      </w:pPr>
      <w:r>
        <w:rPr>
          <w:rFonts w:ascii="Arial" w:cs="Arial" w:eastAsia="Arial" w:hAnsi="Arial"/>
          <w:sz w:val="22"/>
          <w:szCs w:val="22"/>
          <w:color w:val="auto"/>
        </w:rPr>
        <w:t>b. 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579"/>
        <w:spacing w:after="0" w:line="252" w:lineRule="auto"/>
        <w:tabs>
          <w:tab w:leader="none" w:pos="1543"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4" w:lineRule="exact"/>
        <w:rPr>
          <w:rFonts w:ascii="Arial" w:cs="Arial" w:eastAsia="Arial" w:hAnsi="Arial"/>
          <w:sz w:val="21"/>
          <w:szCs w:val="21"/>
          <w:color w:val="auto"/>
        </w:rPr>
      </w:pPr>
    </w:p>
    <w:p>
      <w:pPr>
        <w:jc w:val="both"/>
        <w:ind w:firstLine="579"/>
        <w:spacing w:after="0" w:line="246" w:lineRule="auto"/>
        <w:tabs>
          <w:tab w:leader="none" w:pos="1394"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ind w:left="1400" w:hanging="821"/>
        <w:spacing w:after="0"/>
        <w:tabs>
          <w:tab w:leader="none" w:pos="140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w:t>
      </w:r>
    </w:p>
    <w:p>
      <w:pPr>
        <w:spacing w:after="0" w:line="33" w:lineRule="exact"/>
        <w:rPr>
          <w:sz w:val="20"/>
          <w:szCs w:val="20"/>
          <w:color w:val="auto"/>
        </w:rPr>
      </w:pPr>
    </w:p>
    <w:p>
      <w:pPr>
        <w:spacing w:after="0"/>
        <w:tabs>
          <w:tab w:leader="none" w:pos="4680" w:val="left"/>
          <w:tab w:leader="none" w:pos="6600" w:val="left"/>
        </w:tabs>
        <w:rPr>
          <w:sz w:val="20"/>
          <w:szCs w:val="20"/>
          <w:color w:val="auto"/>
        </w:rPr>
      </w:pPr>
      <w:r>
        <w:rPr>
          <w:rFonts w:ascii="Arial" w:cs="Arial" w:eastAsia="Arial" w:hAnsi="Arial"/>
          <w:sz w:val="22"/>
          <w:szCs w:val="22"/>
          <w:color w:val="auto"/>
        </w:rPr>
        <w:t>Plaza, New York, NY 10020, Attention:</w:t>
      </w:r>
      <w:r>
        <w:rPr>
          <w:sz w:val="20"/>
          <w:szCs w:val="20"/>
          <w:color w:val="auto"/>
        </w:rPr>
        <w:tab/>
      </w:r>
      <w:r>
        <w:rPr>
          <w:rFonts w:ascii="Arial" w:cs="Arial" w:eastAsia="Arial" w:hAnsi="Arial"/>
          <w:sz w:val="22"/>
          <w:szCs w:val="22"/>
          <w:color w:val="auto"/>
        </w:rPr>
        <w:t>, on or before</w:t>
      </w:r>
      <w:r>
        <w:rPr>
          <w:sz w:val="20"/>
          <w:szCs w:val="20"/>
          <w:color w:val="auto"/>
        </w:rPr>
        <w:tab/>
      </w:r>
      <w:r>
        <w:rPr>
          <w:rFonts w:ascii="Arial" w:cs="Arial" w:eastAsia="Arial" w:hAnsi="Arial"/>
          <w:sz w:val="19"/>
          <w:szCs w:val="19"/>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4" w:lineRule="auto"/>
        <w:tabs>
          <w:tab w:leader="none" w:pos="3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days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to revoke it by indicating your desire to do so in writing delivered to 22</w:t>
      </w:r>
    </w:p>
    <w:p>
      <w:pPr>
        <w:sectPr>
          <w:pgSz w:w="11900" w:h="16838" w:orient="portrait"/>
          <w:cols w:equalWidth="0" w:num="1">
            <w:col w:w="11420"/>
          </w:cols>
          <w:pgMar w:left="240" w:top="267" w:right="239" w:bottom="1440" w:gutter="0" w:footer="0" w:header="0"/>
        </w:sectPr>
      </w:pPr>
    </w:p>
    <w:bookmarkStart w:id="173" w:name="page174"/>
    <w:bookmarkEnd w:id="173"/>
    <w:p>
      <w:pPr>
        <w:jc w:val="both"/>
        <w:ind w:firstLine="1243"/>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886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8" w:lineRule="exact"/>
        <w:rPr>
          <w:sz w:val="20"/>
          <w:szCs w:val="20"/>
          <w:color w:val="auto"/>
        </w:rPr>
      </w:pPr>
    </w:p>
    <w:p>
      <w:pPr>
        <w:ind w:firstLine="579"/>
        <w:spacing w:after="0" w:line="274" w:lineRule="auto"/>
        <w:tabs>
          <w:tab w:leader="none" w:pos="1394"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ind w:left="1480" w:hanging="901"/>
        <w:spacing w:after="0"/>
        <w:tabs>
          <w:tab w:leader="none" w:pos="1480"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Treatment of Awards</w:t>
      </w:r>
      <w:r>
        <w:rPr>
          <w:rFonts w:ascii="Arial" w:cs="Arial" w:eastAsia="Arial" w:hAnsi="Arial"/>
          <w:sz w:val="19"/>
          <w:szCs w:val="19"/>
          <w:color w:val="auto"/>
        </w:rPr>
        <w:t>. You currently hold the awards listed on Annex I to this Agreement (the “</w:t>
      </w:r>
      <w:r>
        <w:rPr>
          <w:rFonts w:ascii="Arial" w:cs="Arial" w:eastAsia="Arial" w:hAnsi="Arial"/>
          <w:sz w:val="19"/>
          <w:szCs w:val="19"/>
          <w:u w:val="single" w:color="auto"/>
          <w:color w:val="auto"/>
        </w:rPr>
        <w:t>Awards</w:t>
      </w:r>
      <w:r>
        <w:rPr>
          <w:rFonts w:ascii="Arial" w:cs="Arial" w:eastAsia="Arial" w:hAnsi="Arial"/>
          <w:sz w:val="19"/>
          <w:szCs w:val="19"/>
          <w:color w:val="auto"/>
        </w:rPr>
        <w:t>”). The</w:t>
      </w:r>
    </w:p>
    <w:p>
      <w:pPr>
        <w:spacing w:after="0" w:line="3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Awards [(other than the</w:t>
      </w:r>
      <w:r>
        <w:rPr>
          <w:sz w:val="20"/>
          <w:szCs w:val="20"/>
          <w:color w:val="auto"/>
        </w:rPr>
        <w:tab/>
      </w:r>
      <w:r>
        <w:rPr>
          <w:rFonts w:ascii="Arial" w:cs="Arial" w:eastAsia="Arial" w:hAnsi="Arial"/>
          <w:sz w:val="19"/>
          <w:szCs w:val="19"/>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1"/>
          <w:szCs w:val="21"/>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1260" w:type="dxa"/>
            <w:vAlign w:val="bottom"/>
            <w:tcBorders>
              <w:bottom w:val="single" w:sz="8" w:color="auto"/>
            </w:tcBorders>
            <w:gridSpan w:val="5"/>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360" w:type="dxa"/>
            <w:vAlign w:val="bottom"/>
          </w:tcPr>
          <w:p>
            <w:pPr>
              <w:ind w:left="3800"/>
              <w:spacing w:after="0"/>
              <w:rPr>
                <w:sz w:val="20"/>
                <w:szCs w:val="20"/>
                <w:color w:val="auto"/>
              </w:rPr>
            </w:pPr>
            <w:r>
              <w:rPr>
                <w:rFonts w:ascii="Arial" w:cs="Arial" w:eastAsia="Arial" w:hAnsi="Arial"/>
                <w:sz w:val="22"/>
                <w:szCs w:val="22"/>
                <w:color w:val="auto"/>
              </w:rPr>
              <w:t>Date:</w:t>
            </w:r>
          </w:p>
        </w:tc>
        <w:tc>
          <w:tcPr>
            <w:tcW w:w="1300" w:type="dxa"/>
            <w:vAlign w:val="bottom"/>
            <w:tcBorders>
              <w:bottom w:val="single" w:sz="8" w:color="auto"/>
            </w:tcBorders>
          </w:tcPr>
          <w:p>
            <w:pPr>
              <w:spacing w:after="0"/>
              <w:rPr>
                <w:sz w:val="21"/>
                <w:szCs w:val="21"/>
                <w:color w:val="auto"/>
              </w:rPr>
            </w:pPr>
          </w:p>
        </w:tc>
        <w:tc>
          <w:tcPr>
            <w:tcW w:w="1180" w:type="dxa"/>
            <w:vAlign w:val="bottom"/>
          </w:tcPr>
          <w:p>
            <w:pPr>
              <w:spacing w:after="0"/>
              <w:rPr>
                <w:sz w:val="21"/>
                <w:szCs w:val="21"/>
                <w:color w:val="auto"/>
              </w:rPr>
            </w:pPr>
          </w:p>
        </w:tc>
      </w:tr>
      <w:tr>
        <w:trPr>
          <w:trHeight w:val="274"/>
        </w:trPr>
        <w:tc>
          <w:tcPr>
            <w:tcW w:w="1080" w:type="dxa"/>
            <w:vAlign w:val="bottom"/>
          </w:tcPr>
          <w:p>
            <w:pPr>
              <w:spacing w:after="0"/>
              <w:rPr>
                <w:sz w:val="23"/>
                <w:szCs w:val="23"/>
                <w:color w:val="auto"/>
              </w:rPr>
            </w:pPr>
          </w:p>
        </w:tc>
        <w:tc>
          <w:tcPr>
            <w:tcW w:w="1300" w:type="dxa"/>
            <w:vAlign w:val="bottom"/>
            <w:gridSpan w:val="6"/>
          </w:tcPr>
          <w:p>
            <w:pPr>
              <w:spacing w:after="0"/>
              <w:rPr>
                <w:sz w:val="20"/>
                <w:szCs w:val="20"/>
                <w:color w:val="auto"/>
              </w:rPr>
            </w:pPr>
            <w:r>
              <w:rPr>
                <w:rFonts w:ascii="Arial" w:cs="Arial" w:eastAsia="Arial" w:hAnsi="Arial"/>
                <w:sz w:val="22"/>
                <w:szCs w:val="22"/>
                <w:color w:val="auto"/>
              </w:rPr>
              <w:t>NAME</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09"/>
        </w:trPr>
        <w:tc>
          <w:tcPr>
            <w:tcW w:w="2380" w:type="dxa"/>
            <w:vAlign w:val="bottom"/>
            <w:gridSpan w:val="7"/>
          </w:tcPr>
          <w:p>
            <w:pPr>
              <w:spacing w:after="0"/>
              <w:rPr>
                <w:sz w:val="20"/>
                <w:szCs w:val="20"/>
                <w:color w:val="auto"/>
              </w:rPr>
            </w:pPr>
            <w:r>
              <w:rPr>
                <w:rFonts w:ascii="Arial" w:cs="Arial" w:eastAsia="Arial" w:hAnsi="Arial"/>
                <w:sz w:val="22"/>
                <w:szCs w:val="22"/>
                <w:color w:val="auto"/>
              </w:rPr>
              <w:t>STATE OF</w:t>
            </w:r>
          </w:p>
        </w:tc>
        <w:tc>
          <w:tcPr>
            <w:tcW w:w="1600" w:type="dxa"/>
            <w:vAlign w:val="bottom"/>
            <w:gridSpan w:val="5"/>
          </w:tcPr>
          <w:p>
            <w:pPr>
              <w:ind w:left="1520"/>
              <w:spacing w:after="0"/>
              <w:rPr>
                <w:sz w:val="20"/>
                <w:szCs w:val="20"/>
                <w:color w:val="auto"/>
              </w:rPr>
            </w:pPr>
            <w:r>
              <w:rPr>
                <w:rFonts w:ascii="Arial" w:cs="Arial" w:eastAsia="Arial" w:hAnsi="Arial"/>
                <w:sz w:val="22"/>
                <w:szCs w:val="22"/>
                <w:color w:val="auto"/>
                <w:w w:val="81"/>
              </w:rPr>
              <w:t>)</w:t>
            </w:r>
          </w:p>
        </w:tc>
        <w:tc>
          <w:tcPr>
            <w:tcW w:w="4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10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40" w:type="dxa"/>
            <w:vAlign w:val="bottom"/>
            <w:gridSpan w:val="4"/>
          </w:tcPr>
          <w:p>
            <w:pPr>
              <w:ind w:left="520"/>
              <w:spacing w:after="0" w:line="242" w:lineRule="exact"/>
              <w:rPr>
                <w:sz w:val="20"/>
                <w:szCs w:val="20"/>
                <w:color w:val="auto"/>
              </w:rPr>
            </w:pPr>
            <w:r>
              <w:rPr>
                <w:rFonts w:ascii="Arial" w:cs="Arial" w:eastAsia="Arial" w:hAnsi="Arial"/>
                <w:sz w:val="22"/>
                <w:szCs w:val="22"/>
                <w:color w:val="auto"/>
              </w:rPr>
              <w:t>) ss.:</w:t>
            </w:r>
          </w:p>
        </w:tc>
      </w:tr>
      <w:tr>
        <w:trPr>
          <w:trHeight w:val="224"/>
        </w:trPr>
        <w:tc>
          <w:tcPr>
            <w:tcW w:w="1340" w:type="dxa"/>
            <w:vAlign w:val="bottom"/>
            <w:gridSpan w:val="4"/>
          </w:tcPr>
          <w:p>
            <w:pPr>
              <w:spacing w:after="0" w:line="224" w:lineRule="exact"/>
              <w:rPr>
                <w:sz w:val="20"/>
                <w:szCs w:val="20"/>
                <w:color w:val="auto"/>
              </w:rPr>
            </w:pPr>
            <w:r>
              <w:rPr>
                <w:rFonts w:ascii="Arial" w:cs="Arial" w:eastAsia="Arial" w:hAnsi="Arial"/>
                <w:sz w:val="22"/>
                <w:szCs w:val="22"/>
                <w:color w:val="auto"/>
              </w:rPr>
              <w:t>COUNTY OF</w:t>
            </w:r>
          </w:p>
        </w:tc>
        <w:tc>
          <w:tcPr>
            <w:tcW w:w="1040" w:type="dxa"/>
            <w:vAlign w:val="bottom"/>
            <w:tcBorders>
              <w:bottom w:val="single" w:sz="8" w:color="auto"/>
            </w:tcBorders>
            <w:gridSpan w:val="3"/>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gridSpan w:val="4"/>
          </w:tcPr>
          <w:p>
            <w:pPr>
              <w:ind w:left="1480"/>
              <w:spacing w:after="0" w:line="224" w:lineRule="exact"/>
              <w:rPr>
                <w:sz w:val="20"/>
                <w:szCs w:val="20"/>
                <w:color w:val="auto"/>
              </w:rPr>
            </w:pPr>
            <w:r>
              <w:rPr>
                <w:rFonts w:ascii="Arial" w:cs="Arial" w:eastAsia="Arial" w:hAnsi="Arial"/>
                <w:sz w:val="22"/>
                <w:szCs w:val="22"/>
                <w:color w:val="auto"/>
                <w:w w:val="81"/>
              </w:rPr>
              <w:t>)</w:t>
            </w:r>
          </w:p>
        </w:tc>
        <w:tc>
          <w:tcPr>
            <w:tcW w:w="4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9"/>
        </w:trPr>
        <w:tc>
          <w:tcPr>
            <w:tcW w:w="2380" w:type="dxa"/>
            <w:vAlign w:val="bottom"/>
            <w:gridSpan w:val="7"/>
          </w:tcPr>
          <w:p>
            <w:pPr>
              <w:ind w:left="580"/>
              <w:spacing w:after="0"/>
              <w:rPr>
                <w:sz w:val="20"/>
                <w:szCs w:val="20"/>
                <w:color w:val="auto"/>
              </w:rPr>
            </w:pPr>
            <w:r>
              <w:rPr>
                <w:rFonts w:ascii="Arial" w:cs="Arial" w:eastAsia="Arial" w:hAnsi="Arial"/>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40" w:type="dxa"/>
            <w:vAlign w:val="bottom"/>
            <w:gridSpan w:val="6"/>
          </w:tcPr>
          <w:p>
            <w:pPr>
              <w:ind w:left="60"/>
              <w:spacing w:after="0"/>
              <w:rPr>
                <w:sz w:val="20"/>
                <w:szCs w:val="20"/>
                <w:color w:val="auto"/>
              </w:rPr>
            </w:pPr>
            <w:r>
              <w:rPr>
                <w:rFonts w:ascii="Arial" w:cs="Arial" w:eastAsia="Arial" w:hAnsi="Arial"/>
                <w:sz w:val="22"/>
                <w:szCs w:val="22"/>
                <w:color w:val="auto"/>
                <w:w w:val="91"/>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6" w:lineRule="exact"/>
        <w:rPr>
          <w:sz w:val="20"/>
          <w:szCs w:val="20"/>
          <w:color w:val="auto"/>
        </w:rPr>
      </w:pPr>
    </w:p>
    <w:p>
      <w:pPr>
        <w:ind w:left="5940" w:right="480" w:hanging="5933"/>
        <w:spacing w:after="0" w:line="416" w:lineRule="auto"/>
        <w:rPr>
          <w:sz w:val="20"/>
          <w:szCs w:val="20"/>
          <w:color w:val="auto"/>
        </w:rPr>
      </w:pPr>
      <w:r>
        <w:rPr>
          <w:rFonts w:ascii="Arial" w:cs="Arial" w:eastAsia="Arial" w:hAnsi="Arial"/>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-259715</wp:posOffset>
            </wp:positionV>
            <wp:extent cx="18180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267"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10.11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AGREEMENT RELATING TO RETENTION AND</w:t>
      </w:r>
    </w:p>
    <w:p>
      <w:pPr>
        <w:jc w:val="center"/>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jc w:val="both"/>
        <w:ind w:right="120" w:firstLine="571"/>
        <w:spacing w:after="0" w:line="252" w:lineRule="auto"/>
        <w:rPr>
          <w:sz w:val="20"/>
          <w:szCs w:val="20"/>
          <w:color w:val="auto"/>
        </w:rPr>
      </w:pPr>
      <w:r>
        <w:rPr>
          <w:rFonts w:ascii="Arial" w:cs="Arial" w:eastAsia="Arial" w:hAnsi="Arial"/>
          <w:sz w:val="21"/>
          <w:szCs w:val="21"/>
          <w:color w:val="auto"/>
        </w:rPr>
        <w:t>AMENDED AND RESTATED AGREEMENT, dated as of March 9, 2016 (this “</w:t>
      </w:r>
      <w:r>
        <w:rPr>
          <w:rFonts w:ascii="Arial" w:cs="Arial" w:eastAsia="Arial" w:hAnsi="Arial"/>
          <w:sz w:val="21"/>
          <w:szCs w:val="21"/>
          <w:u w:val="single" w:color="auto"/>
          <w:color w:val="auto"/>
        </w:rPr>
        <w:t>Agreement</w:t>
      </w:r>
      <w:r>
        <w:rPr>
          <w:rFonts w:ascii="Arial" w:cs="Arial" w:eastAsia="Arial" w:hAnsi="Arial"/>
          <w:sz w:val="21"/>
          <w:szCs w:val="21"/>
          <w:color w:val="auto"/>
        </w:rPr>
        <w:t>”), by and among Lazard Ltd, a company incorporated under the laws of Bermuda (“</w:t>
      </w:r>
      <w:r>
        <w:rPr>
          <w:rFonts w:ascii="Arial" w:cs="Arial" w:eastAsia="Arial" w:hAnsi="Arial"/>
          <w:sz w:val="21"/>
          <w:szCs w:val="21"/>
          <w:u w:val="single" w:color="auto"/>
          <w:color w:val="auto"/>
        </w:rPr>
        <w:t>Lazard</w:t>
      </w:r>
      <w:r>
        <w:rPr>
          <w:rFonts w:ascii="Arial" w:cs="Arial" w:eastAsia="Arial" w:hAnsi="Arial"/>
          <w:sz w:val="21"/>
          <w:szCs w:val="21"/>
          <w:color w:val="auto"/>
        </w:rPr>
        <w:t>”), Lazard Group LLC, a Delaware limited liability company (“</w:t>
      </w:r>
      <w:r>
        <w:rPr>
          <w:rFonts w:ascii="Arial" w:cs="Arial" w:eastAsia="Arial" w:hAnsi="Arial"/>
          <w:sz w:val="21"/>
          <w:szCs w:val="21"/>
          <w:u w:val="single" w:color="auto"/>
          <w:color w:val="auto"/>
        </w:rPr>
        <w:t>Lazard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Group</w:t>
      </w:r>
      <w:r>
        <w:rPr>
          <w:rFonts w:ascii="Arial" w:cs="Arial" w:eastAsia="Arial" w:hAnsi="Arial"/>
          <w:sz w:val="21"/>
          <w:szCs w:val="21"/>
          <w:color w:val="auto"/>
        </w:rPr>
        <w:t>”), on its behalf and on behalf of its subsidiaries and affiliates (collectively with Lazard and Lazard Group, and its and their predecessors and successors, the “</w:t>
      </w:r>
      <w:r>
        <w:rPr>
          <w:rFonts w:ascii="Arial" w:cs="Arial" w:eastAsia="Arial" w:hAnsi="Arial"/>
          <w:sz w:val="21"/>
          <w:szCs w:val="21"/>
          <w:u w:val="single" w:color="auto"/>
          <w:color w:val="auto"/>
        </w:rPr>
        <w:t>Firm</w:t>
      </w:r>
      <w:r>
        <w:rPr>
          <w:rFonts w:ascii="Arial" w:cs="Arial" w:eastAsia="Arial" w:hAnsi="Arial"/>
          <w:sz w:val="21"/>
          <w:szCs w:val="21"/>
          <w:color w:val="auto"/>
        </w:rPr>
        <w:t>”), and Alexander F. Stern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4" w:lineRule="exact"/>
        <w:rPr>
          <w:sz w:val="20"/>
          <w:szCs w:val="20"/>
          <w:color w:val="auto"/>
        </w:rPr>
      </w:pPr>
    </w:p>
    <w:p>
      <w:pPr>
        <w:ind w:right="140" w:firstLine="571"/>
        <w:spacing w:after="0" w:line="258" w:lineRule="auto"/>
        <w:rPr>
          <w:sz w:val="20"/>
          <w:szCs w:val="20"/>
          <w:color w:val="auto"/>
        </w:rPr>
      </w:pPr>
      <w:r>
        <w:rPr>
          <w:rFonts w:ascii="Arial" w:cs="Arial" w:eastAsia="Arial" w:hAnsi="Arial"/>
          <w:sz w:val="21"/>
          <w:szCs w:val="21"/>
          <w:color w:val="auto"/>
        </w:rPr>
        <w:t>WHEREAS, the Executive previously entered into an Agreement Relating to Retention and Noncompetition and Other Covenants with Lazard and Lazard Group, dated as of October 4, 2004, as amended on March 23, 2010 and March 14, 2013 (such agreement, together with all schedules and attachments thereto, the “</w:t>
      </w:r>
      <w:r>
        <w:rPr>
          <w:rFonts w:ascii="Arial" w:cs="Arial" w:eastAsia="Arial" w:hAnsi="Arial"/>
          <w:sz w:val="21"/>
          <w:szCs w:val="21"/>
          <w:u w:val="single" w:color="auto"/>
          <w:color w:val="auto"/>
        </w:rPr>
        <w:t>Prior Retention Agreement</w:t>
      </w:r>
      <w:r>
        <w:rPr>
          <w:rFonts w:ascii="Arial" w:cs="Arial" w:eastAsia="Arial" w:hAnsi="Arial"/>
          <w:sz w:val="21"/>
          <w:szCs w:val="21"/>
          <w:color w:val="auto"/>
        </w:rPr>
        <w:t>”);</w:t>
      </w:r>
    </w:p>
    <w:p>
      <w:pPr>
        <w:spacing w:after="0" w:line="167" w:lineRule="exact"/>
        <w:rPr>
          <w:sz w:val="20"/>
          <w:szCs w:val="20"/>
          <w:color w:val="auto"/>
        </w:rPr>
      </w:pPr>
    </w:p>
    <w:p>
      <w:pPr>
        <w:ind w:right="60" w:firstLine="571"/>
        <w:spacing w:after="0" w:line="236" w:lineRule="auto"/>
        <w:rPr>
          <w:sz w:val="20"/>
          <w:szCs w:val="20"/>
          <w:color w:val="auto"/>
        </w:rPr>
      </w:pPr>
      <w:r>
        <w:rPr>
          <w:rFonts w:ascii="Arial" w:cs="Arial" w:eastAsia="Arial" w:hAnsi="Arial"/>
          <w:sz w:val="22"/>
          <w:szCs w:val="22"/>
          <w:color w:val="auto"/>
        </w:rPr>
        <w:t>WHEREAS, each of the parties hereto desires to amend and restate the Prior Retention Agreement, effective as of the date hereof, in order to (a) eliminate certain obsolete provisions (including those terms specified therein in anticipation of Lazard’s initial public offering in May 2005), (b) incorporate all terms of the Prior Retention Agreement in a single document (rather than in various amendments and schedules) and (c) implement certain other limited changes to the Prior Retention Agreement, as set forth herein; and</w:t>
      </w:r>
    </w:p>
    <w:p>
      <w:pPr>
        <w:spacing w:after="0" w:line="188" w:lineRule="exact"/>
        <w:rPr>
          <w:sz w:val="20"/>
          <w:szCs w:val="20"/>
          <w:color w:val="auto"/>
        </w:rPr>
      </w:pPr>
    </w:p>
    <w:p>
      <w:pPr>
        <w:ind w:right="280" w:firstLine="571"/>
        <w:spacing w:after="0" w:line="251" w:lineRule="auto"/>
        <w:rPr>
          <w:sz w:val="20"/>
          <w:szCs w:val="20"/>
          <w:color w:val="auto"/>
        </w:rPr>
      </w:pPr>
      <w:r>
        <w:rPr>
          <w:rFonts w:ascii="Arial" w:cs="Arial" w:eastAsia="Arial" w:hAnsi="Arial"/>
          <w:sz w:val="22"/>
          <w:szCs w:val="22"/>
          <w:color w:val="auto"/>
        </w:rPr>
        <w:t>WHEREAS, as of the date hereof, the Executive is the Chief Operating Officer of Lazard and Lazard Group and the Chief Executive Officer of Financial Advisory of Lazard Group.</w:t>
      </w:r>
    </w:p>
    <w:p>
      <w:pPr>
        <w:spacing w:after="0" w:line="173"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20" w:firstLine="579"/>
        <w:spacing w:after="0" w:line="272" w:lineRule="auto"/>
        <w:tabs>
          <w:tab w:leader="none" w:pos="1165"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w:t>
      </w:r>
      <w:r>
        <w:rPr>
          <w:rFonts w:ascii="Arial" w:cs="Arial" w:eastAsia="Arial" w:hAnsi="Arial"/>
          <w:sz w:val="19"/>
          <w:szCs w:val="19"/>
          <w:u w:val="single" w:color="auto"/>
          <w:color w:val="auto"/>
        </w:rPr>
        <w:t>Specified Expiration Date</w:t>
      </w:r>
      <w:r>
        <w:rPr>
          <w:rFonts w:ascii="Arial" w:cs="Arial" w:eastAsia="Arial" w:hAnsi="Arial"/>
          <w:sz w:val="19"/>
          <w:szCs w:val="19"/>
          <w:color w:val="auto"/>
        </w:rPr>
        <w:t>”), provided that, upon a Change in Control (as defined in Lazard’s 2008 Incentive Compensation Plan, as it may be amended from time to time, or any successor plan thereto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9"/>
          <w:szCs w:val="19"/>
          <w:u w:val="single" w:color="auto"/>
          <w:color w:val="auto"/>
        </w:rPr>
        <w:t>Disability</w:t>
      </w:r>
      <w:r>
        <w:rPr>
          <w:rFonts w:ascii="Arial" w:cs="Arial" w:eastAsia="Arial" w:hAnsi="Arial"/>
          <w:sz w:val="19"/>
          <w:szCs w:val="19"/>
          <w:color w:val="auto"/>
        </w:rPr>
        <w:t>”)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w:t>
      </w:r>
    </w:p>
    <w:p>
      <w:pPr>
        <w:sectPr>
          <w:pgSz w:w="11900" w:h="16838" w:orient="portrait"/>
          <w:cols w:equalWidth="0" w:num="1">
            <w:col w:w="11420"/>
          </w:cols>
          <w:pgMar w:left="240" w:top="112" w:right="239" w:bottom="1440" w:gutter="0" w:footer="0" w:header="0"/>
        </w:sectPr>
      </w:pPr>
    </w:p>
    <w:bookmarkStart w:id="175" w:name="page176"/>
    <w:bookmarkEnd w:id="175"/>
    <w:p>
      <w:pPr>
        <w:ind w:right="1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month period in lieu of such notice;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86" w:lineRule="exact"/>
        <w:rPr>
          <w:sz w:val="20"/>
          <w:szCs w:val="20"/>
          <w:color w:val="auto"/>
        </w:rPr>
      </w:pPr>
    </w:p>
    <w:p>
      <w:pPr>
        <w:ind w:left="1180" w:hanging="601"/>
        <w:spacing w:after="0"/>
        <w:tabs>
          <w:tab w:leader="none" w:pos="118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06" w:lineRule="exact"/>
        <w:rPr>
          <w:rFonts w:ascii="Arial" w:cs="Arial" w:eastAsia="Arial" w:hAnsi="Arial"/>
          <w:sz w:val="22"/>
          <w:szCs w:val="22"/>
          <w:color w:val="auto"/>
        </w:rPr>
      </w:pPr>
    </w:p>
    <w:p>
      <w:pPr>
        <w:ind w:firstLine="579"/>
        <w:spacing w:after="0" w:line="251" w:lineRule="auto"/>
        <w:tabs>
          <w:tab w:leader="none" w:pos="1165"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Continued Employment</w:t>
      </w:r>
      <w:r>
        <w:rPr>
          <w:rFonts w:ascii="Arial" w:cs="Arial" w:eastAsia="Arial" w:hAnsi="Arial"/>
          <w:sz w:val="22"/>
          <w:szCs w:val="22"/>
          <w:color w:val="auto"/>
        </w:rPr>
        <w:t xml:space="preserve">. (a) </w:t>
      </w:r>
      <w:r>
        <w:rPr>
          <w:rFonts w:ascii="Arial" w:cs="Arial" w:eastAsia="Arial" w:hAnsi="Arial"/>
          <w:sz w:val="22"/>
          <w:szCs w:val="22"/>
          <w:u w:val="single" w:color="auto"/>
          <w:color w:val="auto"/>
        </w:rPr>
        <w:t>Employment</w:t>
      </w:r>
      <w:r>
        <w:rPr>
          <w:rFonts w:ascii="Arial" w:cs="Arial" w:eastAsia="Arial" w:hAnsi="Arial"/>
          <w:sz w:val="22"/>
          <w:szCs w:val="22"/>
          <w:color w:val="auto"/>
        </w:rPr>
        <w:t>. The Executive hereby agrees to continue in the employ of the Firm, subject to the terms and conditions of this Agreement.</w:t>
      </w:r>
    </w:p>
    <w:p>
      <w:pPr>
        <w:spacing w:after="0" w:line="173" w:lineRule="exact"/>
        <w:rPr>
          <w:sz w:val="20"/>
          <w:szCs w:val="20"/>
          <w:color w:val="auto"/>
        </w:rPr>
      </w:pPr>
    </w:p>
    <w:p>
      <w:pPr>
        <w:ind w:right="80" w:firstLine="579"/>
        <w:spacing w:after="0" w:line="271" w:lineRule="auto"/>
        <w:tabs>
          <w:tab w:leader="none" w:pos="1147"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Duties and Responsibilities; Code of Conduct</w:t>
      </w:r>
      <w:r>
        <w:rPr>
          <w:rFonts w:ascii="Arial" w:cs="Arial" w:eastAsia="Arial" w:hAnsi="Arial"/>
          <w:sz w:val="19"/>
          <w:szCs w:val="19"/>
          <w:color w:val="auto"/>
        </w:rPr>
        <w:t>. During the Term until the Specified Expiration Date, the Executive shall continue to (i) serve as the Chief Operating Officer of Lazard and Lazard Group and the Chief Executive Officer of Financial Advisory of Lazard Group, with such authority, duties and responsibilities as are consistent with the authority, duties and responsibilities exercised by the Executive on the date hereof, (ii) report directly to the Firm’s Chief Executive Officer and</w:t>
      </w:r>
    </w:p>
    <w:p>
      <w:pPr>
        <w:spacing w:after="0" w:line="3" w:lineRule="exact"/>
        <w:rPr>
          <w:rFonts w:ascii="Arial" w:cs="Arial" w:eastAsia="Arial" w:hAnsi="Arial"/>
          <w:sz w:val="19"/>
          <w:szCs w:val="19"/>
          <w:color w:val="auto"/>
        </w:rPr>
      </w:pPr>
    </w:p>
    <w:p>
      <w:pPr>
        <w:ind w:right="40" w:firstLine="8"/>
        <w:spacing w:after="0" w:line="244" w:lineRule="auto"/>
        <w:tabs>
          <w:tab w:leader="none" w:pos="378" w:val="left"/>
        </w:tabs>
        <w:numPr>
          <w:ilvl w:val="0"/>
          <w:numId w:val="212"/>
        </w:numPr>
        <w:rPr>
          <w:rFonts w:ascii="Arial" w:cs="Arial" w:eastAsia="Arial" w:hAnsi="Arial"/>
          <w:sz w:val="21"/>
          <w:szCs w:val="21"/>
          <w:color w:val="auto"/>
        </w:rPr>
      </w:pPr>
      <w:r>
        <w:rPr>
          <w:rFonts w:ascii="Arial" w:cs="Arial" w:eastAsia="Arial" w:hAnsi="Arial"/>
          <w:sz w:val="21"/>
          <w:szCs w:val="21"/>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1" w:lineRule="exact"/>
        <w:rPr>
          <w:rFonts w:ascii="Arial" w:cs="Arial" w:eastAsia="Arial" w:hAnsi="Arial"/>
          <w:sz w:val="21"/>
          <w:szCs w:val="21"/>
          <w:color w:val="auto"/>
        </w:rPr>
      </w:pPr>
    </w:p>
    <w:p>
      <w:pPr>
        <w:ind w:left="1140" w:hanging="561"/>
        <w:spacing w:after="0"/>
        <w:tabs>
          <w:tab w:leader="none" w:pos="1140" w:val="left"/>
        </w:tabs>
        <w:numPr>
          <w:ilvl w:val="1"/>
          <w:numId w:val="21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right="140" w:firstLine="579"/>
        <w:spacing w:after="0" w:line="245" w:lineRule="auto"/>
        <w:tabs>
          <w:tab w:leader="none" w:pos="1099"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period ending on the Specified Expiration Date, subject to the Executive’s continued employment hereunder, the Executive shall be entitled to receive an annual base salary of not less than $750,000 (“</w:t>
      </w:r>
      <w:r>
        <w:rPr>
          <w:rFonts w:ascii="Arial" w:cs="Arial" w:eastAsia="Arial" w:hAnsi="Arial"/>
          <w:sz w:val="21"/>
          <w:szCs w:val="21"/>
          <w:u w:val="single" w:color="auto"/>
          <w:color w:val="auto"/>
        </w:rPr>
        <w:t>Base Salary</w:t>
      </w:r>
      <w:r>
        <w:rPr>
          <w:rFonts w:ascii="Arial" w:cs="Arial" w:eastAsia="Arial" w:hAnsi="Arial"/>
          <w:sz w:val="21"/>
          <w:szCs w:val="21"/>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85" w:lineRule="exact"/>
        <w:rPr>
          <w:rFonts w:ascii="Arial" w:cs="Arial" w:eastAsia="Arial" w:hAnsi="Arial"/>
          <w:sz w:val="21"/>
          <w:szCs w:val="21"/>
          <w:color w:val="auto"/>
        </w:rPr>
      </w:pPr>
    </w:p>
    <w:p>
      <w:pPr>
        <w:ind w:firstLine="579"/>
        <w:spacing w:after="0" w:line="279" w:lineRule="auto"/>
        <w:tabs>
          <w:tab w:leader="none" w:pos="1159"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portion of any such annual bonus may be satisfied in the form of equity compensation or deferred awards which may be subject to vesting conditions or restrictive covenants (it being understood that, with respect to equity compensation and deferred awards granted prior to the date hereof, the sole remedy for violation of any such restrictive covenants shall be forfeiture of such equity compensation and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267" w:right="279" w:bottom="1440" w:gutter="0" w:footer="0" w:header="0"/>
        </w:sectPr>
      </w:pPr>
    </w:p>
    <w:bookmarkStart w:id="176" w:name="page177"/>
    <w:bookmarkEnd w:id="176"/>
    <w:p>
      <w:pPr>
        <w:ind w:right="80"/>
        <w:spacing w:after="0" w:line="246"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awards or recapture of previous gains in respect of such equity compensation and deferred awards and that, notwithstanding Section 11, money damages shall not be an available remedy).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81" w:lineRule="exact"/>
        <w:rPr>
          <w:sz w:val="20"/>
          <w:szCs w:val="20"/>
          <w:color w:val="auto"/>
        </w:rPr>
      </w:pPr>
    </w:p>
    <w:p>
      <w:pPr>
        <w:ind w:right="340" w:firstLine="579"/>
        <w:spacing w:after="0"/>
        <w:tabs>
          <w:tab w:leader="none" w:pos="1327"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right="60" w:firstLine="579"/>
        <w:spacing w:after="0" w:line="279" w:lineRule="auto"/>
        <w:tabs>
          <w:tab w:leader="none" w:pos="1315"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51" w:lineRule="exact"/>
        <w:rPr>
          <w:sz w:val="20"/>
          <w:szCs w:val="20"/>
          <w:color w:val="auto"/>
        </w:rPr>
      </w:pPr>
    </w:p>
    <w:p>
      <w:pPr>
        <w:ind w:firstLine="579"/>
        <w:spacing w:after="0" w:line="248" w:lineRule="auto"/>
        <w:tabs>
          <w:tab w:leader="none" w:pos="1255"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7" w:lineRule="exact"/>
        <w:rPr>
          <w:sz w:val="20"/>
          <w:szCs w:val="20"/>
          <w:color w:val="auto"/>
        </w:rPr>
      </w:pPr>
    </w:p>
    <w:p>
      <w:pPr>
        <w:ind w:right="80" w:firstLine="579"/>
        <w:spacing w:after="0" w:line="273" w:lineRule="auto"/>
        <w:tabs>
          <w:tab w:leader="none" w:pos="889" w:val="left"/>
        </w:tabs>
        <w:numPr>
          <w:ilvl w:val="0"/>
          <w:numId w:val="21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“Qualifying Termination”),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266" w:right="299" w:bottom="1440" w:gutter="0" w:footer="0" w:header="0"/>
        </w:sectPr>
      </w:pPr>
    </w:p>
    <w:bookmarkStart w:id="177" w:name="page178"/>
    <w:bookmarkEnd w:id="177"/>
    <w:p>
      <w:pPr>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 In addition, in the case of (1) a Qualifying Termination prior to the Specified Expiration Date or (2) the Executive’s death or termination due to Disability prior to the Specified Expiration Date, with respect to the fiscal year of Lazard during which the Date of Termination occurs, the Executive or his estate, as applicable, shall receive a pro-rata annual bonus payable in cash determined as follows:</w:t>
      </w:r>
    </w:p>
    <w:p>
      <w:pPr>
        <w:spacing w:after="0" w:line="200" w:lineRule="exact"/>
        <w:rPr>
          <w:sz w:val="20"/>
          <w:szCs w:val="20"/>
          <w:color w:val="auto"/>
        </w:rPr>
      </w:pPr>
    </w:p>
    <w:p>
      <w:pPr>
        <w:spacing w:after="0" w:line="213" w:lineRule="exact"/>
        <w:rPr>
          <w:sz w:val="20"/>
          <w:szCs w:val="20"/>
          <w:color w:val="auto"/>
        </w:rPr>
      </w:pPr>
    </w:p>
    <w:p>
      <w:pPr>
        <w:ind w:left="580" w:right="40" w:firstLine="541"/>
        <w:spacing w:after="0" w:line="271" w:lineRule="auto"/>
        <w:tabs>
          <w:tab w:leader="none" w:pos="168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67" w:right="239" w:bottom="1440" w:gutter="0" w:footer="0" w:header="0"/>
        </w:sectPr>
      </w:pPr>
    </w:p>
    <w:bookmarkStart w:id="178" w:name="page179"/>
    <w:bookmarkEnd w:id="178"/>
    <w:p>
      <w:pPr>
        <w:ind w:left="580" w:right="20" w:firstLine="541"/>
        <w:spacing w:after="0" w:line="279" w:lineRule="auto"/>
        <w:tabs>
          <w:tab w:leader="none" w:pos="1752" w:val="left"/>
        </w:tabs>
        <w:numPr>
          <w:ilvl w:val="0"/>
          <w:numId w:val="218"/>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 (ii) the Pro-Ration Fraction.</w:t>
      </w:r>
    </w:p>
    <w:p>
      <w:pPr>
        <w:spacing w:after="0" w:line="151" w:lineRule="exact"/>
        <w:rPr>
          <w:sz w:val="20"/>
          <w:szCs w:val="20"/>
          <w:color w:val="auto"/>
        </w:rPr>
      </w:pPr>
    </w:p>
    <w:p>
      <w:pPr>
        <w:ind w:firstLine="571"/>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67" w:lineRule="exact"/>
        <w:rPr>
          <w:sz w:val="20"/>
          <w:szCs w:val="20"/>
          <w:color w:val="auto"/>
        </w:rPr>
      </w:pPr>
    </w:p>
    <w:p>
      <w:pPr>
        <w:ind w:right="20" w:firstLine="579"/>
        <w:spacing w:after="0" w:line="234" w:lineRule="auto"/>
        <w:tabs>
          <w:tab w:leader="none" w:pos="949"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91" w:lineRule="exact"/>
        <w:rPr>
          <w:rFonts w:ascii="Arial" w:cs="Arial" w:eastAsia="Arial" w:hAnsi="Arial"/>
          <w:sz w:val="22"/>
          <w:szCs w:val="22"/>
          <w:color w:val="auto"/>
        </w:rPr>
      </w:pPr>
    </w:p>
    <w:p>
      <w:pPr>
        <w:ind w:firstLine="579"/>
        <w:spacing w:after="0" w:line="235" w:lineRule="auto"/>
        <w:tabs>
          <w:tab w:leader="none" w:pos="937" w:val="left"/>
        </w:tabs>
        <w:numPr>
          <w:ilvl w:val="0"/>
          <w:numId w:val="219"/>
        </w:numPr>
        <w:rPr>
          <w:rFonts w:ascii="Arial" w:cs="Arial" w:eastAsia="Arial" w:hAnsi="Arial"/>
          <w:sz w:val="22"/>
          <w:szCs w:val="22"/>
          <w:color w:val="auto"/>
        </w:rPr>
      </w:pPr>
      <w:r>
        <w:rPr>
          <w:rFonts w:ascii="Arial" w:cs="Arial" w:eastAsia="Arial" w:hAnsi="Arial"/>
          <w:sz w:val="22"/>
          <w:szCs w:val="22"/>
          <w:color w:val="auto"/>
        </w:rPr>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 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right="180" w:firstLine="579"/>
        <w:spacing w:after="0" w:line="235" w:lineRule="auto"/>
        <w:tabs>
          <w:tab w:leader="none" w:pos="877" w:val="left"/>
        </w:tabs>
        <w:numPr>
          <w:ilvl w:val="0"/>
          <w:numId w:val="219"/>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8" w:lineRule="exact"/>
        <w:rPr>
          <w:sz w:val="20"/>
          <w:szCs w:val="20"/>
          <w:color w:val="auto"/>
        </w:rPr>
      </w:pPr>
    </w:p>
    <w:p>
      <w:pPr>
        <w:ind w:left="1260" w:hanging="681"/>
        <w:spacing w:after="0"/>
        <w:tabs>
          <w:tab w:leader="none" w:pos="1260" w:val="left"/>
        </w:tabs>
        <w:numPr>
          <w:ilvl w:val="0"/>
          <w:numId w:val="220"/>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 For purposes of this Agreement, as applicable, the following terms shall have the following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w:t>
      </w:r>
    </w:p>
    <w:p>
      <w:pPr>
        <w:spacing w:after="0" w:line="188" w:lineRule="exact"/>
        <w:rPr>
          <w:sz w:val="20"/>
          <w:szCs w:val="20"/>
          <w:color w:val="auto"/>
        </w:rPr>
      </w:pPr>
    </w:p>
    <w:p>
      <w:pPr>
        <w:ind w:right="40" w:firstLine="57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mean: (i) conviction of the Executive of, or a guilty or nolo contendere plea (or the equivalent in a non-United States jurisdiction) by the Executive to, a felony (or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267" w:right="279"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 in a non-United States jurisdiction), or of any other crime that legally prohibits the Executive from working for the Firm;</w:t>
      </w:r>
    </w:p>
    <w:p>
      <w:pPr>
        <w:spacing w:after="0" w:line="43" w:lineRule="exact"/>
        <w:rPr>
          <w:sz w:val="20"/>
          <w:szCs w:val="20"/>
          <w:color w:val="auto"/>
        </w:rPr>
      </w:pPr>
    </w:p>
    <w:p>
      <w:pPr>
        <w:ind w:right="40" w:firstLine="8"/>
        <w:spacing w:after="0" w:line="269" w:lineRule="auto"/>
        <w:tabs>
          <w:tab w:leader="none" w:pos="318" w:val="left"/>
        </w:tabs>
        <w:numPr>
          <w:ilvl w:val="0"/>
          <w:numId w:val="221"/>
        </w:numPr>
        <w:rPr>
          <w:rFonts w:ascii="Arial" w:cs="Arial" w:eastAsia="Arial" w:hAnsi="Arial"/>
          <w:sz w:val="19"/>
          <w:szCs w:val="19"/>
          <w:color w:val="auto"/>
        </w:rPr>
      </w:pPr>
      <w:r>
        <w:rPr>
          <w:rFonts w:ascii="Arial" w:cs="Arial" w:eastAsia="Arial" w:hAnsi="Arial"/>
          <w:sz w:val="19"/>
          <w:szCs w:val="19"/>
          <w:color w:val="auto"/>
        </w:rPr>
        <w:t>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9"/>
          <w:szCs w:val="19"/>
          <w:u w:val="single" w:color="auto"/>
          <w:color w:val="auto"/>
        </w:rPr>
        <w:t>Applicable Board</w:t>
      </w:r>
      <w:r>
        <w:rPr>
          <w:rFonts w:ascii="Arial" w:cs="Arial" w:eastAsia="Arial" w:hAnsi="Arial"/>
          <w:sz w:val="19"/>
          <w:szCs w:val="19"/>
          <w:color w:val="auto"/>
        </w:rPr>
        <w:t>”) finding that, in the good faith opinion of the Applicable Board, circumstances constituting Cause exist.</w:t>
      </w:r>
    </w:p>
    <w:p>
      <w:pPr>
        <w:spacing w:after="0" w:line="200" w:lineRule="exact"/>
        <w:rPr>
          <w:sz w:val="20"/>
          <w:szCs w:val="20"/>
          <w:color w:val="auto"/>
        </w:rPr>
      </w:pPr>
    </w:p>
    <w:p>
      <w:pPr>
        <w:spacing w:after="0" w:line="209" w:lineRule="exact"/>
        <w:rPr>
          <w:sz w:val="20"/>
          <w:szCs w:val="20"/>
          <w:color w:val="auto"/>
        </w:rPr>
      </w:pPr>
    </w:p>
    <w:p>
      <w:pPr>
        <w:ind w:firstLine="571"/>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267" w:right="239" w:bottom="1440" w:gutter="0" w:footer="0" w:header="0"/>
        </w:sectPr>
      </w:pPr>
    </w:p>
    <w:bookmarkStart w:id="180" w:name="page181"/>
    <w:bookmarkEnd w:id="180"/>
    <w:p>
      <w:pPr>
        <w:ind w:right="60"/>
        <w:spacing w:after="0" w:line="27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159" w:lineRule="exact"/>
        <w:rPr>
          <w:sz w:val="20"/>
          <w:szCs w:val="20"/>
          <w:color w:val="auto"/>
        </w:rPr>
      </w:pPr>
    </w:p>
    <w:p>
      <w:pPr>
        <w:ind w:firstLine="57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w:t>
      </w:r>
    </w:p>
    <w:p>
      <w:pPr>
        <w:spacing w:after="0" w:line="2" w:lineRule="exact"/>
        <w:rPr>
          <w:sz w:val="20"/>
          <w:szCs w:val="20"/>
          <w:color w:val="auto"/>
        </w:rPr>
      </w:pPr>
    </w:p>
    <w:p>
      <w:pPr>
        <w:ind w:right="180" w:firstLine="8"/>
        <w:spacing w:after="0" w:line="243" w:lineRule="auto"/>
        <w:tabs>
          <w:tab w:leader="none" w:pos="414" w:val="left"/>
        </w:tabs>
        <w:numPr>
          <w:ilvl w:val="0"/>
          <w:numId w:val="222"/>
        </w:numPr>
        <w:rPr>
          <w:rFonts w:ascii="Arial" w:cs="Arial" w:eastAsia="Arial" w:hAnsi="Arial"/>
          <w:sz w:val="21"/>
          <w:szCs w:val="21"/>
          <w:color w:val="auto"/>
        </w:rPr>
      </w:pPr>
      <w:r>
        <w:rPr>
          <w:rFonts w:ascii="Arial" w:cs="Arial" w:eastAsia="Arial" w:hAnsi="Arial"/>
          <w:sz w:val="21"/>
          <w:szCs w:val="21"/>
          <w:color w:val="auto"/>
        </w:rPr>
        <w:t>miles. In the event of a termination for Good Reason, the notice requirements of Section 1 of this Agreement shall not 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4" w:lineRule="exact"/>
        <w:rPr>
          <w:rFonts w:ascii="Arial" w:cs="Arial" w:eastAsia="Arial" w:hAnsi="Arial"/>
          <w:sz w:val="21"/>
          <w:szCs w:val="21"/>
          <w:color w:val="auto"/>
        </w:rPr>
      </w:pPr>
    </w:p>
    <w:p>
      <w:pPr>
        <w:ind w:right="140" w:firstLine="579"/>
        <w:spacing w:after="0" w:line="279" w:lineRule="auto"/>
        <w:tabs>
          <w:tab w:leader="none" w:pos="1219" w:val="left"/>
        </w:tabs>
        <w:numPr>
          <w:ilvl w:val="1"/>
          <w:numId w:val="222"/>
        </w:numPr>
        <w:rPr>
          <w:rFonts w:ascii="Arial" w:cs="Arial" w:eastAsia="Arial" w:hAnsi="Arial"/>
          <w:sz w:val="19"/>
          <w:szCs w:val="19"/>
          <w:color w:val="auto"/>
        </w:rPr>
      </w:pPr>
      <w:r>
        <w:rPr>
          <w:rFonts w:ascii="Arial" w:cs="Arial" w:eastAsia="Arial" w:hAnsi="Arial"/>
          <w:sz w:val="19"/>
          <w:szCs w:val="19"/>
          <w:u w:val="single" w:color="auto"/>
          <w:color w:val="auto"/>
        </w:rPr>
        <w:t>Certain Limitations on Payments</w:t>
      </w:r>
      <w:r>
        <w:rPr>
          <w:rFonts w:ascii="Arial" w:cs="Arial" w:eastAsia="Arial" w:hAnsi="Arial"/>
          <w:sz w:val="19"/>
          <w:szCs w:val="19"/>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9"/>
          <w:szCs w:val="19"/>
          <w:u w:val="single" w:color="auto"/>
          <w:color w:val="auto"/>
        </w:rPr>
        <w:t>Accountant</w:t>
      </w:r>
      <w:r>
        <w:rPr>
          <w:rFonts w:ascii="Arial" w:cs="Arial" w:eastAsia="Arial" w:hAnsi="Arial"/>
          <w:sz w:val="19"/>
          <w:szCs w:val="19"/>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267" w:right="239" w:bottom="1440" w:gutter="0" w:footer="0" w:header="0"/>
        </w:sectPr>
      </w:pPr>
    </w:p>
    <w:bookmarkStart w:id="181" w:name="page182"/>
    <w:bookmarkEnd w:id="181"/>
    <w:p>
      <w:pPr>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9"/>
          <w:szCs w:val="19"/>
          <w:u w:val="single" w:color="auto"/>
          <w:color w:val="auto"/>
        </w:rPr>
        <w:t>Parachute Payments</w:t>
      </w:r>
      <w:r>
        <w:rPr>
          <w:rFonts w:ascii="Arial" w:cs="Arial" w:eastAsia="Arial" w:hAnsi="Arial"/>
          <w:sz w:val="19"/>
          <w:szCs w:val="19"/>
          <w:color w:val="auto"/>
        </w:rPr>
        <w:t>”)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9"/>
          <w:szCs w:val="19"/>
          <w:u w:val="single" w:color="auto"/>
          <w:color w:val="auto"/>
        </w:rPr>
        <w:t>Agreement Payments</w:t>
      </w:r>
      <w:r>
        <w:rPr>
          <w:rFonts w:ascii="Arial" w:cs="Arial" w:eastAsia="Arial" w:hAnsi="Arial"/>
          <w:sz w:val="19"/>
          <w:szCs w:val="19"/>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58" w:lineRule="exact"/>
        <w:rPr>
          <w:sz w:val="20"/>
          <w:szCs w:val="20"/>
          <w:color w:val="auto"/>
        </w:rPr>
      </w:pPr>
    </w:p>
    <w:p>
      <w:pPr>
        <w:ind w:right="120" w:firstLine="571"/>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56" w:lineRule="exact"/>
        <w:rPr>
          <w:sz w:val="20"/>
          <w:szCs w:val="20"/>
          <w:color w:val="auto"/>
        </w:rPr>
      </w:pPr>
    </w:p>
    <w:p>
      <w:pPr>
        <w:ind w:right="160" w:firstLine="579"/>
        <w:spacing w:after="0" w:line="282" w:lineRule="auto"/>
        <w:tabs>
          <w:tab w:leader="none" w:pos="1255" w:val="left"/>
        </w:tabs>
        <w:numPr>
          <w:ilvl w:val="0"/>
          <w:numId w:val="22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267" w:right="259" w:bottom="1440" w:gutter="0" w:footer="0" w:header="0"/>
        </w:sectPr>
      </w:pPr>
    </w:p>
    <w:bookmarkStart w:id="182" w:name="page183"/>
    <w:bookmarkEnd w:id="182"/>
    <w:p>
      <w:pPr>
        <w:spacing w:after="0" w:line="26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64" w:lineRule="exact"/>
        <w:rPr>
          <w:sz w:val="20"/>
          <w:szCs w:val="20"/>
          <w:color w:val="auto"/>
        </w:rPr>
      </w:pPr>
    </w:p>
    <w:p>
      <w:pPr>
        <w:ind w:right="60" w:firstLine="579"/>
        <w:spacing w:after="0" w:line="236" w:lineRule="auto"/>
        <w:tabs>
          <w:tab w:leader="none" w:pos="1165"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267" w:right="279" w:bottom="1440" w:gutter="0" w:footer="0" w:header="0"/>
        </w:sectPr>
      </w:pPr>
    </w:p>
    <w:bookmarkStart w:id="183" w:name="page184"/>
    <w:bookmarkEnd w:id="183"/>
    <w:p>
      <w:pPr>
        <w:ind w:right="6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 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67" w:lineRule="exact"/>
        <w:rPr>
          <w:sz w:val="20"/>
          <w:szCs w:val="20"/>
          <w:color w:val="auto"/>
        </w:rPr>
      </w:pPr>
    </w:p>
    <w:p>
      <w:pPr>
        <w:ind w:firstLine="579"/>
        <w:spacing w:after="0" w:line="269" w:lineRule="auto"/>
        <w:tabs>
          <w:tab w:leader="none" w:pos="1165" w:val="left"/>
        </w:tabs>
        <w:numPr>
          <w:ilvl w:val="1"/>
          <w:numId w:val="225"/>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three months after the Date of Termination by the Firm without Cause or by the Executive for Good Reason (such period, the</w:t>
      </w:r>
    </w:p>
    <w:p>
      <w:pPr>
        <w:spacing w:after="0" w:line="25" w:lineRule="exact"/>
        <w:rPr>
          <w:sz w:val="20"/>
          <w:szCs w:val="20"/>
          <w:color w:val="auto"/>
        </w:rPr>
      </w:pPr>
    </w:p>
    <w:p>
      <w:pPr>
        <w:ind w:right="300"/>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Noncompete Restriction Period</w:t>
      </w:r>
      <w:r>
        <w:rPr>
          <w:rFonts w:ascii="Arial" w:cs="Arial" w:eastAsia="Arial" w:hAnsi="Arial"/>
          <w:sz w:val="21"/>
          <w:szCs w:val="21"/>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Arial" w:cs="Arial" w:eastAsia="Arial" w:hAnsi="Arial"/>
          <w:sz w:val="21"/>
          <w:szCs w:val="21"/>
          <w:u w:val="single" w:color="auto"/>
          <w:color w:val="auto"/>
        </w:rPr>
        <w:t>Competing Activity</w:t>
      </w:r>
      <w:r>
        <w:rPr>
          <w:rFonts w:ascii="Arial" w:cs="Arial" w:eastAsia="Arial" w:hAnsi="Arial"/>
          <w:sz w:val="21"/>
          <w:szCs w:val="21"/>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267" w:right="239" w:bottom="1440" w:gutter="0" w:footer="0" w:header="0"/>
        </w:sectPr>
      </w:pPr>
    </w:p>
    <w:bookmarkStart w:id="184" w:name="page185"/>
    <w:bookmarkEnd w:id="184"/>
    <w:p>
      <w:pPr>
        <w:ind w:right="24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acted for the Firm while employed by the Firm, and (B) “</w:t>
      </w:r>
      <w:r>
        <w:rPr>
          <w:rFonts w:ascii="Arial" w:cs="Arial" w:eastAsia="Arial" w:hAnsi="Arial"/>
          <w:sz w:val="19"/>
          <w:szCs w:val="19"/>
          <w:u w:val="single" w:color="auto"/>
          <w:color w:val="auto"/>
        </w:rPr>
        <w:t>Competitive Enterprise</w:t>
      </w:r>
      <w:r>
        <w:rPr>
          <w:rFonts w:ascii="Arial" w:cs="Arial" w:eastAsia="Arial" w:hAnsi="Arial"/>
          <w:sz w:val="19"/>
          <w:szCs w:val="19"/>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58" w:lineRule="exact"/>
        <w:rPr>
          <w:sz w:val="20"/>
          <w:szCs w:val="20"/>
          <w:color w:val="auto"/>
        </w:rPr>
      </w:pPr>
    </w:p>
    <w:p>
      <w:pPr>
        <w:ind w:right="80" w:firstLine="579"/>
        <w:spacing w:after="0" w:line="238" w:lineRule="auto"/>
        <w:tabs>
          <w:tab w:leader="none" w:pos="1251"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right="60" w:firstLine="579"/>
        <w:spacing w:after="0" w:line="273" w:lineRule="auto"/>
        <w:tabs>
          <w:tab w:leader="none" w:pos="1165"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56" w:lineRule="exact"/>
        <w:rPr>
          <w:rFonts w:ascii="Arial" w:cs="Arial" w:eastAsia="Arial" w:hAnsi="Arial"/>
          <w:sz w:val="19"/>
          <w:szCs w:val="19"/>
          <w:color w:val="auto"/>
        </w:rPr>
      </w:pPr>
    </w:p>
    <w:p>
      <w:pPr>
        <w:ind w:firstLine="579"/>
        <w:spacing w:after="0" w:line="247" w:lineRule="auto"/>
        <w:tabs>
          <w:tab w:leader="none" w:pos="1165"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No Hire of Employees</w:t>
      </w:r>
      <w:r>
        <w:rPr>
          <w:rFonts w:ascii="Arial" w:cs="Arial" w:eastAsia="Arial" w:hAnsi="Arial"/>
          <w:sz w:val="21"/>
          <w:szCs w:val="21"/>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1"/>
          <w:szCs w:val="21"/>
          <w:u w:val="single" w:color="auto"/>
          <w:color w:val="auto"/>
        </w:rPr>
        <w:t>No Hire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8" w:lineRule="exact"/>
        <w:rPr>
          <w:rFonts w:ascii="Arial" w:cs="Arial" w:eastAsia="Arial" w:hAnsi="Arial"/>
          <w:sz w:val="21"/>
          <w:szCs w:val="21"/>
          <w:color w:val="auto"/>
        </w:rPr>
      </w:pPr>
    </w:p>
    <w:p>
      <w:pPr>
        <w:ind w:right="120" w:firstLine="579"/>
        <w:spacing w:after="0" w:line="251" w:lineRule="auto"/>
        <w:tabs>
          <w:tab w:leader="none" w:pos="1165"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Nondisparagement; Transfer of Client Relationships</w:t>
      </w:r>
      <w:r>
        <w:rPr>
          <w:rFonts w:ascii="Arial" w:cs="Arial" w:eastAsia="Arial" w:hAnsi="Arial"/>
          <w:sz w:val="22"/>
          <w:szCs w:val="22"/>
          <w:color w:val="auto"/>
        </w:rPr>
        <w:t>. The Executive shall not at any time (whether during or after the Executive’s employment with the Firm), and shall instruct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67" w:right="239" w:bottom="1440" w:gutter="0" w:footer="0" w:header="0"/>
        </w:sectPr>
      </w:pPr>
    </w:p>
    <w:bookmarkStart w:id="185" w:name="page186"/>
    <w:bookmarkEnd w:id="185"/>
    <w:p>
      <w:pPr>
        <w:ind w:right="80"/>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162" w:lineRule="exact"/>
        <w:rPr>
          <w:sz w:val="20"/>
          <w:szCs w:val="20"/>
          <w:color w:val="auto"/>
        </w:rPr>
      </w:pPr>
    </w:p>
    <w:p>
      <w:pPr>
        <w:ind w:right="120" w:firstLine="579"/>
        <w:spacing w:after="0" w:line="236" w:lineRule="auto"/>
        <w:tabs>
          <w:tab w:leader="none" w:pos="1165"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firstLine="579"/>
        <w:spacing w:after="0" w:line="277" w:lineRule="auto"/>
        <w:tabs>
          <w:tab w:leader="none" w:pos="1273"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Covenants Generally</w:t>
      </w:r>
      <w:r>
        <w:rPr>
          <w:rFonts w:ascii="Arial" w:cs="Arial" w:eastAsia="Arial" w:hAnsi="Arial"/>
          <w:sz w:val="19"/>
          <w:szCs w:val="19"/>
          <w:color w:val="auto"/>
        </w:rPr>
        <w:t>. (a) The Executive’s covenants as set forth in Sections 4 through 9 of this Agreement are from time to time referred to herein as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7" w:right="239" w:bottom="1440" w:gutter="0" w:footer="0" w:header="0"/>
        </w:sectPr>
      </w:pPr>
    </w:p>
    <w:bookmarkStart w:id="186" w:name="page187"/>
    <w:bookmarkEnd w:id="186"/>
    <w:p>
      <w:pPr>
        <w:ind w:left="-20" w:firstLine="579"/>
        <w:spacing w:after="0" w:line="272" w:lineRule="auto"/>
        <w:tabs>
          <w:tab w:leader="none" w:pos="1231" w:val="left"/>
        </w:tabs>
        <w:numPr>
          <w:ilvl w:val="0"/>
          <w:numId w:val="23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 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20" w:right="120" w:firstLine="579"/>
        <w:spacing w:after="0" w:line="272" w:lineRule="auto"/>
        <w:tabs>
          <w:tab w:leader="none" w:pos="121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provisions of Sections 4 through 11 shall remain in full force and effect from the date hereof through the expiration of the period specified therein notwithstanding the earlier termination of the Term or the Executive’s 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62" w:lineRule="exact"/>
        <w:rPr>
          <w:sz w:val="20"/>
          <w:szCs w:val="20"/>
          <w:color w:val="auto"/>
        </w:rPr>
      </w:pPr>
    </w:p>
    <w:p>
      <w:pPr>
        <w:ind w:left="-20" w:right="100" w:firstLine="579"/>
        <w:spacing w:after="0" w:line="274" w:lineRule="auto"/>
        <w:tabs>
          <w:tab w:leader="none" w:pos="1245"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60" w:top="267" w:right="239" w:bottom="1440" w:gutter="0" w:footer="0" w:header="0"/>
        </w:sectPr>
      </w:pPr>
    </w:p>
    <w:bookmarkStart w:id="187" w:name="page188"/>
    <w:bookmarkEnd w:id="187"/>
    <w:p>
      <w:pPr>
        <w:ind w:right="2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05" w:lineRule="exact"/>
        <w:rPr>
          <w:sz w:val="20"/>
          <w:szCs w:val="20"/>
          <w:color w:val="auto"/>
        </w:rPr>
      </w:pPr>
    </w:p>
    <w:p>
      <w:pPr>
        <w:ind w:right="20" w:firstLine="579"/>
        <w:spacing w:after="0" w:line="271" w:lineRule="auto"/>
        <w:tabs>
          <w:tab w:leader="none" w:pos="1273"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9"/>
          <w:szCs w:val="19"/>
          <w:u w:val="single" w:color="auto"/>
          <w:color w:val="auto"/>
        </w:rPr>
        <w:t>Employment Related Matters</w:t>
      </w:r>
      <w:r>
        <w:rPr>
          <w:rFonts w:ascii="Arial" w:cs="Arial" w:eastAsia="Arial" w:hAnsi="Arial"/>
          <w:sz w:val="19"/>
          <w:szCs w:val="19"/>
          <w:color w:val="auto"/>
        </w:rPr>
        <w:t>”), shall be finally settled by arbitration in New York City before, and in accordance with the rules then obtaining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or, if FINRA declines to arbitrate the matter,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xml:space="preserve">”) in accordance with the commercial arbitration rules of the AAA. Prior to a Change in Control, each party shall bear its own costs and expenses of any such arbitration. Following a Change in Control, Lazard Group shall pay to the Executive, as incurred, all legal fees and expenses reasonably incurred by the Executive or with respect to the Executive during his lifetime or within ten years after his death in connection with any contest by Lazard Group,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this Section 12 or Section 13 of this Agreement or otherwise), plus Interest determined as of the date such legal fees and expenses were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promptly repay to Lazard Group all such amounts if the Executive fails to prevail on at least one material issue in dispute in any such contest.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579"/>
        <w:spacing w:after="0" w:line="274" w:lineRule="auto"/>
        <w:tabs>
          <w:tab w:leader="none" w:pos="1273"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58" w:lineRule="exact"/>
        <w:rPr>
          <w:rFonts w:ascii="Arial" w:cs="Arial" w:eastAsia="Arial" w:hAnsi="Arial"/>
          <w:sz w:val="19"/>
          <w:szCs w:val="19"/>
          <w:color w:val="auto"/>
        </w:rPr>
      </w:pPr>
    </w:p>
    <w:p>
      <w:pPr>
        <w:ind w:firstLine="579"/>
        <w:spacing w:after="0" w:line="248" w:lineRule="auto"/>
        <w:tabs>
          <w:tab w:leader="none" w:pos="1273"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60"/>
          </w:cols>
          <w:pgMar w:left="240" w:top="267" w:right="299" w:bottom="1440" w:gutter="0" w:footer="0" w:header="0"/>
        </w:sectPr>
      </w:pPr>
    </w:p>
    <w:bookmarkStart w:id="188" w:name="page189"/>
    <w:bookmarkEnd w:id="188"/>
    <w:p>
      <w:pPr>
        <w:ind w:right="100"/>
        <w:spacing w:after="0" w:line="252"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74" w:lineRule="exact"/>
        <w:rPr>
          <w:sz w:val="20"/>
          <w:szCs w:val="20"/>
          <w:color w:val="auto"/>
        </w:rPr>
      </w:pPr>
    </w:p>
    <w:p>
      <w:pPr>
        <w:ind w:firstLine="579"/>
        <w:spacing w:after="0" w:line="275" w:lineRule="auto"/>
        <w:tabs>
          <w:tab w:leader="none" w:pos="1251"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 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58" w:lineRule="exact"/>
        <w:rPr>
          <w:sz w:val="20"/>
          <w:szCs w:val="20"/>
          <w:color w:val="auto"/>
        </w:rPr>
      </w:pPr>
    </w:p>
    <w:p>
      <w:pPr>
        <w:ind w:right="460" w:firstLine="579"/>
        <w:spacing w:after="0" w:line="238" w:lineRule="auto"/>
        <w:tabs>
          <w:tab w:leader="none" w:pos="1273"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ind w:right="300" w:firstLine="579"/>
        <w:spacing w:after="0" w:line="251" w:lineRule="auto"/>
        <w:tabs>
          <w:tab w:leader="none" w:pos="1273"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shall supersede any other agreement, written or oral, pertaining to the matters covered herein.</w:t>
      </w:r>
    </w:p>
    <w:p>
      <w:pPr>
        <w:spacing w:after="0" w:line="173" w:lineRule="exact"/>
        <w:rPr>
          <w:sz w:val="20"/>
          <w:szCs w:val="20"/>
          <w:color w:val="auto"/>
        </w:rPr>
      </w:pPr>
    </w:p>
    <w:p>
      <w:pPr>
        <w:ind w:right="160" w:firstLine="579"/>
        <w:spacing w:after="0"/>
        <w:tabs>
          <w:tab w:leader="none" w:pos="125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right="40" w:firstLine="579"/>
        <w:spacing w:after="0" w:line="238" w:lineRule="auto"/>
        <w:tabs>
          <w:tab w:leader="none" w:pos="1243" w:val="left"/>
        </w:tabs>
        <w:numPr>
          <w:ilvl w:val="0"/>
          <w:numId w:val="235"/>
        </w:numPr>
        <w:rPr>
          <w:rFonts w:ascii="Arial" w:cs="Arial" w:eastAsia="Arial" w:hAnsi="Arial"/>
          <w:sz w:val="22"/>
          <w:szCs w:val="22"/>
          <w:color w:val="auto"/>
        </w:rPr>
      </w:pPr>
      <w:r>
        <w:rPr>
          <w:rFonts w:ascii="Arial" w:cs="Arial" w:eastAsia="Arial" w:hAnsi="Arial"/>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5" w:lineRule="exact"/>
        <w:rPr>
          <w:rFonts w:ascii="Arial" w:cs="Arial" w:eastAsia="Arial" w:hAnsi="Arial"/>
          <w:sz w:val="22"/>
          <w:szCs w:val="22"/>
          <w:color w:val="auto"/>
        </w:rPr>
      </w:pPr>
    </w:p>
    <w:p>
      <w:pPr>
        <w:ind w:right="40" w:firstLine="579"/>
        <w:spacing w:after="0" w:line="247" w:lineRule="auto"/>
        <w:tabs>
          <w:tab w:leader="none" w:pos="1251" w:val="left"/>
        </w:tabs>
        <w:numPr>
          <w:ilvl w:val="0"/>
          <w:numId w:val="235"/>
        </w:numPr>
        <w:rPr>
          <w:rFonts w:ascii="Arial" w:cs="Arial" w:eastAsia="Arial" w:hAnsi="Arial"/>
          <w:sz w:val="21"/>
          <w:szCs w:val="21"/>
          <w:color w:val="auto"/>
        </w:rPr>
      </w:pPr>
      <w:r>
        <w:rPr>
          <w:rFonts w:ascii="Arial" w:cs="Arial" w:eastAsia="Arial" w:hAnsi="Arial"/>
          <w:sz w:val="21"/>
          <w:szCs w:val="21"/>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267" w:right="279" w:bottom="1440" w:gutter="0" w:footer="0" w:header="0"/>
        </w:sectPr>
      </w:pPr>
    </w:p>
    <w:bookmarkStart w:id="189" w:name="page190"/>
    <w:bookmarkEnd w:id="189"/>
    <w:p>
      <w:pPr>
        <w:ind w:right="1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48" w:lineRule="exact"/>
        <w:rPr>
          <w:sz w:val="20"/>
          <w:szCs w:val="20"/>
          <w:color w:val="auto"/>
        </w:rPr>
      </w:pPr>
    </w:p>
    <w:p>
      <w:pPr>
        <w:ind w:right="20" w:firstLine="579"/>
        <w:spacing w:after="0" w:line="258" w:lineRule="auto"/>
        <w:tabs>
          <w:tab w:leader="none" w:pos="1239" w:val="left"/>
        </w:tabs>
        <w:numPr>
          <w:ilvl w:val="0"/>
          <w:numId w:val="236"/>
        </w:numPr>
        <w:rPr>
          <w:rFonts w:ascii="Arial" w:cs="Arial" w:eastAsia="Arial" w:hAnsi="Arial"/>
          <w:sz w:val="21"/>
          <w:szCs w:val="21"/>
          <w:color w:val="auto"/>
        </w:rPr>
      </w:pPr>
      <w:r>
        <w:rPr>
          <w:rFonts w:ascii="Arial" w:cs="Arial" w:eastAsia="Arial" w:hAnsi="Arial"/>
          <w:sz w:val="21"/>
          <w:szCs w:val="21"/>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66" w:lineRule="exact"/>
        <w:rPr>
          <w:rFonts w:ascii="Arial" w:cs="Arial" w:eastAsia="Arial" w:hAnsi="Arial"/>
          <w:sz w:val="21"/>
          <w:szCs w:val="21"/>
          <w:color w:val="auto"/>
        </w:rPr>
      </w:pPr>
    </w:p>
    <w:p>
      <w:pPr>
        <w:ind w:firstLine="579"/>
        <w:spacing w:after="0" w:line="248" w:lineRule="auto"/>
        <w:tabs>
          <w:tab w:leader="none" w:pos="1215"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77" w:lineRule="exact"/>
        <w:rPr>
          <w:rFonts w:ascii="Arial" w:cs="Arial" w:eastAsia="Arial" w:hAnsi="Arial"/>
          <w:sz w:val="21"/>
          <w:szCs w:val="21"/>
          <w:color w:val="auto"/>
        </w:rPr>
      </w:pPr>
    </w:p>
    <w:p>
      <w:pPr>
        <w:ind w:right="520" w:firstLine="579"/>
        <w:spacing w:after="0" w:line="274" w:lineRule="auto"/>
        <w:tabs>
          <w:tab w:leader="none" w:pos="1255" w:val="left"/>
        </w:tabs>
        <w:numPr>
          <w:ilvl w:val="0"/>
          <w:numId w:val="236"/>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right="60" w:firstLine="579"/>
        <w:spacing w:after="0" w:line="252" w:lineRule="auto"/>
        <w:tabs>
          <w:tab w:leader="none" w:pos="1251"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right="40" w:firstLine="579"/>
        <w:spacing w:after="0" w:line="248" w:lineRule="auto"/>
        <w:tabs>
          <w:tab w:leader="none" w:pos="1207" w:val="left"/>
        </w:tabs>
        <w:numPr>
          <w:ilvl w:val="0"/>
          <w:numId w:val="236"/>
        </w:numPr>
        <w:rPr>
          <w:rFonts w:ascii="Arial" w:cs="Arial" w:eastAsia="Arial" w:hAnsi="Arial"/>
          <w:sz w:val="21"/>
          <w:szCs w:val="21"/>
          <w:color w:val="auto"/>
        </w:rPr>
      </w:pPr>
      <w:r>
        <w:rPr>
          <w:rFonts w:ascii="Arial" w:cs="Arial" w:eastAsia="Arial" w:hAnsi="Arial"/>
          <w:sz w:val="21"/>
          <w:szCs w:val="21"/>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77" w:lineRule="exact"/>
        <w:rPr>
          <w:rFonts w:ascii="Arial" w:cs="Arial" w:eastAsia="Arial" w:hAnsi="Arial"/>
          <w:sz w:val="21"/>
          <w:szCs w:val="21"/>
          <w:color w:val="auto"/>
        </w:rPr>
      </w:pPr>
    </w:p>
    <w:p>
      <w:pPr>
        <w:jc w:val="both"/>
        <w:ind w:right="260" w:firstLine="579"/>
        <w:spacing w:after="0" w:line="328" w:lineRule="auto"/>
        <w:tabs>
          <w:tab w:leader="none" w:pos="120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05" w:lineRule="exact"/>
        <w:rPr>
          <w:rFonts w:ascii="Arial" w:cs="Arial" w:eastAsia="Arial" w:hAnsi="Arial"/>
          <w:sz w:val="19"/>
          <w:szCs w:val="19"/>
          <w:color w:val="auto"/>
        </w:rPr>
      </w:pPr>
    </w:p>
    <w:p>
      <w:pPr>
        <w:ind w:right="1240" w:firstLine="579"/>
        <w:spacing w:after="0" w:line="251" w:lineRule="auto"/>
        <w:tabs>
          <w:tab w:leader="none" w:pos="125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This Agreement, together with any applicable Award Agreements, constitutes the entire agreement and understanding of the parties with respect to the transactions contemplated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267" w:right="259" w:bottom="1440" w:gutter="0" w:footer="0" w:header="0"/>
        </w:sectPr>
      </w:pPr>
    </w:p>
    <w:bookmarkStart w:id="190" w:name="page191"/>
    <w:bookmarkEnd w:id="190"/>
    <w:p>
      <w:pPr>
        <w:ind w:right="140"/>
        <w:spacing w:after="0" w:line="23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and subject matter hereof and supersedes and replaces any and all prior agreements, understandings, statements, representations and warranties, written or oral, express or implied or whenever and howsoever made, directly or indirectly relating to the subject matter hereof, including the Prior Retention Agreement. Notwithstanding the foregoing, the Executive’s Covenants shall operate independently of, and shall be in addition to, any similar covenants to which the Executive is subject pursuant to any other agreement with the Firm.</w:t>
      </w:r>
    </w:p>
    <w:p>
      <w:pPr>
        <w:spacing w:after="0" w:line="188" w:lineRule="exact"/>
        <w:rPr>
          <w:sz w:val="20"/>
          <w:szCs w:val="20"/>
          <w:color w:val="auto"/>
        </w:rPr>
      </w:pPr>
    </w:p>
    <w:p>
      <w:pPr>
        <w:ind w:firstLine="579"/>
        <w:spacing w:after="0" w:line="274" w:lineRule="auto"/>
        <w:tabs>
          <w:tab w:leader="none" w:pos="120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 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59" w:lineRule="exact"/>
        <w:rPr>
          <w:sz w:val="20"/>
          <w:szCs w:val="20"/>
          <w:color w:val="auto"/>
        </w:rPr>
      </w:pPr>
    </w:p>
    <w:p>
      <w:pPr>
        <w:ind w:right="200" w:firstLine="579"/>
        <w:spacing w:after="0" w:line="238" w:lineRule="auto"/>
        <w:tabs>
          <w:tab w:leader="none" w:pos="1273"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67" w:right="239" w:bottom="1440" w:gutter="0" w:footer="0" w:header="0"/>
        </w:sectPr>
      </w:pPr>
    </w:p>
    <w:bookmarkStart w:id="191" w:name="page192"/>
    <w:bookmarkEnd w:id="191"/>
    <w:p>
      <w:pPr>
        <w:ind w:right="220" w:firstLine="57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Firm hereto have caused this Agreement to be executed and delivered on the date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14"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LAZARD GROUP LLC (on its behalf, and on</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behalf of its subsidiaries and affiliates),</w:t>
      </w:r>
    </w:p>
    <w:p>
      <w:pPr>
        <w:spacing w:after="0" w:line="188" w:lineRule="exact"/>
        <w:rPr>
          <w:sz w:val="20"/>
          <w:szCs w:val="20"/>
          <w:color w:val="auto"/>
        </w:rPr>
      </w:pPr>
    </w:p>
    <w:tbl>
      <w:tblPr>
        <w:tblLayout w:type="fixed"/>
        <w:tblInd w:w="68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Scott D. Hoffman</w:t>
            </w:r>
          </w:p>
        </w:tc>
      </w:tr>
      <w:tr>
        <w:trPr>
          <w:trHeight w:val="229"/>
        </w:trPr>
        <w:tc>
          <w:tcPr>
            <w:tcW w:w="740" w:type="dxa"/>
            <w:vAlign w:val="bottom"/>
          </w:tcPr>
          <w:p>
            <w:pPr>
              <w:spacing w:after="0" w:line="228" w:lineRule="exact"/>
              <w:rPr>
                <w:sz w:val="20"/>
                <w:szCs w:val="20"/>
                <w:color w:val="auto"/>
              </w:rPr>
            </w:pPr>
            <w:r>
              <w:rPr>
                <w:rFonts w:ascii="Arial" w:cs="Arial" w:eastAsia="Arial" w:hAnsi="Arial"/>
                <w:sz w:val="22"/>
                <w:szCs w:val="22"/>
                <w:color w:val="auto"/>
              </w:rPr>
              <w:t>Name:</w:t>
            </w:r>
          </w:p>
        </w:tc>
        <w:tc>
          <w:tcPr>
            <w:tcW w:w="3820" w:type="dxa"/>
            <w:vAlign w:val="bottom"/>
            <w:gridSpan w:val="2"/>
          </w:tcPr>
          <w:p>
            <w:pPr>
              <w:ind w:left="100"/>
              <w:spacing w:after="0" w:line="228" w:lineRule="exact"/>
              <w:rPr>
                <w:sz w:val="20"/>
                <w:szCs w:val="20"/>
                <w:color w:val="auto"/>
              </w:rPr>
            </w:pPr>
            <w:r>
              <w:rPr>
                <w:rFonts w:ascii="Arial" w:cs="Arial" w:eastAsia="Arial" w:hAnsi="Arial"/>
                <w:sz w:val="22"/>
                <w:szCs w:val="22"/>
                <w:color w:val="auto"/>
              </w:rPr>
              <w:t>Scott D. Hoffman</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82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Managing Director and</w:t>
            </w:r>
          </w:p>
        </w:tc>
      </w:tr>
      <w:tr>
        <w:trPr>
          <w:trHeight w:val="275"/>
        </w:trPr>
        <w:tc>
          <w:tcPr>
            <w:tcW w:w="740" w:type="dxa"/>
            <w:vAlign w:val="bottom"/>
          </w:tcPr>
          <w:p>
            <w:pPr>
              <w:spacing w:after="0"/>
              <w:rPr>
                <w:sz w:val="23"/>
                <w:szCs w:val="23"/>
                <w:color w:val="auto"/>
              </w:rPr>
            </w:pPr>
          </w:p>
        </w:tc>
        <w:tc>
          <w:tcPr>
            <w:tcW w:w="3820" w:type="dxa"/>
            <w:vAlign w:val="bottom"/>
            <w:gridSpan w:val="2"/>
          </w:tcPr>
          <w:p>
            <w:pPr>
              <w:ind w:left="100"/>
              <w:spacing w:after="0"/>
              <w:rPr>
                <w:sz w:val="20"/>
                <w:szCs w:val="20"/>
                <w:color w:val="auto"/>
              </w:rPr>
            </w:pPr>
            <w:r>
              <w:rPr>
                <w:rFonts w:ascii="Arial" w:cs="Arial" w:eastAsia="Arial" w:hAnsi="Arial"/>
                <w:sz w:val="22"/>
                <w:szCs w:val="22"/>
                <w:color w:val="auto"/>
              </w:rPr>
              <w:t>General Counsel</w:t>
            </w:r>
          </w:p>
        </w:tc>
      </w:tr>
      <w:tr>
        <w:trPr>
          <w:trHeight w:val="908"/>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Alexander F. Stern</w:t>
            </w:r>
          </w:p>
        </w:tc>
      </w:tr>
      <w:tr>
        <w:trPr>
          <w:trHeight w:val="268"/>
        </w:trPr>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22"/>
                <w:szCs w:val="22"/>
                <w:color w:val="auto"/>
              </w:rPr>
              <w:t>Alexander F. Stern</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267" w:right="239" w:bottom="1440" w:gutter="0" w:footer="0" w:header="0"/>
        </w:sectPr>
      </w:pPr>
    </w:p>
    <w:bookmarkStart w:id="192" w:name="page193"/>
    <w:bookmarkEnd w:id="192"/>
    <w:tbl>
      <w:tblPr>
        <w:tblLayout w:type="fixed"/>
        <w:tblInd w:w="58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4"/>
              </w:rPr>
              <w:t>Exhibit A</w:t>
            </w:r>
          </w:p>
        </w:tc>
      </w:tr>
      <w:tr>
        <w:trPr>
          <w:trHeight w:val="490"/>
        </w:trPr>
        <w:tc>
          <w:tcPr>
            <w:tcW w:w="2660" w:type="dxa"/>
            <w:vAlign w:val="bottom"/>
          </w:tcPr>
          <w:p>
            <w:pPr>
              <w:spacing w:after="0"/>
              <w:rPr>
                <w:sz w:val="24"/>
                <w:szCs w:val="24"/>
                <w:color w:val="auto"/>
              </w:rPr>
            </w:pPr>
          </w:p>
        </w:tc>
        <w:tc>
          <w:tcPr>
            <w:tcW w:w="8180" w:type="dxa"/>
            <w:vAlign w:val="bottom"/>
            <w:gridSpan w:val="9"/>
          </w:tcPr>
          <w:p>
            <w:pPr>
              <w:ind w:left="680"/>
              <w:spacing w:after="0"/>
              <w:rPr>
                <w:sz w:val="20"/>
                <w:szCs w:val="20"/>
                <w:color w:val="auto"/>
              </w:rPr>
            </w:pPr>
            <w:r>
              <w:rPr>
                <w:rFonts w:ascii="Arial" w:cs="Arial" w:eastAsia="Arial" w:hAnsi="Arial"/>
                <w:sz w:val="22"/>
                <w:szCs w:val="22"/>
                <w:b w:val="1"/>
                <w:bCs w:val="1"/>
                <w:color w:val="auto"/>
              </w:rPr>
              <w:t>WAIVER AND GENERAL RELEASE</w:t>
            </w:r>
          </w:p>
        </w:tc>
      </w:tr>
      <w:tr>
        <w:trPr>
          <w:trHeight w:val="409"/>
        </w:trPr>
        <w:tc>
          <w:tcPr>
            <w:tcW w:w="4900" w:type="dxa"/>
            <w:vAlign w:val="bottom"/>
            <w:gridSpan w:val="3"/>
          </w:tcPr>
          <w:p>
            <w:pPr>
              <w:spacing w:after="0"/>
              <w:rPr>
                <w:sz w:val="20"/>
                <w:szCs w:val="20"/>
                <w:color w:val="auto"/>
              </w:rPr>
            </w:pPr>
            <w:r>
              <w:rPr>
                <w:rFonts w:ascii="Arial" w:cs="Arial" w:eastAsia="Arial" w:hAnsi="Arial"/>
                <w:sz w:val="22"/>
                <w:szCs w:val="22"/>
                <w:color w:val="auto"/>
                <w:w w:val="89"/>
              </w:rPr>
              <w:t>Waiver and General Release (“Agreement”), dated as of</w:t>
            </w:r>
          </w:p>
        </w:tc>
        <w:tc>
          <w:tcPr>
            <w:tcW w:w="640" w:type="dxa"/>
            <w:vAlign w:val="bottom"/>
          </w:tcPr>
          <w:p>
            <w:pPr>
              <w:spacing w:after="0"/>
              <w:rPr>
                <w:sz w:val="24"/>
                <w:szCs w:val="24"/>
                <w:color w:val="auto"/>
              </w:rPr>
            </w:pPr>
          </w:p>
        </w:tc>
        <w:tc>
          <w:tcPr>
            <w:tcW w:w="5300" w:type="dxa"/>
            <w:vAlign w:val="bottom"/>
            <w:gridSpan w:val="6"/>
          </w:tcPr>
          <w:p>
            <w:pPr>
              <w:spacing w:after="0"/>
              <w:rPr>
                <w:sz w:val="20"/>
                <w:szCs w:val="20"/>
                <w:color w:val="auto"/>
              </w:rPr>
            </w:pPr>
            <w:r>
              <w:rPr>
                <w:rFonts w:ascii="Arial" w:cs="Arial" w:eastAsia="Arial" w:hAnsi="Arial"/>
                <w:sz w:val="22"/>
                <w:szCs w:val="22"/>
                <w:color w:val="auto"/>
                <w:w w:val="92"/>
              </w:rPr>
              <w:t>, by and between Alexander F. Stern (“Employee” or “you”)</w:t>
            </w:r>
          </w:p>
        </w:tc>
      </w:tr>
      <w:tr>
        <w:trPr>
          <w:trHeight w:val="20"/>
        </w:trPr>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spacing w:after="0" w:line="282" w:lineRule="auto"/>
        <w:rPr>
          <w:sz w:val="20"/>
          <w:szCs w:val="20"/>
          <w:color w:val="auto"/>
        </w:rPr>
      </w:pPr>
      <w:r>
        <w:rPr>
          <w:rFonts w:ascii="Arial" w:cs="Arial" w:eastAsia="Arial" w:hAnsi="Arial"/>
          <w:sz w:val="19"/>
          <w:szCs w:val="19"/>
          <w:color w:val="auto"/>
        </w:rPr>
        <w:t>and Lazard Group LLC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48" w:lineRule="exact"/>
        <w:rPr>
          <w:sz w:val="20"/>
          <w:szCs w:val="20"/>
          <w:color w:val="auto"/>
        </w:rPr>
      </w:pPr>
    </w:p>
    <w:p>
      <w:pPr>
        <w:ind w:left="1180" w:hanging="601"/>
        <w:spacing w:after="0"/>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Concluding Employment</w:t>
      </w:r>
      <w:r>
        <w:rPr>
          <w:rFonts w:ascii="Arial" w:cs="Arial" w:eastAsia="Arial" w:hAnsi="Arial"/>
          <w:sz w:val="21"/>
          <w:szCs w:val="21"/>
          <w:color w:val="auto"/>
        </w:rPr>
        <w:t>. You acknowledge your separation from employment with the Company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6676390</wp:posOffset>
            </wp:positionH>
            <wp:positionV relativeFrom="paragraph">
              <wp:posOffset>-10160</wp:posOffset>
            </wp:positionV>
            <wp:extent cx="4114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right="120"/>
        <w:spacing w:after="0" w:line="273"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sz w:val="20"/>
          <w:szCs w:val="20"/>
          <w:color w:val="auto"/>
        </w:rPr>
      </w:pPr>
    </w:p>
    <w:p>
      <w:pPr>
        <w:ind w:right="160" w:firstLine="579"/>
        <w:spacing w:after="0" w:line="282" w:lineRule="auto"/>
        <w:tabs>
          <w:tab w:leader="none" w:pos="1165"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Amended and Restated Agreement Relating to Retention and Noncompetition and Other Covenants by and among the Company, Lazard Ltd and you, dated as of March 9, 2016 (such agreement,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120" w:firstLine="579"/>
        <w:spacing w:after="0" w:line="282" w:lineRule="auto"/>
        <w:tabs>
          <w:tab w:leader="none" w:pos="1165"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47" w:lineRule="exact"/>
        <w:rPr>
          <w:rFonts w:ascii="Arial" w:cs="Arial" w:eastAsia="Arial" w:hAnsi="Arial"/>
          <w:sz w:val="19"/>
          <w:szCs w:val="19"/>
          <w:color w:val="auto"/>
        </w:rPr>
      </w:pPr>
    </w:p>
    <w:p>
      <w:pPr>
        <w:ind w:right="40" w:firstLine="579"/>
        <w:spacing w:after="0" w:line="236" w:lineRule="auto"/>
        <w:tabs>
          <w:tab w:leader="none" w:pos="1165"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2"/>
          <w:szCs w:val="22"/>
          <w:u w:val="single" w:color="auto"/>
          <w:color w:val="auto"/>
        </w:rPr>
        <w:t>Releasors</w:t>
      </w:r>
      <w:r>
        <w:rPr>
          <w:rFonts w:ascii="Arial" w:cs="Arial" w:eastAsia="Arial" w:hAnsi="Arial"/>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38" w:right="239" w:bottom="1440" w:gutter="0" w:footer="0" w:header="0"/>
        </w:sectPr>
      </w:pPr>
    </w:p>
    <w:bookmarkStart w:id="193" w:name="page194"/>
    <w:bookmarkEnd w:id="193"/>
    <w:p>
      <w:pPr>
        <w:ind w:right="94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or may have against any of the Company Entities by reason of any act, omission, transaction, practice, plan, policy, procedure, conduct, occurrence, or other matter up to and including the date on which you sign this Agreement.</w:t>
      </w:r>
    </w:p>
    <w:p>
      <w:pPr>
        <w:spacing w:after="0" w:line="105" w:lineRule="exact"/>
        <w:rPr>
          <w:sz w:val="20"/>
          <w:szCs w:val="20"/>
          <w:color w:val="auto"/>
        </w:rPr>
      </w:pPr>
    </w:p>
    <w:p>
      <w:pPr>
        <w:jc w:val="both"/>
        <w:ind w:firstLine="1444"/>
        <w:spacing w:after="0" w:line="272" w:lineRule="auto"/>
        <w:tabs>
          <w:tab w:leader="none" w:pos="2185" w:val="left"/>
        </w:tabs>
        <w:numPr>
          <w:ilvl w:val="2"/>
          <w:numId w:val="24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371"/>
        <w:spacing w:after="0" w:line="272" w:lineRule="auto"/>
        <w:tabs>
          <w:tab w:leader="none" w:pos="1956" w:val="left"/>
        </w:tabs>
        <w:numPr>
          <w:ilvl w:val="1"/>
          <w:numId w:val="242"/>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61" w:lineRule="exact"/>
        <w:rPr>
          <w:rFonts w:ascii="Arial" w:cs="Arial" w:eastAsia="Arial" w:hAnsi="Arial"/>
          <w:sz w:val="19"/>
          <w:szCs w:val="19"/>
          <w:color w:val="auto"/>
        </w:rPr>
      </w:pPr>
    </w:p>
    <w:p>
      <w:pPr>
        <w:jc w:val="both"/>
        <w:ind w:firstLine="579"/>
        <w:spacing w:after="0" w:line="236" w:lineRule="auto"/>
        <w:tabs>
          <w:tab w:leader="none" w:pos="1192"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267" w:right="239" w:bottom="1440" w:gutter="0" w:footer="0" w:header="0"/>
        </w:sectPr>
      </w:pPr>
    </w:p>
    <w:bookmarkStart w:id="194" w:name="page195"/>
    <w:bookmarkEnd w:id="194"/>
    <w:p>
      <w:pPr>
        <w:jc w:val="both"/>
        <w:ind w:firstLine="579"/>
        <w:spacing w:after="0" w:line="249" w:lineRule="auto"/>
        <w:tabs>
          <w:tab w:leader="none" w:pos="1300" w:val="left"/>
        </w:tabs>
        <w:numPr>
          <w:ilvl w:val="0"/>
          <w:numId w:val="244"/>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ind w:right="200" w:firstLine="1119"/>
        <w:spacing w:after="0" w:line="273" w:lineRule="auto"/>
        <w:tabs>
          <w:tab w:leader="none" w:pos="1697" w:val="left"/>
        </w:tabs>
        <w:numPr>
          <w:ilvl w:val="1"/>
          <w:numId w:val="244"/>
        </w:numPr>
        <w:rPr>
          <w:rFonts w:ascii="Arial" w:cs="Arial" w:eastAsia="Arial" w:hAnsi="Arial"/>
          <w:sz w:val="19"/>
          <w:szCs w:val="19"/>
          <w:color w:val="auto"/>
        </w:rPr>
      </w:pPr>
      <w:r>
        <w:rPr>
          <w:rFonts w:ascii="Arial" w:cs="Arial" w:eastAsia="Arial" w:hAnsi="Arial"/>
          <w:sz w:val="19"/>
          <w:szCs w:val="19"/>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w:t>
      </w:r>
    </w:p>
    <w:p>
      <w:pPr>
        <w:spacing w:after="0"/>
        <w:tabs>
          <w:tab w:leader="none" w:pos="10680" w:val="left"/>
        </w:tabs>
        <w:rPr>
          <w:sz w:val="20"/>
          <w:szCs w:val="20"/>
          <w:color w:val="auto"/>
        </w:rPr>
      </w:pPr>
      <w:r>
        <w:rPr>
          <w:rFonts w:ascii="Arial" w:cs="Arial" w:eastAsia="Arial" w:hAnsi="Arial"/>
          <w:sz w:val="22"/>
          <w:szCs w:val="22"/>
          <w:color w:val="auto"/>
        </w:rPr>
        <w:t>requirements, based on the written legal advice of your counsel, you will give prompt notice of such request to</w:t>
      </w:r>
      <w:r>
        <w:rPr>
          <w:sz w:val="20"/>
          <w:szCs w:val="20"/>
          <w:color w:val="auto"/>
        </w:rPr>
        <w:tab/>
      </w:r>
      <w:r>
        <w:rPr>
          <w:rFonts w:ascii="Arial" w:cs="Arial" w:eastAsia="Arial" w:hAnsi="Arial"/>
          <w:sz w:val="19"/>
          <w:szCs w:val="19"/>
          <w:color w:val="auto"/>
        </w:rPr>
        <w:t>, Lazard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6113145</wp:posOffset>
            </wp:positionH>
            <wp:positionV relativeFrom="paragraph">
              <wp:posOffset>-22860</wp:posOffset>
            </wp:positionV>
            <wp:extent cx="6858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right="60"/>
        <w:spacing w:after="0" w:line="234" w:lineRule="auto"/>
        <w:rPr>
          <w:sz w:val="20"/>
          <w:szCs w:val="20"/>
          <w:color w:val="auto"/>
        </w:rPr>
      </w:pPr>
      <w:r>
        <w:rPr>
          <w:rFonts w:ascii="Arial" w:cs="Arial" w:eastAsia="Arial" w:hAnsi="Arial"/>
          <w:sz w:val="22"/>
          <w:szCs w:val="22"/>
          <w:color w:val="auto"/>
        </w:rPr>
        <w:t>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87" w:lineRule="exact"/>
        <w:rPr>
          <w:sz w:val="20"/>
          <w:szCs w:val="20"/>
          <w:color w:val="auto"/>
        </w:rPr>
      </w:pPr>
    </w:p>
    <w:p>
      <w:pPr>
        <w:jc w:val="both"/>
        <w:ind w:firstLine="579"/>
        <w:spacing w:after="0" w:line="297" w:lineRule="auto"/>
        <w:tabs>
          <w:tab w:leader="none" w:pos="1246"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34" w:lineRule="exact"/>
        <w:rPr>
          <w:rFonts w:ascii="Arial" w:cs="Arial" w:eastAsia="Arial" w:hAnsi="Arial"/>
          <w:sz w:val="19"/>
          <w:szCs w:val="19"/>
          <w:color w:val="auto"/>
        </w:rPr>
      </w:pPr>
    </w:p>
    <w:p>
      <w:pPr>
        <w:jc w:val="both"/>
        <w:ind w:firstLine="579"/>
        <w:spacing w:after="0" w:line="272" w:lineRule="auto"/>
        <w:tabs>
          <w:tab w:leader="none" w:pos="1165"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579"/>
        <w:spacing w:after="0" w:line="236" w:lineRule="auto"/>
        <w:tabs>
          <w:tab w:leader="none" w:pos="1313"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267" w:right="239" w:bottom="1440" w:gutter="0" w:footer="0" w:header="0"/>
        </w:sectPr>
      </w:pPr>
    </w:p>
    <w:bookmarkStart w:id="195" w:name="page196"/>
    <w:bookmarkEnd w:id="195"/>
    <w:p>
      <w:pPr>
        <w:ind w:right="20" w:firstLine="579"/>
        <w:spacing w:after="0" w:line="251" w:lineRule="auto"/>
        <w:tabs>
          <w:tab w:leader="none" w:pos="1286"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579"/>
        <w:spacing w:after="0"/>
        <w:tabs>
          <w:tab w:leader="none" w:pos="1481"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ind w:right="240" w:firstLine="1227"/>
        <w:spacing w:after="0" w:line="297" w:lineRule="auto"/>
        <w:tabs>
          <w:tab w:leader="none" w:pos="1813" w:val="left"/>
        </w:tabs>
        <w:numPr>
          <w:ilvl w:val="1"/>
          <w:numId w:val="246"/>
        </w:numPr>
        <w:rPr>
          <w:rFonts w:ascii="Arial" w:cs="Arial" w:eastAsia="Arial" w:hAnsi="Arial"/>
          <w:sz w:val="19"/>
          <w:szCs w:val="19"/>
          <w:color w:val="auto"/>
        </w:rPr>
      </w:pPr>
      <w:r>
        <w:rPr>
          <w:rFonts w:ascii="Arial" w:cs="Arial" w:eastAsia="Arial" w:hAnsi="Arial"/>
          <w:sz w:val="19"/>
          <w:szCs w:val="19"/>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34" w:lineRule="exact"/>
        <w:rPr>
          <w:rFonts w:ascii="Arial" w:cs="Arial" w:eastAsia="Arial" w:hAnsi="Arial"/>
          <w:sz w:val="19"/>
          <w:szCs w:val="19"/>
          <w:color w:val="auto"/>
        </w:rPr>
      </w:pPr>
    </w:p>
    <w:p>
      <w:pPr>
        <w:ind w:firstLine="579"/>
        <w:spacing w:after="0" w:line="251" w:lineRule="auto"/>
        <w:tabs>
          <w:tab w:leader="none" w:pos="1300"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579"/>
        <w:spacing w:after="0" w:line="251" w:lineRule="auto"/>
        <w:tabs>
          <w:tab w:leader="none" w:pos="1327"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right="460" w:firstLine="1227"/>
        <w:spacing w:after="0" w:line="251" w:lineRule="auto"/>
        <w:tabs>
          <w:tab w:leader="none" w:pos="1801"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579"/>
        <w:spacing w:after="0" w:line="252" w:lineRule="auto"/>
        <w:tabs>
          <w:tab w:leader="none" w:pos="1543"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4" w:lineRule="exact"/>
        <w:rPr>
          <w:rFonts w:ascii="Arial" w:cs="Arial" w:eastAsia="Arial" w:hAnsi="Arial"/>
          <w:sz w:val="21"/>
          <w:szCs w:val="21"/>
          <w:color w:val="auto"/>
        </w:rPr>
      </w:pPr>
    </w:p>
    <w:p>
      <w:pPr>
        <w:jc w:val="both"/>
        <w:ind w:firstLine="579"/>
        <w:spacing w:after="0" w:line="246" w:lineRule="auto"/>
        <w:tabs>
          <w:tab w:leader="none" w:pos="1394"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ind w:left="1400" w:hanging="821"/>
        <w:spacing w:after="0"/>
        <w:tabs>
          <w:tab w:leader="none" w:pos="1400"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w:t>
      </w:r>
    </w:p>
    <w:p>
      <w:pPr>
        <w:spacing w:after="0" w:line="33" w:lineRule="exact"/>
        <w:rPr>
          <w:sz w:val="20"/>
          <w:szCs w:val="20"/>
          <w:color w:val="auto"/>
        </w:rPr>
      </w:pPr>
    </w:p>
    <w:p>
      <w:pPr>
        <w:spacing w:after="0"/>
        <w:tabs>
          <w:tab w:leader="none" w:pos="4680" w:val="left"/>
          <w:tab w:leader="none" w:pos="6600" w:val="left"/>
        </w:tabs>
        <w:rPr>
          <w:sz w:val="20"/>
          <w:szCs w:val="20"/>
          <w:color w:val="auto"/>
        </w:rPr>
      </w:pPr>
      <w:r>
        <w:rPr>
          <w:rFonts w:ascii="Arial" w:cs="Arial" w:eastAsia="Arial" w:hAnsi="Arial"/>
          <w:sz w:val="22"/>
          <w:szCs w:val="22"/>
          <w:color w:val="auto"/>
        </w:rPr>
        <w:t>Plaza, New York, NY 10020, Attention:</w:t>
      </w:r>
      <w:r>
        <w:rPr>
          <w:sz w:val="20"/>
          <w:szCs w:val="20"/>
          <w:color w:val="auto"/>
        </w:rPr>
        <w:tab/>
      </w:r>
      <w:r>
        <w:rPr>
          <w:rFonts w:ascii="Arial" w:cs="Arial" w:eastAsia="Arial" w:hAnsi="Arial"/>
          <w:sz w:val="22"/>
          <w:szCs w:val="22"/>
          <w:color w:val="auto"/>
        </w:rPr>
        <w:t>, on or before</w:t>
      </w:r>
      <w:r>
        <w:rPr>
          <w:sz w:val="20"/>
          <w:szCs w:val="20"/>
          <w:color w:val="auto"/>
        </w:rPr>
        <w:tab/>
      </w:r>
      <w:r>
        <w:rPr>
          <w:rFonts w:ascii="Arial" w:cs="Arial" w:eastAsia="Arial" w:hAnsi="Arial"/>
          <w:sz w:val="19"/>
          <w:szCs w:val="19"/>
          <w:color w:val="auto"/>
        </w:rPr>
        <w:t>. After executing this Agreement, you shall have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-22860</wp:posOffset>
            </wp:positionV>
            <wp:extent cx="7372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-22860</wp:posOffset>
            </wp:positionV>
            <wp:extent cx="4457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5600" w:right="2440" w:hanging="5592"/>
        <w:spacing w:after="0" w:line="374" w:lineRule="auto"/>
        <w:tabs>
          <w:tab w:leader="none" w:pos="308" w:val="left"/>
        </w:tabs>
        <w:numPr>
          <w:ilvl w:val="0"/>
          <w:numId w:val="247"/>
        </w:numPr>
        <w:rPr>
          <w:rFonts w:ascii="Arial" w:cs="Arial" w:eastAsia="Arial" w:hAnsi="Arial"/>
          <w:sz w:val="22"/>
          <w:szCs w:val="22"/>
          <w:color w:val="auto"/>
        </w:rPr>
      </w:pPr>
      <w:r>
        <w:rPr>
          <w:rFonts w:ascii="Arial" w:cs="Arial" w:eastAsia="Arial" w:hAnsi="Arial"/>
          <w:sz w:val="22"/>
          <w:szCs w:val="22"/>
          <w:color w:val="auto"/>
        </w:rPr>
        <w:t>days (the “</w:t>
      </w:r>
      <w:r>
        <w:rPr>
          <w:rFonts w:ascii="Arial" w:cs="Arial" w:eastAsia="Arial" w:hAnsi="Arial"/>
          <w:sz w:val="22"/>
          <w:szCs w:val="22"/>
          <w:u w:val="single" w:color="auto"/>
          <w:color w:val="auto"/>
        </w:rPr>
        <w:t>Revocation Period</w:t>
      </w:r>
      <w:r>
        <w:rPr>
          <w:rFonts w:ascii="Arial" w:cs="Arial" w:eastAsia="Arial" w:hAnsi="Arial"/>
          <w:sz w:val="22"/>
          <w:szCs w:val="22"/>
          <w:color w:val="auto"/>
        </w:rPr>
        <w:t>”) to revoke it by indicating your desire to do so in writing delivered to 22</w:t>
      </w:r>
    </w:p>
    <w:p>
      <w:pPr>
        <w:sectPr>
          <w:pgSz w:w="11900" w:h="16838" w:orient="portrait"/>
          <w:cols w:equalWidth="0" w:num="1">
            <w:col w:w="11420"/>
          </w:cols>
          <w:pgMar w:left="240" w:top="267" w:right="239" w:bottom="1440" w:gutter="0" w:footer="0" w:header="0"/>
        </w:sectPr>
      </w:pPr>
    </w:p>
    <w:bookmarkStart w:id="196" w:name="page197"/>
    <w:bookmarkEnd w:id="196"/>
    <w:p>
      <w:pPr>
        <w:jc w:val="both"/>
        <w:ind w:firstLine="1277"/>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address above by no later than 5:00 p.m. on the seventh (7th) day after the date you sign this Agreement. The effective date of this Agreement shall be the eighth (8th) day after you sign it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715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firstLine="579"/>
        <w:spacing w:after="0" w:line="274" w:lineRule="auto"/>
        <w:tabs>
          <w:tab w:leader="none" w:pos="1394" w:val="left"/>
        </w:tabs>
        <w:numPr>
          <w:ilvl w:val="0"/>
          <w:numId w:val="248"/>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ind w:left="1480" w:hanging="901"/>
        <w:spacing w:after="0"/>
        <w:tabs>
          <w:tab w:leader="none" w:pos="148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Treatment of Awards</w:t>
      </w:r>
      <w:r>
        <w:rPr>
          <w:rFonts w:ascii="Arial" w:cs="Arial" w:eastAsia="Arial" w:hAnsi="Arial"/>
          <w:sz w:val="19"/>
          <w:szCs w:val="19"/>
          <w:color w:val="auto"/>
        </w:rPr>
        <w:t>. You currently hold the awards listed on Annex I to this Agreement (the “</w:t>
      </w:r>
      <w:r>
        <w:rPr>
          <w:rFonts w:ascii="Arial" w:cs="Arial" w:eastAsia="Arial" w:hAnsi="Arial"/>
          <w:sz w:val="19"/>
          <w:szCs w:val="19"/>
          <w:u w:val="single" w:color="auto"/>
          <w:color w:val="auto"/>
        </w:rPr>
        <w:t>Awards</w:t>
      </w:r>
      <w:r>
        <w:rPr>
          <w:rFonts w:ascii="Arial" w:cs="Arial" w:eastAsia="Arial" w:hAnsi="Arial"/>
          <w:sz w:val="19"/>
          <w:szCs w:val="19"/>
          <w:color w:val="auto"/>
        </w:rPr>
        <w:t>”). The</w:t>
      </w:r>
    </w:p>
    <w:p>
      <w:pPr>
        <w:spacing w:after="0" w:line="33" w:lineRule="exact"/>
        <w:rPr>
          <w:sz w:val="20"/>
          <w:szCs w:val="20"/>
          <w:color w:val="auto"/>
        </w:rPr>
      </w:pPr>
    </w:p>
    <w:p>
      <w:pPr>
        <w:spacing w:after="0"/>
        <w:tabs>
          <w:tab w:leader="none" w:pos="2780" w:val="left"/>
        </w:tabs>
        <w:rPr>
          <w:sz w:val="20"/>
          <w:szCs w:val="20"/>
          <w:color w:val="auto"/>
        </w:rPr>
      </w:pPr>
      <w:r>
        <w:rPr>
          <w:rFonts w:ascii="Arial" w:cs="Arial" w:eastAsia="Arial" w:hAnsi="Arial"/>
          <w:sz w:val="22"/>
          <w:szCs w:val="22"/>
          <w:color w:val="auto"/>
        </w:rPr>
        <w:t>Awards [(other than the</w:t>
      </w:r>
      <w:r>
        <w:rPr>
          <w:sz w:val="20"/>
          <w:szCs w:val="20"/>
          <w:color w:val="auto"/>
        </w:rPr>
        <w:tab/>
      </w:r>
      <w:r>
        <w:rPr>
          <w:rFonts w:ascii="Arial" w:cs="Arial" w:eastAsia="Arial" w:hAnsi="Arial"/>
          <w:sz w:val="19"/>
          <w:szCs w:val="19"/>
          <w:color w:val="auto"/>
        </w:rPr>
        <w:t>)] were granted to you under the [Lazard Ltd 2008 Incentive Compensation Plan].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-22860</wp:posOffset>
            </wp:positionV>
            <wp:extent cx="4375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1"/>
          <w:szCs w:val="21"/>
          <w:color w:val="auto"/>
        </w:rPr>
        <w:t>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1260" w:type="dxa"/>
            <w:vAlign w:val="bottom"/>
            <w:tcBorders>
              <w:bottom w:val="single" w:sz="8" w:color="auto"/>
            </w:tcBorders>
            <w:gridSpan w:val="5"/>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40" w:type="dxa"/>
            <w:vAlign w:val="bottom"/>
          </w:tcPr>
          <w:p>
            <w:pPr>
              <w:ind w:left="4020"/>
              <w:spacing w:after="0"/>
              <w:rPr>
                <w:sz w:val="20"/>
                <w:szCs w:val="20"/>
                <w:color w:val="auto"/>
              </w:rPr>
            </w:pPr>
            <w:r>
              <w:rPr>
                <w:rFonts w:ascii="Arial" w:cs="Arial" w:eastAsia="Arial" w:hAnsi="Arial"/>
                <w:sz w:val="22"/>
                <w:szCs w:val="22"/>
                <w:color w:val="auto"/>
              </w:rPr>
              <w:t>Date:</w:t>
            </w:r>
          </w:p>
        </w:tc>
        <w:tc>
          <w:tcPr>
            <w:tcW w:w="1300" w:type="dxa"/>
            <w:vAlign w:val="bottom"/>
            <w:tcBorders>
              <w:bottom w:val="single" w:sz="8" w:color="auto"/>
            </w:tcBorders>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1080" w:type="dxa"/>
            <w:vAlign w:val="bottom"/>
          </w:tcPr>
          <w:p>
            <w:pPr>
              <w:spacing w:after="0"/>
              <w:rPr>
                <w:sz w:val="23"/>
                <w:szCs w:val="23"/>
                <w:color w:val="auto"/>
              </w:rPr>
            </w:pPr>
          </w:p>
        </w:tc>
        <w:tc>
          <w:tcPr>
            <w:tcW w:w="1300" w:type="dxa"/>
            <w:vAlign w:val="bottom"/>
            <w:gridSpan w:val="6"/>
          </w:tcPr>
          <w:p>
            <w:pPr>
              <w:spacing w:after="0"/>
              <w:rPr>
                <w:sz w:val="20"/>
                <w:szCs w:val="20"/>
                <w:color w:val="auto"/>
              </w:rPr>
            </w:pPr>
            <w:r>
              <w:rPr>
                <w:rFonts w:ascii="Arial" w:cs="Arial" w:eastAsia="Arial" w:hAnsi="Arial"/>
                <w:sz w:val="22"/>
                <w:szCs w:val="22"/>
                <w:color w:val="auto"/>
              </w:rPr>
              <w:t>NAME</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09"/>
        </w:trPr>
        <w:tc>
          <w:tcPr>
            <w:tcW w:w="2380" w:type="dxa"/>
            <w:vAlign w:val="bottom"/>
            <w:gridSpan w:val="7"/>
          </w:tcPr>
          <w:p>
            <w:pPr>
              <w:spacing w:after="0"/>
              <w:rPr>
                <w:sz w:val="20"/>
                <w:szCs w:val="20"/>
                <w:color w:val="auto"/>
              </w:rPr>
            </w:pPr>
            <w:r>
              <w:rPr>
                <w:rFonts w:ascii="Arial" w:cs="Arial" w:eastAsia="Arial" w:hAnsi="Arial"/>
                <w:sz w:val="22"/>
                <w:szCs w:val="22"/>
                <w:color w:val="auto"/>
              </w:rPr>
              <w:t>STATE OF</w:t>
            </w:r>
          </w:p>
        </w:tc>
        <w:tc>
          <w:tcPr>
            <w:tcW w:w="6020" w:type="dxa"/>
            <w:vAlign w:val="bottom"/>
            <w:gridSpan w:val="6"/>
          </w:tcPr>
          <w:p>
            <w:pPr>
              <w:ind w:left="1520"/>
              <w:spacing w:after="0"/>
              <w:rPr>
                <w:sz w:val="20"/>
                <w:szCs w:val="20"/>
                <w:color w:val="auto"/>
              </w:rPr>
            </w:pPr>
            <w:r>
              <w:rPr>
                <w:rFonts w:ascii="Arial" w:cs="Arial" w:eastAsia="Arial" w:hAnsi="Arial"/>
                <w:sz w:val="22"/>
                <w:szCs w:val="22"/>
                <w:color w:val="auto"/>
              </w:rPr>
              <w:t>)</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2"/>
        </w:trPr>
        <w:tc>
          <w:tcPr>
            <w:tcW w:w="10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 ss.:</w:t>
            </w:r>
          </w:p>
        </w:tc>
      </w:tr>
      <w:tr>
        <w:trPr>
          <w:trHeight w:val="224"/>
        </w:trPr>
        <w:tc>
          <w:tcPr>
            <w:tcW w:w="1340" w:type="dxa"/>
            <w:vAlign w:val="bottom"/>
            <w:gridSpan w:val="4"/>
          </w:tcPr>
          <w:p>
            <w:pPr>
              <w:spacing w:after="0" w:line="224" w:lineRule="exact"/>
              <w:rPr>
                <w:sz w:val="20"/>
                <w:szCs w:val="20"/>
                <w:color w:val="auto"/>
              </w:rPr>
            </w:pPr>
            <w:r>
              <w:rPr>
                <w:rFonts w:ascii="Arial" w:cs="Arial" w:eastAsia="Arial" w:hAnsi="Arial"/>
                <w:sz w:val="22"/>
                <w:szCs w:val="22"/>
                <w:color w:val="auto"/>
              </w:rPr>
              <w:t>COUNTY OF</w:t>
            </w:r>
          </w:p>
        </w:tc>
        <w:tc>
          <w:tcPr>
            <w:tcW w:w="1040" w:type="dxa"/>
            <w:vAlign w:val="bottom"/>
            <w:tcBorders>
              <w:bottom w:val="single" w:sz="8" w:color="auto"/>
            </w:tcBorders>
            <w:gridSpan w:val="3"/>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980" w:type="dxa"/>
            <w:vAlign w:val="bottom"/>
            <w:gridSpan w:val="5"/>
          </w:tcPr>
          <w:p>
            <w:pPr>
              <w:ind w:left="1480"/>
              <w:spacing w:after="0" w:line="224" w:lineRule="exact"/>
              <w:rPr>
                <w:sz w:val="20"/>
                <w:szCs w:val="20"/>
                <w:color w:val="auto"/>
              </w:rPr>
            </w:pPr>
            <w:r>
              <w:rPr>
                <w:rFonts w:ascii="Arial" w:cs="Arial" w:eastAsia="Arial" w:hAnsi="Arial"/>
                <w:sz w:val="22"/>
                <w:szCs w:val="22"/>
                <w:color w:val="auto"/>
              </w:rPr>
              <w:t>)</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9"/>
        </w:trPr>
        <w:tc>
          <w:tcPr>
            <w:tcW w:w="2380" w:type="dxa"/>
            <w:vAlign w:val="bottom"/>
            <w:gridSpan w:val="7"/>
          </w:tcPr>
          <w:p>
            <w:pPr>
              <w:ind w:left="580"/>
              <w:spacing w:after="0"/>
              <w:rPr>
                <w:sz w:val="20"/>
                <w:szCs w:val="20"/>
                <w:color w:val="auto"/>
              </w:rPr>
            </w:pPr>
            <w:r>
              <w:rPr>
                <w:rFonts w:ascii="Arial" w:cs="Arial" w:eastAsia="Arial" w:hAnsi="Arial"/>
                <w:sz w:val="22"/>
                <w:szCs w:val="22"/>
                <w:color w:val="auto"/>
              </w:rPr>
              <w:t>On this   day of</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80" w:type="dxa"/>
            <w:vAlign w:val="bottom"/>
            <w:gridSpan w:val="6"/>
          </w:tcPr>
          <w:p>
            <w:pPr>
              <w:ind w:left="60"/>
              <w:spacing w:after="0"/>
              <w:rPr>
                <w:sz w:val="20"/>
                <w:szCs w:val="20"/>
                <w:color w:val="auto"/>
              </w:rPr>
            </w:pPr>
            <w:r>
              <w:rPr>
                <w:rFonts w:ascii="Arial" w:cs="Arial" w:eastAsia="Arial" w:hAnsi="Arial"/>
                <w:sz w:val="22"/>
                <w:szCs w:val="22"/>
                <w:color w:val="auto"/>
                <w:w w:val="90"/>
              </w:rPr>
              <w:t>20   , before me personally came [NAME] to me known and known to me to be the person</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6" w:lineRule="exact"/>
        <w:rPr>
          <w:sz w:val="20"/>
          <w:szCs w:val="20"/>
          <w:color w:val="auto"/>
        </w:rPr>
      </w:pPr>
    </w:p>
    <w:p>
      <w:pPr>
        <w:ind w:left="5940" w:right="480" w:hanging="5933"/>
        <w:spacing w:after="0" w:line="416" w:lineRule="auto"/>
        <w:rPr>
          <w:sz w:val="20"/>
          <w:szCs w:val="20"/>
          <w:color w:val="auto"/>
        </w:rPr>
      </w:pPr>
      <w:r>
        <w:rPr>
          <w:rFonts w:ascii="Arial" w:cs="Arial" w:eastAsia="Arial" w:hAnsi="Arial"/>
          <w:sz w:val="22"/>
          <w:szCs w:val="22"/>
          <w:color w:val="auto"/>
        </w:rPr>
        <w:t>described and who executed the foregoing Agreement, and [she/he] duly acknowledged to me that [she/he] executed the same.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-259715</wp:posOffset>
            </wp:positionV>
            <wp:extent cx="18180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267" w:right="239" w:bottom="1440" w:gutter="0" w:footer="0" w:header="0"/>
        </w:sectPr>
      </w:pPr>
    </w:p>
    <w:bookmarkStart w:id="197" w:name="page198"/>
    <w:bookmarkEnd w:id="197"/>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Ended</w:t>
            </w:r>
          </w:p>
        </w:tc>
        <w:tc>
          <w:tcPr>
            <w:tcW w:w="4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gridSpan w:val="6"/>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31, 2016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right"/>
              <w:ind w:right="120"/>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530,845</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540,975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219,009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121,593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18,413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78,826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91,691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111,317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116,255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114,998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609,671</w:t>
            </w:r>
          </w:p>
        </w:tc>
        <w:tc>
          <w:tcPr>
            <w:tcW w:w="3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632,666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330,326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237,848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356,789</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54,885</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87,039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91,359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24,896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111,317</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116,255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114,998</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38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7.73(d)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2.97(e)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2.05(f)</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2015 is presented after giving effect to a charge of (i) $60,219 associated with the redemption of $450 million of the 2017 Notes, (ii) $2,655 excess interest expense due to the overlap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62"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26, 2016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1."/>
      <w:numFmt w:val="decimal"/>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1."/>
      <w:numFmt w:val="decimal"/>
      <w:start w:val="2"/>
    </w:lvl>
  </w:abstractNum>
  <w:abstractNum w:abstractNumId="8">
    <w:nsid w:val="19E21BB2"/>
    <w:multiLevelType w:val="hybridMultilevel"/>
    <w:lvl w:ilvl="0">
      <w:lvlJc w:val="left"/>
      <w:lvlText w:val="%1."/>
      <w:numFmt w:val="decimal"/>
      <w:start w:val="3"/>
    </w:lvl>
  </w:abstractNum>
  <w:abstractNum w:abstractNumId="9">
    <w:nsid w:val="75E0858A"/>
    <w:multiLevelType w:val="hybridMultilevel"/>
    <w:lvl w:ilvl="0">
      <w:lvlJc w:val="left"/>
      <w:lvlText w:val="%1."/>
      <w:numFmt w:val="decimal"/>
      <w:start w:val="4"/>
    </w:lvl>
  </w:abstractNum>
  <w:abstractNum w:abstractNumId="10">
    <w:nsid w:val="57A61A29"/>
    <w:multiLevelType w:val="hybridMultilevel"/>
    <w:lvl w:ilvl="0">
      <w:lvlJc w:val="left"/>
      <w:lvlText w:val="(%1)"/>
      <w:numFmt w:val="lowerLetter"/>
      <w:start w:val="1"/>
    </w:lvl>
  </w:abstractNum>
  <w:abstractNum w:abstractNumId="11">
    <w:nsid w:val="5399C654"/>
    <w:multiLevelType w:val="hybridMultilevel"/>
    <w:lvl w:ilvl="0">
      <w:lvlJc w:val="left"/>
      <w:lvlText w:val="%1."/>
      <w:numFmt w:val="decimal"/>
      <w:start w:val="5"/>
    </w:lvl>
  </w:abstractNum>
  <w:abstractNum w:abstractNumId="12">
    <w:nsid w:val="20EE1348"/>
    <w:multiLevelType w:val="hybridMultilevel"/>
    <w:lvl w:ilvl="0">
      <w:lvlJc w:val="left"/>
      <w:lvlText w:val="(%1)"/>
      <w:numFmt w:val="lowerLetter"/>
      <w:start w:val="1"/>
    </w:lvl>
  </w:abstractNum>
  <w:abstractNum w:abstractNumId="13">
    <w:nsid w:val="4427069A"/>
    <w:multiLevelType w:val="hybridMultilevel"/>
    <w:lvl w:ilvl="0">
      <w:lvlJc w:val="left"/>
      <w:lvlText w:val="(%1)"/>
      <w:numFmt w:val="lowerLetter"/>
      <w:start w:val="1"/>
    </w:lvl>
  </w:abstractNum>
  <w:abstractNum w:abstractNumId="14">
    <w:nsid w:val="B37E80A"/>
    <w:multiLevelType w:val="hybridMultilevel"/>
    <w:lvl w:ilvl="0">
      <w:lvlJc w:val="left"/>
      <w:lvlText w:val="(%1)"/>
      <w:numFmt w:val="lowerLetter"/>
      <w:start w:val="1"/>
    </w:lvl>
  </w:abstractNum>
  <w:abstractNum w:abstractNumId="15">
    <w:nsid w:val="2157F6BC"/>
    <w:multiLevelType w:val="hybridMultilevel"/>
    <w:lvl w:ilvl="0">
      <w:lvlJc w:val="left"/>
      <w:lvlText w:val="(%1)"/>
      <w:numFmt w:val="lowerLetter"/>
      <w:start w:val="1"/>
    </w:lvl>
  </w:abstractNum>
  <w:abstractNum w:abstractNumId="16">
    <w:nsid w:val="704E1DD5"/>
    <w:multiLevelType w:val="hybridMultilevel"/>
    <w:lvl w:ilvl="0">
      <w:lvlJc w:val="left"/>
      <w:lvlText w:val="%1."/>
      <w:numFmt w:val="decimal"/>
      <w:start w:val="6"/>
    </w:lvl>
  </w:abstractNum>
  <w:abstractNum w:abstractNumId="17">
    <w:nsid w:val="57D2F10E"/>
    <w:multiLevelType w:val="hybridMultilevel"/>
    <w:lvl w:ilvl="0">
      <w:lvlJc w:val="left"/>
      <w:lvlText w:val="(%1)"/>
      <w:numFmt w:val="lowerLetter"/>
      <w:start w:val="1"/>
    </w:lvl>
  </w:abstractNum>
  <w:abstractNum w:abstractNumId="18">
    <w:nsid w:val="BFFAE18"/>
    <w:multiLevelType w:val="hybridMultilevel"/>
    <w:lvl w:ilvl="0">
      <w:lvlJc w:val="left"/>
      <w:lvlText w:val="%1."/>
      <w:numFmt w:val="decimal"/>
      <w:start w:val="7"/>
    </w:lvl>
  </w:abstractNum>
  <w:abstractNum w:abstractNumId="19">
    <w:nsid w:val="E3E47A8"/>
    <w:multiLevelType w:val="hybridMultilevel"/>
    <w:lvl w:ilvl="0">
      <w:lvlJc w:val="left"/>
      <w:lvlText w:val="%1."/>
      <w:numFmt w:val="decimal"/>
      <w:start w:val="8"/>
    </w:lvl>
  </w:abstractNum>
  <w:abstractNum w:abstractNumId="20">
    <w:nsid w:val="2E48F044"/>
    <w:multiLevelType w:val="hybridMultilevel"/>
    <w:lvl w:ilvl="0">
      <w:lvlJc w:val="left"/>
      <w:lvlText w:val="%1"/>
      <w:numFmt w:val="decimal"/>
      <w:start w:val="1"/>
    </w:lvl>
    <w:lvl w:ilvl="1">
      <w:lvlJc w:val="left"/>
      <w:lvlText w:val="(%2)"/>
      <w:numFmt w:val="lowerLetter"/>
      <w:start w:val="1"/>
    </w:lvl>
  </w:abstractNum>
  <w:abstractNum w:abstractNumId="21">
    <w:nsid w:val="49D0FEAC"/>
    <w:multiLevelType w:val="hybridMultilevel"/>
    <w:lvl w:ilvl="0">
      <w:lvlJc w:val="left"/>
      <w:lvlText w:val="%1."/>
      <w:numFmt w:val="decimal"/>
      <w:start w:val="9"/>
    </w:lvl>
    <w:lvl w:ilvl="1">
      <w:lvlJc w:val="left"/>
      <w:lvlText w:val="%2"/>
      <w:numFmt w:val="lowerLetter"/>
      <w:start w:val="1"/>
    </w:lvl>
  </w:abstractNum>
  <w:abstractNum w:abstractNumId="22">
    <w:nsid w:val="4BEE5A5B"/>
    <w:multiLevelType w:val="hybridMultilevel"/>
    <w:lvl w:ilvl="0">
      <w:lvlJc w:val="left"/>
      <w:lvlText w:val="(%1)"/>
      <w:numFmt w:val="lowerLetter"/>
      <w:start w:val="1"/>
    </w:lvl>
  </w:abstractNum>
  <w:abstractNum w:abstractNumId="23">
    <w:nsid w:val="5551B9F3"/>
    <w:multiLevelType w:val="hybridMultilevel"/>
    <w:lvl w:ilvl="0">
      <w:lvlJc w:val="left"/>
      <w:lvlText w:val="%1."/>
      <w:numFmt w:val="decimal"/>
      <w:start w:val="10"/>
    </w:lvl>
  </w:abstractNum>
  <w:abstractNum w:abstractNumId="24">
    <w:nsid w:val="24F6AB8E"/>
    <w:multiLevelType w:val="hybridMultilevel"/>
    <w:lvl w:ilvl="0">
      <w:lvlJc w:val="left"/>
      <w:lvlText w:val="%1."/>
      <w:numFmt w:val="decimal"/>
      <w:start w:val="11"/>
    </w:lvl>
  </w:abstractNum>
  <w:abstractNum w:abstractNumId="25">
    <w:nsid w:val="634C574C"/>
    <w:multiLevelType w:val="hybridMultilevel"/>
    <w:lvl w:ilvl="0">
      <w:lvlJc w:val="left"/>
      <w:lvlText w:val="(%1)"/>
      <w:numFmt w:val="lowerLetter"/>
      <w:start w:val="1"/>
    </w:lvl>
  </w:abstractNum>
  <w:abstractNum w:abstractNumId="26">
    <w:nsid w:val="24E99DD7"/>
    <w:multiLevelType w:val="hybridMultilevel"/>
    <w:lvl w:ilvl="0">
      <w:lvlJc w:val="left"/>
      <w:lvlText w:val="%1."/>
      <w:numFmt w:val="decimal"/>
      <w:start w:val="12"/>
    </w:lvl>
  </w:abstractNum>
  <w:abstractNum w:abstractNumId="27">
    <w:nsid w:val="2A31B62D"/>
    <w:multiLevelType w:val="hybridMultilevel"/>
    <w:lvl w:ilvl="0">
      <w:lvlJc w:val="left"/>
      <w:lvlText w:val="(%1)"/>
      <w:numFmt w:val="lowerLetter"/>
      <w:start w:val="1"/>
    </w:lvl>
  </w:abstractNum>
  <w:abstractNum w:abstractNumId="28">
    <w:nsid w:val="1849C29B"/>
    <w:multiLevelType w:val="hybridMultilevel"/>
    <w:lvl w:ilvl="0">
      <w:lvlJc w:val="left"/>
      <w:lvlText w:val="%1."/>
      <w:numFmt w:val="decimal"/>
      <w:start w:val="13"/>
    </w:lvl>
  </w:abstractNum>
  <w:abstractNum w:abstractNumId="29">
    <w:nsid w:val="7DFF9D09"/>
    <w:multiLevelType w:val="hybridMultilevel"/>
    <w:lvl w:ilvl="0">
      <w:lvlJc w:val="left"/>
      <w:lvlText w:val="%1."/>
      <w:numFmt w:val="decimal"/>
      <w:start w:val="14"/>
    </w:lvl>
  </w:abstractNum>
  <w:abstractNum w:abstractNumId="30">
    <w:nsid w:val="754342"/>
    <w:multiLevelType w:val="hybridMultilevel"/>
    <w:lvl w:ilvl="0">
      <w:lvlJc w:val="left"/>
      <w:lvlText w:val="%1."/>
      <w:numFmt w:val="decimal"/>
      <w:start w:val="16"/>
    </w:lvl>
  </w:abstractNum>
  <w:abstractNum w:abstractNumId="31">
    <w:nsid w:val="69E7F3E5"/>
    <w:multiLevelType w:val="hybridMultilevel"/>
    <w:lvl w:ilvl="0">
      <w:lvlJc w:val="left"/>
      <w:lvlText w:val="%1."/>
      <w:numFmt w:val="decimal"/>
      <w:start w:val="17"/>
    </w:lvl>
  </w:abstractNum>
  <w:abstractNum w:abstractNumId="32">
    <w:nsid w:val="2A6DE806"/>
    <w:multiLevelType w:val="hybridMultilevel"/>
    <w:lvl w:ilvl="0">
      <w:lvlJc w:val="left"/>
      <w:lvlText w:val="•"/>
      <w:numFmt w:val="bullet"/>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1)"/>
      <w:numFmt w:val="lowerLetter"/>
      <w:start w:val="1"/>
    </w:lvl>
  </w:abstractNum>
  <w:abstractNum w:abstractNumId="35">
    <w:nsid w:val="7AB49DAF"/>
    <w:multiLevelType w:val="hybridMultilevel"/>
    <w:lvl w:ilvl="0">
      <w:lvlJc w:val="left"/>
      <w:lvlText w:val="•"/>
      <w:numFmt w:val="bullet"/>
      <w:start w:val="1"/>
    </w:lvl>
  </w:abstractNum>
  <w:abstractNum w:abstractNumId="36">
    <w:nsid w:val="759F82CD"/>
    <w:multiLevelType w:val="hybridMultilevel"/>
    <w:lvl w:ilvl="0">
      <w:lvlJc w:val="left"/>
      <w:lvlText w:val="•"/>
      <w:numFmt w:val="bullet"/>
      <w:start w:val="1"/>
    </w:lvl>
  </w:abstractNum>
  <w:abstractNum w:abstractNumId="37">
    <w:nsid w:val="61E74EA3"/>
    <w:multiLevelType w:val="hybridMultilevel"/>
    <w:lvl w:ilvl="0">
      <w:lvlJc w:val="left"/>
      <w:lvlText w:val="•"/>
      <w:numFmt w:val="bullet"/>
      <w:start w:val="1"/>
    </w:lvl>
  </w:abstractNum>
  <w:abstractNum w:abstractNumId="38">
    <w:nsid w:val="597B4D84"/>
    <w:multiLevelType w:val="hybridMultilevel"/>
    <w:lvl w:ilvl="0">
      <w:lvlJc w:val="left"/>
      <w:lvlText w:val="•"/>
      <w:numFmt w:val="bullet"/>
      <w:start w:val="1"/>
    </w:lvl>
  </w:abstractNum>
  <w:abstractNum w:abstractNumId="39">
    <w:nsid w:val="F819E7F"/>
    <w:multiLevelType w:val="hybridMultilevel"/>
    <w:lvl w:ilvl="0">
      <w:lvlJc w:val="left"/>
      <w:lvlText w:val="•"/>
      <w:numFmt w:val="bullet"/>
      <w:start w:val="1"/>
    </w:lvl>
  </w:abstractNum>
  <w:abstractNum w:abstractNumId="40">
    <w:nsid w:val="57C7D42D"/>
    <w:multiLevelType w:val="hybridMultilevel"/>
    <w:lvl w:ilvl="0">
      <w:lvlJc w:val="left"/>
      <w:lvlText w:val="(%1)"/>
      <w:numFmt w:val="lowerLetter"/>
      <w:start w:val="1"/>
    </w:lvl>
  </w:abstractNum>
  <w:abstractNum w:abstractNumId="41">
    <w:nsid w:val="312167AD"/>
    <w:multiLevelType w:val="hybridMultilevel"/>
    <w:lvl w:ilvl="0">
      <w:lvlJc w:val="left"/>
      <w:lvlText w:val="•"/>
      <w:numFmt w:val="bullet"/>
      <w:start w:val="1"/>
    </w:lvl>
    <w:lvl w:ilvl="1">
      <w:lvlJc w:val="left"/>
      <w:lvlText w:val="(%2)"/>
      <w:numFmt w:val="lowerRoman"/>
      <w:start w:val="1"/>
    </w:lvl>
  </w:abstractNum>
  <w:abstractNum w:abstractNumId="42">
    <w:nsid w:val="631B64D4"/>
    <w:multiLevelType w:val="hybridMultilevel"/>
    <w:lvl w:ilvl="0">
      <w:lvlJc w:val="left"/>
      <w:lvlText w:val="•"/>
      <w:numFmt w:val="bullet"/>
      <w:start w:val="1"/>
    </w:lvl>
    <w:lvl w:ilvl="1">
      <w:lvlJc w:val="left"/>
      <w:lvlText w:val="(%2)"/>
      <w:numFmt w:val="lowerRoman"/>
      <w:start w:val="2"/>
    </w:lvl>
  </w:abstractNum>
  <w:abstractNum w:abstractNumId="43">
    <w:nsid w:val="78B5E776"/>
    <w:multiLevelType w:val="hybridMultilevel"/>
    <w:lvl w:ilvl="0">
      <w:lvlJc w:val="left"/>
      <w:lvlText w:val="(%1)"/>
      <w:numFmt w:val="lowerLetter"/>
      <w:start w:val="1"/>
    </w:lvl>
  </w:abstractNum>
  <w:abstractNum w:abstractNumId="44">
    <w:nsid w:val="75486E47"/>
    <w:multiLevelType w:val="hybridMultilevel"/>
    <w:lvl w:ilvl="0">
      <w:lvlJc w:val="left"/>
      <w:lvlText w:val="(%1)"/>
      <w:numFmt w:val="lowerLetter"/>
      <w:start w:val="1"/>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1)"/>
      <w:numFmt w:val="lowerLetter"/>
      <w:start w:val="1"/>
    </w:lvl>
  </w:abstractNum>
  <w:abstractNum w:abstractNumId="47">
    <w:nsid w:val="65968C1C"/>
    <w:multiLevelType w:val="hybridMultilevel"/>
    <w:lvl w:ilvl="0">
      <w:lvlJc w:val="left"/>
      <w:lvlText w:val="(%1)"/>
      <w:numFmt w:val="lowerLetter"/>
      <w:start w:val="2"/>
    </w:lvl>
  </w:abstractNum>
  <w:abstractNum w:abstractNumId="48">
    <w:nsid w:val="46263DEC"/>
    <w:multiLevelType w:val="hybridMultilevel"/>
    <w:lvl w:ilvl="0">
      <w:lvlJc w:val="left"/>
      <w:lvlText w:val="(%1)"/>
      <w:numFmt w:val="lowerLetter"/>
      <w:start w:val="1"/>
    </w:lvl>
  </w:abstractNum>
  <w:abstractNum w:abstractNumId="49">
    <w:nsid w:val="260D8C4A"/>
    <w:multiLevelType w:val="hybridMultilevel"/>
    <w:lvl w:ilvl="0">
      <w:lvlJc w:val="left"/>
      <w:lvlText w:val="•"/>
      <w:numFmt w:val="bullet"/>
      <w:start w:val="1"/>
    </w:lvl>
  </w:abstractNum>
  <w:abstractNum w:abstractNumId="50">
    <w:nsid w:val="73D4D3C4"/>
    <w:multiLevelType w:val="hybridMultilevel"/>
    <w:lvl w:ilvl="0">
      <w:lvlJc w:val="left"/>
      <w:lvlText w:val="•"/>
      <w:numFmt w:val="bullet"/>
      <w:start w:val="1"/>
    </w:lvl>
  </w:abstractNum>
  <w:abstractNum w:abstractNumId="51">
    <w:nsid w:val="746F2E30"/>
    <w:multiLevelType w:val="hybridMultilevel"/>
    <w:lvl w:ilvl="0">
      <w:lvlJc w:val="left"/>
      <w:lvlText w:val="•"/>
      <w:numFmt w:val="bullet"/>
      <w:start w:val="1"/>
    </w:lvl>
  </w:abstractNum>
  <w:abstractNum w:abstractNumId="52">
    <w:nsid w:val="6FDE8AF6"/>
    <w:multiLevelType w:val="hybridMultilevel"/>
    <w:lvl w:ilvl="0">
      <w:lvlJc w:val="left"/>
      <w:lvlText w:val="(%1)"/>
      <w:numFmt w:val="lowerLetter"/>
      <w:start w:val="1"/>
    </w:lvl>
  </w:abstractNum>
  <w:abstractNum w:abstractNumId="53">
    <w:nsid w:val="3FC32E20"/>
    <w:multiLevelType w:val="hybridMultilevel"/>
    <w:lvl w:ilvl="0">
      <w:lvlJc w:val="left"/>
      <w:lvlText w:val="(%1)"/>
      <w:numFmt w:val="lowerLetter"/>
      <w:start w:val="2"/>
    </w:lvl>
  </w:abstractNum>
  <w:abstractNum w:abstractNumId="54">
    <w:nsid w:val="49C0E823"/>
    <w:multiLevelType w:val="hybridMultilevel"/>
    <w:lvl w:ilvl="0">
      <w:lvlJc w:val="left"/>
      <w:lvlText w:val="•"/>
      <w:numFmt w:val="bullet"/>
      <w:start w:val="1"/>
    </w:lvl>
  </w:abstractNum>
  <w:abstractNum w:abstractNumId="55">
    <w:nsid w:val="14D53685"/>
    <w:multiLevelType w:val="hybridMultilevel"/>
    <w:lvl w:ilvl="0">
      <w:lvlJc w:val="left"/>
      <w:lvlText w:val="%1."/>
      <w:numFmt w:val="decimal"/>
      <w:start w:val="1"/>
    </w:lvl>
  </w:abstractNum>
  <w:abstractNum w:abstractNumId="56">
    <w:nsid w:val="230F856C"/>
    <w:multiLevelType w:val="hybridMultilevel"/>
    <w:lvl w:ilvl="0">
      <w:lvlJc w:val="left"/>
      <w:lvlText w:val="%1."/>
      <w:numFmt w:val="decimal"/>
      <w:start w:val="2"/>
    </w:lvl>
  </w:abstractNum>
  <w:abstractNum w:abstractNumId="57">
    <w:nsid w:val="6EAA85FB"/>
    <w:multiLevelType w:val="hybridMultilevel"/>
    <w:lvl w:ilvl="0">
      <w:lvlJc w:val="left"/>
      <w:lvlText w:val="(%1)"/>
      <w:numFmt w:val="lowerLetter"/>
      <w:start w:val="2"/>
    </w:lvl>
  </w:abstractNum>
  <w:abstractNum w:abstractNumId="58">
    <w:nsid w:val="3F06ECB2"/>
    <w:multiLevelType w:val="hybridMultilevel"/>
    <w:lvl w:ilvl="0">
      <w:lvlJc w:val="left"/>
      <w:lvlText w:val="(%1)"/>
      <w:numFmt w:val="lowerRoman"/>
      <w:start w:val="1"/>
    </w:lvl>
  </w:abstractNum>
  <w:abstractNum w:abstractNumId="59">
    <w:nsid w:val="3B594807"/>
    <w:multiLevelType w:val="hybridMultilevel"/>
    <w:lvl w:ilvl="0">
      <w:lvlJc w:val="left"/>
      <w:lvlText w:val="(%1)"/>
      <w:numFmt w:val="lowerRoman"/>
      <w:start w:val="2"/>
    </w:lvl>
  </w:abstractNum>
  <w:abstractNum w:abstractNumId="60">
    <w:nsid w:val="6CAA2304"/>
    <w:multiLevelType w:val="hybridMultilevel"/>
    <w:lvl w:ilvl="0">
      <w:lvlJc w:val="left"/>
      <w:lvlText w:val="(%1)"/>
      <w:numFmt w:val="lowerLetter"/>
      <w:start w:val="4"/>
    </w:lvl>
  </w:abstractNum>
  <w:abstractNum w:abstractNumId="61">
    <w:nsid w:val="3F7C2FF4"/>
    <w:multiLevelType w:val="hybridMultilevel"/>
    <w:lvl w:ilvl="0">
      <w:lvlJc w:val="left"/>
      <w:lvlText w:val="(%1)"/>
      <w:numFmt w:val="lowerRoman"/>
      <w:start w:val="2"/>
    </w:lvl>
  </w:abstractNum>
  <w:abstractNum w:abstractNumId="62">
    <w:nsid w:val="25413BEC"/>
    <w:multiLevelType w:val="hybridMultilevel"/>
    <w:lvl w:ilvl="0">
      <w:lvlJc w:val="left"/>
      <w:lvlText w:val="%1."/>
      <w:numFmt w:val="upperLetter"/>
      <w:start w:val="9"/>
    </w:lvl>
  </w:abstractNum>
  <w:abstractNum w:abstractNumId="63">
    <w:nsid w:val="17180B0B"/>
    <w:multiLevelType w:val="hybridMultilevel"/>
    <w:lvl w:ilvl="0">
      <w:lvlJc w:val="left"/>
      <w:lvlText w:val="%1."/>
      <w:numFmt w:val="upperLetter"/>
      <w:start w:val="35"/>
    </w:lvl>
  </w:abstractNum>
  <w:abstractNum w:abstractNumId="64">
    <w:nsid w:val="579328B9"/>
    <w:multiLevelType w:val="hybridMultilevel"/>
    <w:lvl w:ilvl="0">
      <w:lvlJc w:val="left"/>
      <w:lvlText w:val="%1"/>
      <w:numFmt w:val="upperLetter"/>
      <w:start w:val="1"/>
    </w:lvl>
    <w:lvl w:ilvl="1">
      <w:lvlJc w:val="left"/>
      <w:lvlText w:val="(%2)"/>
      <w:numFmt w:val="lowerRoman"/>
      <w:start w:val="3"/>
    </w:lvl>
  </w:abstractNum>
  <w:abstractNum w:abstractNumId="65">
    <w:nsid w:val="5D205E20"/>
    <w:multiLevelType w:val="hybridMultilevel"/>
    <w:lvl w:ilvl="0">
      <w:lvlJc w:val="left"/>
      <w:lvlText w:val="(%1)"/>
      <w:numFmt w:val="upperLetter"/>
      <w:start w:val="2"/>
    </w:lvl>
    <w:lvl w:ilvl="1">
      <w:lvlJc w:val="left"/>
      <w:lvlText w:val="%2"/>
      <w:numFmt w:val="lowerRoman"/>
      <w:start w:val="1"/>
    </w:lvl>
  </w:abstractNum>
  <w:abstractNum w:abstractNumId="66">
    <w:nsid w:val="11CCA8BA"/>
    <w:multiLevelType w:val="hybridMultilevel"/>
    <w:lvl w:ilvl="0">
      <w:lvlJc w:val="left"/>
      <w:lvlText w:val="(%1)"/>
      <w:numFmt w:val="lowerRoman"/>
      <w:start w:val="6"/>
    </w:lvl>
  </w:abstractNum>
  <w:abstractNum w:abstractNumId="67">
    <w:nsid w:val="4D32AB86"/>
    <w:multiLevelType w:val="hybridMultilevel"/>
    <w:lvl w:ilvl="0">
      <w:lvlJc w:val="left"/>
      <w:lvlText w:val="(%1)"/>
      <w:numFmt w:val="lowerLetter"/>
      <w:start w:val="5"/>
    </w:lvl>
  </w:abstractNum>
  <w:abstractNum w:abstractNumId="68">
    <w:nsid w:val="3F07ACC3"/>
    <w:multiLevelType w:val="hybridMultilevel"/>
    <w:lvl w:ilvl="0">
      <w:lvlJc w:val="left"/>
      <w:lvlText w:val="(%1)"/>
      <w:numFmt w:val="lowerRoman"/>
      <w:start w:val="10"/>
    </w:lvl>
  </w:abstractNum>
  <w:abstractNum w:abstractNumId="69">
    <w:nsid w:val="6B47F63E"/>
    <w:multiLevelType w:val="hybridMultilevel"/>
    <w:lvl w:ilvl="0">
      <w:lvlJc w:val="left"/>
      <w:lvlText w:val="(%1)"/>
      <w:numFmt w:val="lowerRoman"/>
      <w:start w:val="3"/>
    </w:lvl>
    <w:lvl w:ilvl="1">
      <w:lvlJc w:val="left"/>
      <w:lvlText w:val="(%2)"/>
      <w:numFmt w:val="lowerLetter"/>
      <w:start w:val="6"/>
    </w:lvl>
  </w:abstractNum>
  <w:abstractNum w:abstractNumId="70">
    <w:nsid w:val="5CB44A05"/>
    <w:multiLevelType w:val="hybridMultilevel"/>
    <w:lvl w:ilvl="0">
      <w:lvlJc w:val="left"/>
      <w:lvlText w:val="(%1)"/>
      <w:numFmt w:val="lowerLetter"/>
      <w:start w:val="7"/>
    </w:lvl>
  </w:abstractNum>
  <w:abstractNum w:abstractNumId="71">
    <w:nsid w:val="16CF80F1"/>
    <w:multiLevelType w:val="hybridMultilevel"/>
    <w:lvl w:ilvl="0">
      <w:lvlJc w:val="left"/>
      <w:lvlText w:val="%1."/>
      <w:numFmt w:val="decimal"/>
      <w:start w:val="4"/>
    </w:lvl>
  </w:abstractNum>
  <w:abstractNum w:abstractNumId="72">
    <w:nsid w:val="1C695DEC"/>
    <w:multiLevelType w:val="hybridMultilevel"/>
    <w:lvl w:ilvl="0">
      <w:lvlJc w:val="left"/>
      <w:lvlText w:val="(%1)"/>
      <w:numFmt w:val="lowerLetter"/>
      <w:start w:val="2"/>
    </w:lvl>
  </w:abstractNum>
  <w:abstractNum w:abstractNumId="73">
    <w:nsid w:val="3FCFAED9"/>
    <w:multiLevelType w:val="hybridMultilevel"/>
    <w:lvl w:ilvl="0">
      <w:lvlJc w:val="left"/>
      <w:lvlText w:val="%1."/>
      <w:numFmt w:val="decimal"/>
      <w:start w:val="6"/>
    </w:lvl>
  </w:abstractNum>
  <w:abstractNum w:abstractNumId="74">
    <w:nsid w:val="F856867"/>
    <w:multiLevelType w:val="hybridMultilevel"/>
    <w:lvl w:ilvl="0">
      <w:lvlJc w:val="left"/>
      <w:lvlText w:val="%1."/>
      <w:numFmt w:val="decimal"/>
      <w:start w:val="7"/>
    </w:lvl>
  </w:abstractNum>
  <w:abstractNum w:abstractNumId="75">
    <w:nsid w:val="11B1CC33"/>
    <w:multiLevelType w:val="hybridMultilevel"/>
    <w:lvl w:ilvl="0">
      <w:lvlJc w:val="left"/>
      <w:lvlText w:val="%1."/>
      <w:numFmt w:val="decimal"/>
      <w:start w:val="9"/>
    </w:lvl>
  </w:abstractNum>
  <w:abstractNum w:abstractNumId="76">
    <w:nsid w:val="2E22FBB7"/>
    <w:multiLevelType w:val="hybridMultilevel"/>
    <w:lvl w:ilvl="0">
      <w:lvlJc w:val="left"/>
      <w:lvlText w:val="(%1)"/>
      <w:numFmt w:val="lowerLetter"/>
      <w:start w:val="2"/>
    </w:lvl>
  </w:abstractNum>
  <w:abstractNum w:abstractNumId="77">
    <w:nsid w:val="29934699"/>
    <w:multiLevelType w:val="hybridMultilevel"/>
    <w:lvl w:ilvl="0">
      <w:lvlJc w:val="left"/>
      <w:lvlText w:val="%1."/>
      <w:numFmt w:val="decimal"/>
      <w:start w:val="11"/>
    </w:lvl>
  </w:abstractNum>
  <w:abstractNum w:abstractNumId="78">
    <w:nsid w:val="77485850"/>
    <w:multiLevelType w:val="hybridMultilevel"/>
    <w:lvl w:ilvl="0">
      <w:lvlJc w:val="left"/>
      <w:lvlText w:val="%1."/>
      <w:numFmt w:val="decimal"/>
      <w:start w:val="13"/>
    </w:lvl>
  </w:abstractNum>
  <w:abstractNum w:abstractNumId="79">
    <w:nsid w:val="744939A3"/>
    <w:multiLevelType w:val="hybridMultilevel"/>
    <w:lvl w:ilvl="0">
      <w:lvlJc w:val="left"/>
      <w:lvlText w:val="(%1)"/>
      <w:numFmt w:val="lowerLetter"/>
      <w:start w:val="2"/>
    </w:lvl>
  </w:abstractNum>
  <w:abstractNum w:abstractNumId="80">
    <w:nsid w:val="4FA0D2E3"/>
    <w:multiLevelType w:val="hybridMultilevel"/>
    <w:lvl w:ilvl="0">
      <w:lvlJc w:val="left"/>
      <w:lvlText w:val="%1."/>
      <w:numFmt w:val="decimal"/>
      <w:start w:val="15"/>
    </w:lvl>
  </w:abstractNum>
  <w:abstractNum w:abstractNumId="81">
    <w:nsid w:val="6B1D2C14"/>
    <w:multiLevelType w:val="hybridMultilevel"/>
    <w:lvl w:ilvl="0">
      <w:lvlJc w:val="left"/>
      <w:lvlText w:val="(%1)"/>
      <w:numFmt w:val="lowerLetter"/>
      <w:start w:val="2"/>
    </w:lvl>
  </w:abstractNum>
  <w:abstractNum w:abstractNumId="82">
    <w:nsid w:val="68B867D3"/>
    <w:multiLevelType w:val="hybridMultilevel"/>
    <w:lvl w:ilvl="0">
      <w:lvlJc w:val="left"/>
      <w:lvlText w:val="(%1)"/>
      <w:numFmt w:val="lowerLetter"/>
      <w:start w:val="7"/>
    </w:lvl>
  </w:abstractNum>
  <w:abstractNum w:abstractNumId="83">
    <w:nsid w:val="3F7F5DD9"/>
    <w:multiLevelType w:val="hybridMultilevel"/>
    <w:lvl w:ilvl="0">
      <w:lvlJc w:val="left"/>
      <w:lvlText w:val="%1."/>
      <w:numFmt w:val="decimal"/>
      <w:start w:val="17"/>
    </w:lvl>
  </w:abstractNum>
  <w:abstractNum w:abstractNumId="84">
    <w:nsid w:val="2AE05A34"/>
    <w:multiLevelType w:val="hybridMultilevel"/>
    <w:lvl w:ilvl="0">
      <w:lvlJc w:val="left"/>
      <w:lvlText w:val="%1."/>
      <w:numFmt w:val="decimal"/>
      <w:start w:val="1"/>
    </w:lvl>
  </w:abstractNum>
  <w:abstractNum w:abstractNumId="85">
    <w:nsid w:val="32794FF7"/>
    <w:multiLevelType w:val="hybridMultilevel"/>
    <w:lvl w:ilvl="0">
      <w:lvlJc w:val="left"/>
      <w:lvlText w:val="%1."/>
      <w:numFmt w:val="decimal"/>
      <w:start w:val="2"/>
    </w:lvl>
  </w:abstractNum>
  <w:abstractNum w:abstractNumId="86">
    <w:nsid w:val="5454945E"/>
    <w:multiLevelType w:val="hybridMultilevel"/>
    <w:lvl w:ilvl="0">
      <w:lvlJc w:val="left"/>
      <w:lvlText w:val="%1."/>
      <w:numFmt w:val="decimal"/>
      <w:start w:val="4"/>
    </w:lvl>
    <w:lvl w:ilvl="1">
      <w:lvlJc w:val="left"/>
      <w:lvlText w:val="%2."/>
      <w:numFmt w:val="lowerLetter"/>
      <w:start w:val="2"/>
    </w:lvl>
  </w:abstractNum>
  <w:abstractNum w:abstractNumId="87">
    <w:nsid w:val="4DEFDFA0"/>
    <w:multiLevelType w:val="hybridMultilevel"/>
    <w:lvl w:ilvl="0">
      <w:lvlJc w:val="left"/>
      <w:lvlText w:val="%1."/>
      <w:numFmt w:val="decimal"/>
      <w:start w:val="5"/>
    </w:lvl>
    <w:lvl w:ilvl="1">
      <w:lvlJc w:val="left"/>
      <w:lvlText w:val="%2."/>
      <w:numFmt w:val="lowerLetter"/>
      <w:start w:val="2"/>
    </w:lvl>
  </w:abstractNum>
  <w:abstractNum w:abstractNumId="88">
    <w:nsid w:val="2123D5F2"/>
    <w:multiLevelType w:val="hybridMultilevel"/>
    <w:lvl w:ilvl="0">
      <w:lvlJc w:val="left"/>
      <w:lvlText w:val="%1."/>
      <w:numFmt w:val="decimal"/>
      <w:start w:val="7"/>
    </w:lvl>
  </w:abstractNum>
  <w:abstractNum w:abstractNumId="89">
    <w:nsid w:val="135B8110"/>
    <w:multiLevelType w:val="hybridMultilevel"/>
    <w:lvl w:ilvl="0">
      <w:lvlJc w:val="left"/>
      <w:lvlText w:val="%1."/>
      <w:numFmt w:val="decimal"/>
      <w:start w:val="9"/>
    </w:lvl>
    <w:lvl w:ilvl="1">
      <w:lvlJc w:val="left"/>
      <w:lvlText w:val="%2."/>
      <w:numFmt w:val="lowerLetter"/>
      <w:start w:val="2"/>
    </w:lvl>
  </w:abstractNum>
  <w:abstractNum w:abstractNumId="90">
    <w:nsid w:val="94927A8"/>
    <w:multiLevelType w:val="hybridMultilevel"/>
    <w:lvl w:ilvl="0">
      <w:lvlJc w:val="left"/>
      <w:lvlText w:val="%1."/>
      <w:numFmt w:val="decimal"/>
      <w:start w:val="15"/>
    </w:lvl>
  </w:abstractNum>
  <w:abstractNum w:abstractNumId="91">
    <w:nsid w:val="DCDF8F6"/>
    <w:multiLevelType w:val="hybridMultilevel"/>
    <w:lvl w:ilvl="0">
      <w:lvlJc w:val="left"/>
      <w:lvlText w:val="%1."/>
      <w:numFmt w:val="decimal"/>
      <w:start w:val="17"/>
    </w:lvl>
  </w:abstractNum>
  <w:abstractNum w:abstractNumId="92">
    <w:nsid w:val="52D7B105"/>
    <w:multiLevelType w:val="hybridMultilevel"/>
    <w:lvl w:ilvl="0">
      <w:lvlJc w:val="left"/>
      <w:lvlText w:val="%1."/>
      <w:numFmt w:val="decimal"/>
      <w:start w:val="1"/>
    </w:lvl>
  </w:abstractNum>
  <w:abstractNum w:abstractNumId="93">
    <w:nsid w:val="2E8A6394"/>
    <w:multiLevelType w:val="hybridMultilevel"/>
    <w:lvl w:ilvl="0">
      <w:lvlJc w:val="left"/>
      <w:lvlText w:val="%1."/>
      <w:numFmt w:val="decimal"/>
      <w:start w:val="2"/>
    </w:lvl>
  </w:abstractNum>
  <w:abstractNum w:abstractNumId="94">
    <w:nsid w:val="24E60401"/>
    <w:multiLevelType w:val="hybridMultilevel"/>
    <w:lvl w:ilvl="0">
      <w:lvlJc w:val="left"/>
      <w:lvlText w:val="%1"/>
      <w:numFmt w:val="lowerLetter"/>
      <w:start w:val="1"/>
    </w:lvl>
    <w:lvl w:ilvl="1">
      <w:lvlJc w:val="left"/>
      <w:lvlText w:val="(%2)"/>
      <w:numFmt w:val="lowerLetter"/>
      <w:start w:val="2"/>
    </w:lvl>
  </w:abstractNum>
  <w:abstractNum w:abstractNumId="95">
    <w:nsid w:val="2A6AD9BE"/>
    <w:multiLevelType w:val="hybridMultilevel"/>
    <w:lvl w:ilvl="0">
      <w:lvlJc w:val="left"/>
      <w:lvlText w:val="(%1)"/>
      <w:numFmt w:val="lowerLetter"/>
      <w:start w:val="61"/>
    </w:lvl>
    <w:lvl w:ilvl="1">
      <w:lvlJc w:val="left"/>
      <w:lvlText w:val="(%2)"/>
      <w:numFmt w:val="lowerLetter"/>
      <w:start w:val="3"/>
    </w:lvl>
  </w:abstractNum>
  <w:abstractNum w:abstractNumId="96">
    <w:nsid w:val="BAAC1B4"/>
    <w:multiLevelType w:val="hybridMultilevel"/>
    <w:lvl w:ilvl="0">
      <w:lvlJc w:val="left"/>
      <w:lvlText w:val="(%1)"/>
      <w:numFmt w:val="lowerRoman"/>
      <w:start w:val="1"/>
    </w:lvl>
  </w:abstractNum>
  <w:abstractNum w:abstractNumId="97">
    <w:nsid w:val="36B2ACBC"/>
    <w:multiLevelType w:val="hybridMultilevel"/>
    <w:lvl w:ilvl="0">
      <w:lvlJc w:val="left"/>
      <w:lvlText w:val="(%1)"/>
      <w:numFmt w:val="lowerRoman"/>
      <w:start w:val="3"/>
    </w:lvl>
  </w:abstractNum>
  <w:abstractNum w:abstractNumId="98">
    <w:nsid w:val="779D8544"/>
    <w:multiLevelType w:val="hybridMultilevel"/>
    <w:lvl w:ilvl="0">
      <w:lvlJc w:val="left"/>
      <w:lvlText w:val="(%1)"/>
      <w:numFmt w:val="lowerLetter"/>
      <w:start w:val="4"/>
    </w:lvl>
  </w:abstractNum>
  <w:abstractNum w:abstractNumId="99">
    <w:nsid w:val="4AB26E78"/>
    <w:multiLevelType w:val="hybridMultilevel"/>
    <w:lvl w:ilvl="0">
      <w:lvlJc w:val="left"/>
      <w:lvlText w:val="(%1)"/>
      <w:numFmt w:val="lowerRoman"/>
      <w:start w:val="2"/>
    </w:lvl>
  </w:abstractNum>
  <w:abstractNum w:abstractNumId="100">
    <w:nsid w:val="21FAA2FA"/>
    <w:multiLevelType w:val="hybridMultilevel"/>
    <w:lvl w:ilvl="0">
      <w:lvlJc w:val="left"/>
      <w:lvlText w:val="%1."/>
      <w:numFmt w:val="upperLetter"/>
      <w:start w:val="9"/>
    </w:lvl>
  </w:abstractNum>
  <w:abstractNum w:abstractNumId="101">
    <w:nsid w:val="5451CF49"/>
    <w:multiLevelType w:val="hybridMultilevel"/>
    <w:lvl w:ilvl="0">
      <w:lvlJc w:val="left"/>
      <w:lvlText w:val="%1."/>
      <w:numFmt w:val="upperLetter"/>
      <w:start w:val="35"/>
    </w:lvl>
  </w:abstractNum>
  <w:abstractNum w:abstractNumId="102">
    <w:nsid w:val="6181EF69"/>
    <w:multiLevelType w:val="hybridMultilevel"/>
    <w:lvl w:ilvl="0">
      <w:lvlJc w:val="left"/>
      <w:lvlText w:val="(%1)"/>
      <w:numFmt w:val="lowerRoman"/>
      <w:start w:val="3"/>
    </w:lvl>
  </w:abstractNum>
  <w:abstractNum w:abstractNumId="103">
    <w:nsid w:val="3E6400E6"/>
    <w:multiLevelType w:val="hybridMultilevel"/>
    <w:lvl w:ilvl="0">
      <w:lvlJc w:val="left"/>
      <w:lvlText w:val="(%1)"/>
      <w:numFmt w:val="lowerLetter"/>
      <w:start w:val="5"/>
    </w:lvl>
  </w:abstractNum>
  <w:abstractNum w:abstractNumId="104">
    <w:nsid w:val="14217E23"/>
    <w:multiLevelType w:val="hybridMultilevel"/>
    <w:lvl w:ilvl="0">
      <w:lvlJc w:val="left"/>
      <w:lvlText w:val="(%1)"/>
      <w:numFmt w:val="lowerRoman"/>
      <w:start w:val="2"/>
    </w:lvl>
  </w:abstractNum>
  <w:abstractNum w:abstractNumId="105">
    <w:nsid w:val="710757D0"/>
    <w:multiLevelType w:val="hybridMultilevel"/>
    <w:lvl w:ilvl="0">
      <w:lvlJc w:val="left"/>
      <w:lvlText w:val="(%1)"/>
      <w:numFmt w:val="decimal"/>
      <w:start w:val="30"/>
    </w:lvl>
    <w:lvl w:ilvl="1">
      <w:lvlJc w:val="left"/>
      <w:lvlText w:val="(%2)"/>
      <w:numFmt w:val="lowerLetter"/>
      <w:start w:val="6"/>
    </w:lvl>
  </w:abstractNum>
  <w:abstractNum w:abstractNumId="106">
    <w:nsid w:val="5015CD1A"/>
    <w:multiLevelType w:val="hybridMultilevel"/>
    <w:lvl w:ilvl="0">
      <w:lvlJc w:val="left"/>
      <w:lvlText w:val="(%1)"/>
      <w:numFmt w:val="lowerLetter"/>
      <w:start w:val="7"/>
    </w:lvl>
  </w:abstractNum>
  <w:abstractNum w:abstractNumId="107">
    <w:nsid w:val="424479DA"/>
    <w:multiLevelType w:val="hybridMultilevel"/>
    <w:lvl w:ilvl="0">
      <w:lvlJc w:val="left"/>
      <w:lvlText w:val="%1"/>
      <w:numFmt w:val="lowerRoman"/>
      <w:start w:val="1"/>
    </w:lvl>
    <w:lvl w:ilvl="1">
      <w:lvlJc w:val="left"/>
      <w:lvlText w:val="%2."/>
      <w:numFmt w:val="decimal"/>
      <w:start w:val="4"/>
    </w:lvl>
  </w:abstractNum>
  <w:abstractNum w:abstractNumId="108">
    <w:nsid w:val="1A9A9E69"/>
    <w:multiLevelType w:val="hybridMultilevel"/>
    <w:lvl w:ilvl="0">
      <w:lvlJc w:val="left"/>
      <w:lvlText w:val="(%1)"/>
      <w:numFmt w:val="lowerRoman"/>
      <w:start w:val="2"/>
    </w:lvl>
    <w:lvl w:ilvl="1">
      <w:lvlJc w:val="left"/>
      <w:lvlText w:val="%2"/>
      <w:numFmt w:val="decimal"/>
      <w:start w:val="1"/>
    </w:lvl>
  </w:abstractNum>
  <w:abstractNum w:abstractNumId="109">
    <w:nsid w:val="475E256A"/>
    <w:multiLevelType w:val="hybridMultilevel"/>
    <w:lvl w:ilvl="0">
      <w:lvlJc w:val="left"/>
      <w:lvlText w:val="(%1)"/>
      <w:numFmt w:val="decimal"/>
      <w:start w:val="2"/>
    </w:lvl>
    <w:lvl w:ilvl="1">
      <w:lvlJc w:val="left"/>
      <w:lvlText w:val="(%2)"/>
      <w:numFmt w:val="lowerLetter"/>
      <w:start w:val="2"/>
    </w:lvl>
  </w:abstractNum>
  <w:abstractNum w:abstractNumId="110">
    <w:nsid w:val="368DB37E"/>
    <w:multiLevelType w:val="hybridMultilevel"/>
    <w:lvl w:ilvl="0">
      <w:lvlJc w:val="left"/>
      <w:lvlText w:val="%1."/>
      <w:numFmt w:val="decimal"/>
      <w:start w:val="6"/>
    </w:lvl>
  </w:abstractNum>
  <w:abstractNum w:abstractNumId="111">
    <w:nsid w:val="6A3B714C"/>
    <w:multiLevelType w:val="hybridMultilevel"/>
    <w:lvl w:ilvl="0">
      <w:lvlJc w:val="left"/>
      <w:lvlText w:val="%1."/>
      <w:numFmt w:val="decimal"/>
      <w:start w:val="8"/>
    </w:lvl>
  </w:abstractNum>
  <w:abstractNum w:abstractNumId="112">
    <w:nsid w:val="327B517E"/>
    <w:multiLevelType w:val="hybridMultilevel"/>
    <w:lvl w:ilvl="0">
      <w:lvlJc w:val="left"/>
      <w:lvlText w:val="(%1)"/>
      <w:numFmt w:val="lowerLetter"/>
      <w:start w:val="2"/>
    </w:lvl>
  </w:abstractNum>
  <w:abstractNum w:abstractNumId="113">
    <w:nsid w:val="1F461B51"/>
    <w:multiLevelType w:val="hybridMultilevel"/>
    <w:lvl w:ilvl="0">
      <w:lvlJc w:val="left"/>
      <w:lvlText w:val="%1."/>
      <w:numFmt w:val="decimal"/>
      <w:start w:val="11"/>
    </w:lvl>
  </w:abstractNum>
  <w:abstractNum w:abstractNumId="114">
    <w:nsid w:val="29BACF25"/>
    <w:multiLevelType w:val="hybridMultilevel"/>
    <w:lvl w:ilvl="0">
      <w:lvlJc w:val="left"/>
      <w:lvlText w:val="%1."/>
      <w:numFmt w:val="decimal"/>
      <w:start w:val="12"/>
    </w:lvl>
  </w:abstractNum>
  <w:abstractNum w:abstractNumId="115">
    <w:nsid w:val="5D5BABB3"/>
    <w:multiLevelType w:val="hybridMultilevel"/>
    <w:lvl w:ilvl="0">
      <w:lvlJc w:val="left"/>
      <w:lvlText w:val="%1."/>
      <w:numFmt w:val="decimal"/>
      <w:start w:val="14"/>
    </w:lvl>
  </w:abstractNum>
  <w:abstractNum w:abstractNumId="116">
    <w:nsid w:val="51BF6B48"/>
    <w:multiLevelType w:val="hybridMultilevel"/>
    <w:lvl w:ilvl="0">
      <w:lvlJc w:val="left"/>
      <w:lvlText w:val="(%1)"/>
      <w:numFmt w:val="lowerLetter"/>
      <w:start w:val="2"/>
    </w:lvl>
  </w:abstractNum>
  <w:abstractNum w:abstractNumId="117">
    <w:nsid w:val="7E0F6384"/>
    <w:multiLevelType w:val="hybridMultilevel"/>
    <w:lvl w:ilvl="0">
      <w:lvlJc w:val="left"/>
      <w:lvlText w:val="%1."/>
      <w:numFmt w:val="decimal"/>
      <w:start w:val="15"/>
    </w:lvl>
  </w:abstractNum>
  <w:abstractNum w:abstractNumId="118">
    <w:nsid w:val="2B4B8B53"/>
    <w:multiLevelType w:val="hybridMultilevel"/>
    <w:lvl w:ilvl="0">
      <w:lvlJc w:val="left"/>
      <w:lvlText w:val="(%1)"/>
      <w:numFmt w:val="lowerLetter"/>
      <w:start w:val="2"/>
    </w:lvl>
  </w:abstractNum>
  <w:abstractNum w:abstractNumId="119">
    <w:nsid w:val="72E3413A"/>
    <w:multiLevelType w:val="hybridMultilevel"/>
    <w:lvl w:ilvl="0">
      <w:lvlJc w:val="left"/>
      <w:lvlText w:val="(%1)"/>
      <w:numFmt w:val="lowerLetter"/>
      <w:start w:val="4"/>
    </w:lvl>
  </w:abstractNum>
  <w:abstractNum w:abstractNumId="120">
    <w:nsid w:val="116AE494"/>
    <w:multiLevelType w:val="hybridMultilevel"/>
    <w:lvl w:ilvl="0">
      <w:lvlJc w:val="left"/>
      <w:lvlText w:val="(%1)"/>
      <w:numFmt w:val="lowerLetter"/>
      <w:start w:val="10"/>
    </w:lvl>
  </w:abstractNum>
  <w:abstractNum w:abstractNumId="121">
    <w:nsid w:val="3494B2FB"/>
    <w:multiLevelType w:val="hybridMultilevel"/>
    <w:lvl w:ilvl="0">
      <w:lvlJc w:val="left"/>
      <w:lvlText w:val="%1."/>
      <w:numFmt w:val="decimal"/>
      <w:start w:val="17"/>
    </w:lvl>
  </w:abstractNum>
  <w:abstractNum w:abstractNumId="122">
    <w:nsid w:val="B13A31"/>
    <w:multiLevelType w:val="hybridMultilevel"/>
    <w:lvl w:ilvl="0">
      <w:lvlJc w:val="left"/>
      <w:lvlText w:val="%1."/>
      <w:numFmt w:val="decimal"/>
      <w:start w:val="1"/>
    </w:lvl>
  </w:abstractNum>
  <w:abstractNum w:abstractNumId="123">
    <w:nsid w:val="64429599"/>
    <w:multiLevelType w:val="hybridMultilevel"/>
    <w:lvl w:ilvl="0">
      <w:lvlJc w:val="left"/>
      <w:lvlText w:val="%1."/>
      <w:numFmt w:val="decimal"/>
      <w:start w:val="2"/>
    </w:lvl>
  </w:abstractNum>
  <w:abstractNum w:abstractNumId="124">
    <w:nsid w:val="631F169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25">
    <w:nsid w:val="25973E3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6">
    <w:nsid w:val="EAD6F5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27">
    <w:nsid w:val="6EC9D844"/>
    <w:multiLevelType w:val="hybridMultilevel"/>
    <w:lvl w:ilvl="0">
      <w:lvlJc w:val="left"/>
      <w:lvlText w:val="%1."/>
      <w:numFmt w:val="decimal"/>
      <w:start w:val="6"/>
    </w:lvl>
    <w:lvl w:ilvl="1">
      <w:lvlJc w:val="left"/>
      <w:lvlText w:val="%2."/>
      <w:numFmt w:val="lowerLetter"/>
      <w:start w:val="2"/>
    </w:lvl>
  </w:abstractNum>
  <w:abstractNum w:abstractNumId="128">
    <w:nsid w:val="5C49EAEE"/>
    <w:multiLevelType w:val="hybridMultilevel"/>
    <w:lvl w:ilvl="0">
      <w:lvlJc w:val="left"/>
      <w:lvlText w:val="%1."/>
      <w:numFmt w:val="decimal"/>
      <w:start w:val="7"/>
    </w:lvl>
  </w:abstractNum>
  <w:abstractNum w:abstractNumId="129">
    <w:nsid w:val="64AF49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30">
    <w:nsid w:val="397C46BC"/>
    <w:multiLevelType w:val="hybridMultilevel"/>
    <w:lvl w:ilvl="0">
      <w:lvlJc w:val="left"/>
      <w:lvlText w:val="(%1)"/>
      <w:numFmt w:val="decimal"/>
      <w:start w:val="7"/>
    </w:lvl>
  </w:abstractNum>
  <w:abstractNum w:abstractNumId="131">
    <w:nsid w:val="7E448DE9"/>
    <w:multiLevelType w:val="hybridMultilevel"/>
    <w:lvl w:ilvl="0">
      <w:lvlJc w:val="left"/>
      <w:lvlText w:val="%1."/>
      <w:numFmt w:val="decimal"/>
      <w:start w:val="17"/>
    </w:lvl>
  </w:abstractNum>
  <w:abstractNum w:abstractNumId="132">
    <w:nsid w:val="5A9CC3E5"/>
    <w:multiLevelType w:val="hybridMultilevel"/>
    <w:lvl w:ilvl="0">
      <w:lvlJc w:val="left"/>
      <w:lvlText w:val="%1."/>
      <w:numFmt w:val="decimal"/>
      <w:start w:val="1"/>
    </w:lvl>
  </w:abstractNum>
  <w:abstractNum w:abstractNumId="133">
    <w:nsid w:val="1AFE3625"/>
    <w:multiLevelType w:val="hybridMultilevel"/>
    <w:lvl w:ilvl="0">
      <w:lvlJc w:val="left"/>
      <w:lvlText w:val="%1."/>
      <w:numFmt w:val="decimal"/>
      <w:start w:val="2"/>
    </w:lvl>
  </w:abstractNum>
  <w:abstractNum w:abstractNumId="134">
    <w:nsid w:val="3CA88ECF"/>
    <w:multiLevelType w:val="hybridMultilevel"/>
    <w:lvl w:ilvl="0">
      <w:lvlJc w:val="left"/>
      <w:lvlText w:val="(%1)"/>
      <w:numFmt w:val="lowerLetter"/>
      <w:start w:val="2"/>
    </w:lvl>
  </w:abstractNum>
  <w:abstractNum w:abstractNumId="135">
    <w:nsid w:val="6EBE4208"/>
    <w:multiLevelType w:val="hybridMultilevel"/>
    <w:lvl w:ilvl="0">
      <w:lvlJc w:val="left"/>
      <w:lvlText w:val="(%1)"/>
      <w:numFmt w:val="lowerLetter"/>
      <w:start w:val="3"/>
    </w:lvl>
  </w:abstractNum>
  <w:abstractNum w:abstractNumId="136">
    <w:nsid w:val="C058DF5"/>
    <w:multiLevelType w:val="hybridMultilevel"/>
    <w:lvl w:ilvl="0">
      <w:lvlJc w:val="left"/>
      <w:lvlText w:val="(%1)"/>
      <w:numFmt w:val="lowerRoman"/>
      <w:start w:val="1"/>
    </w:lvl>
  </w:abstractNum>
  <w:abstractNum w:abstractNumId="137">
    <w:nsid w:val="CBE5BE9"/>
    <w:multiLevelType w:val="hybridMultilevel"/>
    <w:lvl w:ilvl="0">
      <w:lvlJc w:val="left"/>
      <w:lvlText w:val="(%1)"/>
      <w:numFmt w:val="lowerLetter"/>
      <w:start w:val="4"/>
    </w:lvl>
  </w:abstractNum>
  <w:abstractNum w:abstractNumId="138">
    <w:nsid w:val="3102BBE2"/>
    <w:multiLevelType w:val="hybridMultilevel"/>
    <w:lvl w:ilvl="0">
      <w:lvlJc w:val="left"/>
      <w:lvlText w:val="(%1)"/>
      <w:numFmt w:val="lowerRoman"/>
      <w:start w:val="2"/>
    </w:lvl>
  </w:abstractNum>
  <w:abstractNum w:abstractNumId="139">
    <w:nsid w:val="26A02C5E"/>
    <w:multiLevelType w:val="hybridMultilevel"/>
    <w:lvl w:ilvl="0">
      <w:lvlJc w:val="left"/>
      <w:lvlText w:val="%1."/>
      <w:numFmt w:val="upperLetter"/>
      <w:start w:val="9"/>
    </w:lvl>
  </w:abstractNum>
  <w:abstractNum w:abstractNumId="140">
    <w:nsid w:val="541C8153"/>
    <w:multiLevelType w:val="hybridMultilevel"/>
    <w:lvl w:ilvl="0">
      <w:lvlJc w:val="left"/>
      <w:lvlText w:val="%1."/>
      <w:numFmt w:val="upperLetter"/>
      <w:start w:val="35"/>
    </w:lvl>
  </w:abstractNum>
  <w:abstractNum w:abstractNumId="141">
    <w:nsid w:val="67906F60"/>
    <w:multiLevelType w:val="hybridMultilevel"/>
    <w:lvl w:ilvl="0">
      <w:lvlJc w:val="left"/>
      <w:lvlText w:val="(%1)"/>
      <w:numFmt w:val="lowerRoman"/>
      <w:start w:val="3"/>
    </w:lvl>
  </w:abstractNum>
  <w:abstractNum w:abstractNumId="142">
    <w:nsid w:val="10DB9DAA"/>
    <w:multiLevelType w:val="hybridMultilevel"/>
    <w:lvl w:ilvl="0">
      <w:lvlJc w:val="left"/>
      <w:lvlText w:val="(%1)"/>
      <w:numFmt w:val="lowerRoman"/>
      <w:start w:val="4"/>
    </w:lvl>
  </w:abstractNum>
  <w:abstractNum w:abstractNumId="143">
    <w:nsid w:val="697D2D2"/>
    <w:multiLevelType w:val="hybridMultilevel"/>
    <w:lvl w:ilvl="0">
      <w:lvlJc w:val="left"/>
      <w:lvlText w:val="(%1)"/>
      <w:numFmt w:val="lowerLetter"/>
      <w:start w:val="5"/>
    </w:lvl>
  </w:abstractNum>
  <w:abstractNum w:abstractNumId="144">
    <w:nsid w:val="6D68AB2"/>
    <w:multiLevelType w:val="hybridMultilevel"/>
    <w:lvl w:ilvl="0">
      <w:lvlJc w:val="left"/>
      <w:lvlText w:val="(%1)"/>
      <w:numFmt w:val="decimal"/>
      <w:start w:val="90"/>
    </w:lvl>
    <w:lvl w:ilvl="1">
      <w:lvlJc w:val="left"/>
      <w:lvlText w:val="(%2)"/>
      <w:numFmt w:val="lowerLetter"/>
      <w:start w:val="6"/>
    </w:lvl>
  </w:abstractNum>
  <w:abstractNum w:abstractNumId="145">
    <w:nsid w:val="3A966CD0"/>
    <w:multiLevelType w:val="hybridMultilevel"/>
    <w:lvl w:ilvl="0">
      <w:lvlJc w:val="left"/>
      <w:lvlText w:val="(%1)"/>
      <w:numFmt w:val="lowerLetter"/>
      <w:start w:val="7"/>
    </w:lvl>
  </w:abstractNum>
  <w:abstractNum w:abstractNumId="146">
    <w:nsid w:val="63F37E85"/>
    <w:multiLevelType w:val="hybridMultilevel"/>
    <w:lvl w:ilvl="0">
      <w:lvlJc w:val="left"/>
      <w:lvlText w:val="(%1)"/>
      <w:numFmt w:val="lowerRoman"/>
      <w:start w:val="2"/>
    </w:lvl>
    <w:lvl w:ilvl="1">
      <w:lvlJc w:val="left"/>
      <w:lvlText w:val="%2."/>
      <w:numFmt w:val="decimal"/>
      <w:start w:val="4"/>
    </w:lvl>
  </w:abstractNum>
  <w:abstractNum w:abstractNumId="147">
    <w:nsid w:val="5895F5FA"/>
    <w:multiLevelType w:val="hybridMultilevel"/>
    <w:lvl w:ilvl="0">
      <w:lvlJc w:val="left"/>
      <w:lvlText w:val="%1"/>
      <w:numFmt w:val="lowerRoman"/>
      <w:start w:val="1"/>
    </w:lvl>
    <w:lvl w:ilvl="1">
      <w:lvlJc w:val="left"/>
      <w:lvlText w:val="%2."/>
      <w:numFmt w:val="decimal"/>
      <w:start w:val="5"/>
    </w:lvl>
  </w:abstractNum>
  <w:abstractNum w:abstractNumId="148">
    <w:nsid w:val="38A5D054"/>
    <w:multiLevelType w:val="hybridMultilevel"/>
    <w:lvl w:ilvl="0">
      <w:lvlJc w:val="left"/>
      <w:lvlText w:val="(%1)"/>
      <w:numFmt w:val="lowerRoman"/>
      <w:start w:val="2"/>
    </w:lvl>
    <w:lvl w:ilvl="1">
      <w:lvlJc w:val="left"/>
      <w:lvlText w:val="%2"/>
      <w:numFmt w:val="decimal"/>
      <w:start w:val="1"/>
    </w:lvl>
  </w:abstractNum>
  <w:abstractNum w:abstractNumId="149">
    <w:nsid w:val="F3F09D8"/>
    <w:multiLevelType w:val="hybridMultilevel"/>
    <w:lvl w:ilvl="0">
      <w:lvlJc w:val="left"/>
      <w:lvlText w:val="(%1)"/>
      <w:numFmt w:val="lowerLetter"/>
      <w:start w:val="2"/>
    </w:lvl>
  </w:abstractNum>
  <w:abstractNum w:abstractNumId="150">
    <w:nsid w:val="4B793735"/>
    <w:multiLevelType w:val="hybridMultilevel"/>
    <w:lvl w:ilvl="0">
      <w:lvlJc w:val="left"/>
      <w:lvlText w:val="%1."/>
      <w:numFmt w:val="decimal"/>
      <w:start w:val="6"/>
    </w:lvl>
  </w:abstractNum>
  <w:abstractNum w:abstractNumId="151">
    <w:nsid w:val="4A10B4E8"/>
    <w:multiLevelType w:val="hybridMultilevel"/>
    <w:lvl w:ilvl="0">
      <w:lvlJc w:val="left"/>
      <w:lvlText w:val="%1."/>
      <w:numFmt w:val="decimal"/>
      <w:start w:val="9"/>
    </w:lvl>
  </w:abstractNum>
  <w:abstractNum w:abstractNumId="152">
    <w:nsid w:val="43D3BCD4"/>
    <w:multiLevelType w:val="hybridMultilevel"/>
    <w:lvl w:ilvl="0">
      <w:lvlJc w:val="left"/>
      <w:lvlText w:val="(%1)"/>
      <w:numFmt w:val="lowerLetter"/>
      <w:start w:val="2"/>
    </w:lvl>
  </w:abstractNum>
  <w:abstractNum w:abstractNumId="153">
    <w:nsid w:val="4C2A7166"/>
    <w:multiLevelType w:val="hybridMultilevel"/>
    <w:lvl w:ilvl="0">
      <w:lvlJc w:val="left"/>
      <w:lvlText w:val="(%1)"/>
      <w:numFmt w:val="lowerLetter"/>
      <w:start w:val="3"/>
    </w:lvl>
  </w:abstractNum>
  <w:abstractNum w:abstractNumId="154">
    <w:nsid w:val="2E534A82"/>
    <w:multiLevelType w:val="hybridMultilevel"/>
    <w:lvl w:ilvl="0">
      <w:lvlJc w:val="left"/>
      <w:lvlText w:val="%1."/>
      <w:numFmt w:val="decimal"/>
      <w:start w:val="11"/>
    </w:lvl>
  </w:abstractNum>
  <w:abstractNum w:abstractNumId="155">
    <w:nsid w:val="26F2D364"/>
    <w:multiLevelType w:val="hybridMultilevel"/>
    <w:lvl w:ilvl="0">
      <w:lvlJc w:val="left"/>
      <w:lvlText w:val="%1."/>
      <w:numFmt w:val="decimal"/>
      <w:start w:val="13"/>
    </w:lvl>
  </w:abstractNum>
  <w:abstractNum w:abstractNumId="156">
    <w:nsid w:val="71C1AF98"/>
    <w:multiLevelType w:val="hybridMultilevel"/>
    <w:lvl w:ilvl="0">
      <w:lvlJc w:val="left"/>
      <w:lvlText w:val="(%1)"/>
      <w:numFmt w:val="lowerLetter"/>
      <w:start w:val="2"/>
    </w:lvl>
  </w:abstractNum>
  <w:abstractNum w:abstractNumId="157">
    <w:nsid w:val="3D00B9D9"/>
    <w:multiLevelType w:val="hybridMultilevel"/>
    <w:lvl w:ilvl="0">
      <w:lvlJc w:val="left"/>
      <w:lvlText w:val="%1."/>
      <w:numFmt w:val="decimal"/>
      <w:start w:val="15"/>
    </w:lvl>
  </w:abstractNum>
  <w:abstractNum w:abstractNumId="158">
    <w:nsid w:val="15BCABA8"/>
    <w:multiLevelType w:val="hybridMultilevel"/>
    <w:lvl w:ilvl="0">
      <w:lvlJc w:val="left"/>
      <w:lvlText w:val="(%1)"/>
      <w:numFmt w:val="lowerLetter"/>
      <w:start w:val="2"/>
    </w:lvl>
  </w:abstractNum>
  <w:abstractNum w:abstractNumId="159">
    <w:nsid w:val="4E0B9A87"/>
    <w:multiLevelType w:val="hybridMultilevel"/>
    <w:lvl w:ilvl="0">
      <w:lvlJc w:val="left"/>
      <w:lvlText w:val="(%1)"/>
      <w:numFmt w:val="lowerLetter"/>
      <w:start w:val="6"/>
    </w:lvl>
  </w:abstractNum>
  <w:abstractNum w:abstractNumId="160">
    <w:nsid w:val="434BAE75"/>
    <w:multiLevelType w:val="hybridMultilevel"/>
    <w:lvl w:ilvl="0">
      <w:lvlJc w:val="left"/>
      <w:lvlText w:val="%1."/>
      <w:numFmt w:val="decimal"/>
      <w:start w:val="17"/>
    </w:lvl>
  </w:abstractNum>
  <w:abstractNum w:abstractNumId="161">
    <w:nsid w:val="4F38F265"/>
    <w:multiLevelType w:val="hybridMultilevel"/>
    <w:lvl w:ilvl="0">
      <w:lvlJc w:val="left"/>
      <w:lvlText w:val="%1."/>
      <w:numFmt w:val="decimal"/>
      <w:start w:val="1"/>
    </w:lvl>
  </w:abstractNum>
  <w:abstractNum w:abstractNumId="162">
    <w:nsid w:val="4C502870"/>
    <w:multiLevelType w:val="hybridMultilevel"/>
    <w:lvl w:ilvl="0">
      <w:lvlJc w:val="left"/>
      <w:lvlText w:val="%1."/>
      <w:numFmt w:val="decimal"/>
      <w:start w:val="2"/>
    </w:lvl>
  </w:abstractNum>
  <w:abstractNum w:abstractNumId="163">
    <w:nsid w:val="1DE8725A"/>
    <w:multiLevelType w:val="hybridMultilevel"/>
    <w:lvl w:ilvl="0">
      <w:lvlJc w:val="left"/>
      <w:lvlText w:val="%1."/>
      <w:numFmt w:val="decimal"/>
      <w:start w:val="3"/>
    </w:lvl>
    <w:lvl w:ilvl="1">
      <w:lvlJc w:val="left"/>
      <w:lvlText w:val="%2."/>
      <w:numFmt w:val="lowerLetter"/>
      <w:start w:val="2"/>
    </w:lvl>
    <w:lvl w:ilvl="2">
      <w:lvlJc w:val="left"/>
      <w:lvlText w:val="%3."/>
      <w:numFmt w:val="lowerLetter"/>
      <w:start w:val="2"/>
    </w:lvl>
  </w:abstractNum>
  <w:abstractNum w:abstractNumId="164">
    <w:nsid w:val="6A37288A"/>
    <w:multiLevelType w:val="hybridMultilevel"/>
    <w:lvl w:ilvl="0">
      <w:lvlJc w:val="left"/>
      <w:lvlText w:val="(%1)"/>
      <w:numFmt w:val="lowerRoman"/>
      <w:start w:val="4"/>
    </w:lvl>
    <w:lvl w:ilvl="1">
      <w:lvlJc w:val="left"/>
      <w:lvlText w:val="%2."/>
      <w:numFmt w:val="decimal"/>
      <w:start w:val="5"/>
    </w:lvl>
    <w:lvl w:ilvl="2">
      <w:lvlJc w:val="left"/>
      <w:lvlText w:val="%3."/>
      <w:numFmt w:val="lowerLetter"/>
      <w:start w:val="2"/>
    </w:lvl>
  </w:abstractNum>
  <w:abstractNum w:abstractNumId="165">
    <w:nsid w:val="8F8B73F"/>
    <w:multiLevelType w:val="hybridMultilevel"/>
    <w:lvl w:ilvl="0">
      <w:lvlJc w:val="left"/>
      <w:lvlText w:val="%1."/>
      <w:numFmt w:val="decimal"/>
      <w:start w:val="7"/>
    </w:lvl>
  </w:abstractNum>
  <w:abstractNum w:abstractNumId="166">
    <w:nsid w:val="CA6B462"/>
    <w:multiLevelType w:val="hybridMultilevel"/>
    <w:lvl w:ilvl="0">
      <w:lvlJc w:val="left"/>
      <w:lvlText w:val="%1."/>
      <w:numFmt w:val="decimal"/>
      <w:start w:val="9"/>
    </w:lvl>
    <w:lvl w:ilvl="1">
      <w:lvlJc w:val="left"/>
      <w:lvlText w:val="%2."/>
      <w:numFmt w:val="lowerLetter"/>
      <w:start w:val="2"/>
    </w:lvl>
    <w:lvl w:ilvl="2">
      <w:lvlJc w:val="left"/>
      <w:lvlText w:val="%3."/>
      <w:numFmt w:val="lowerLetter"/>
      <w:start w:val="2"/>
    </w:lvl>
  </w:abstractNum>
  <w:abstractNum w:abstractNumId="167">
    <w:nsid w:val="763CB680"/>
    <w:multiLevelType w:val="hybridMultilevel"/>
    <w:lvl w:ilvl="0">
      <w:lvlJc w:val="left"/>
      <w:lvlText w:val="%1."/>
      <w:numFmt w:val="decimal"/>
      <w:start w:val="15"/>
    </w:lvl>
  </w:abstractNum>
  <w:abstractNum w:abstractNumId="168">
    <w:nsid w:val="15B71329"/>
    <w:multiLevelType w:val="hybridMultilevel"/>
    <w:lvl w:ilvl="0">
      <w:lvlJc w:val="left"/>
      <w:lvlText w:val="%1."/>
      <w:numFmt w:val="decimal"/>
      <w:start w:val="17"/>
    </w:lvl>
  </w:abstractNum>
  <w:abstractNum w:abstractNumId="169">
    <w:nsid w:val="3DA97044"/>
    <w:multiLevelType w:val="hybridMultilevel"/>
    <w:lvl w:ilvl="0">
      <w:lvlJc w:val="left"/>
      <w:lvlText w:val="%1."/>
      <w:numFmt w:val="decimal"/>
      <w:start w:val="1"/>
    </w:lvl>
  </w:abstractNum>
  <w:abstractNum w:abstractNumId="170">
    <w:nsid w:val="1CDCE2DE"/>
    <w:multiLevelType w:val="hybridMultilevel"/>
    <w:lvl w:ilvl="0">
      <w:lvlJc w:val="left"/>
      <w:lvlText w:val="%1."/>
      <w:numFmt w:val="decimal"/>
      <w:start w:val="2"/>
    </w:lvl>
  </w:abstractNum>
  <w:abstractNum w:abstractNumId="171">
    <w:nsid w:val="69D3947C"/>
    <w:multiLevelType w:val="hybridMultilevel"/>
    <w:lvl w:ilvl="0">
      <w:lvlJc w:val="left"/>
      <w:lvlText w:val="(%1)"/>
      <w:numFmt w:val="lowerLetter"/>
      <w:start w:val="2"/>
    </w:lvl>
  </w:abstractNum>
  <w:abstractNum w:abstractNumId="172">
    <w:nsid w:val="2539DFA5"/>
    <w:multiLevelType w:val="hybridMultilevel"/>
    <w:lvl w:ilvl="0">
      <w:lvlJc w:val="left"/>
      <w:lvlText w:val="(%1)"/>
      <w:numFmt w:val="lowerRoman"/>
      <w:start w:val="1"/>
    </w:lvl>
  </w:abstractNum>
  <w:abstractNum w:abstractNumId="173">
    <w:nsid w:val="2DB88089"/>
    <w:multiLevelType w:val="hybridMultilevel"/>
    <w:lvl w:ilvl="0">
      <w:lvlJc w:val="left"/>
      <w:lvlText w:val="(%1)"/>
      <w:numFmt w:val="lowerRoman"/>
      <w:start w:val="3"/>
    </w:lvl>
  </w:abstractNum>
  <w:abstractNum w:abstractNumId="174">
    <w:nsid w:val="706B674E"/>
    <w:multiLevelType w:val="hybridMultilevel"/>
    <w:lvl w:ilvl="0">
      <w:lvlJc w:val="left"/>
      <w:lvlText w:val="(%1)"/>
      <w:numFmt w:val="lowerLetter"/>
      <w:start w:val="4"/>
    </w:lvl>
  </w:abstractNum>
  <w:abstractNum w:abstractNumId="175">
    <w:nsid w:val="2C106A57"/>
    <w:multiLevelType w:val="hybridMultilevel"/>
    <w:lvl w:ilvl="0">
      <w:lvlJc w:val="left"/>
      <w:lvlText w:val="(%1)"/>
      <w:numFmt w:val="lowerRoman"/>
      <w:start w:val="2"/>
    </w:lvl>
  </w:abstractNum>
  <w:abstractNum w:abstractNumId="176">
    <w:nsid w:val="684EED59"/>
    <w:multiLevelType w:val="hybridMultilevel"/>
    <w:lvl w:ilvl="0">
      <w:lvlJc w:val="left"/>
      <w:lvlText w:val="%1."/>
      <w:numFmt w:val="upperLetter"/>
      <w:start w:val="9"/>
    </w:lvl>
  </w:abstractNum>
  <w:abstractNum w:abstractNumId="177">
    <w:nsid w:val="545EE5D3"/>
    <w:multiLevelType w:val="hybridMultilevel"/>
    <w:lvl w:ilvl="0">
      <w:lvlJc w:val="left"/>
      <w:lvlText w:val="%1."/>
      <w:numFmt w:val="upperLetter"/>
      <w:start w:val="35"/>
    </w:lvl>
  </w:abstractNum>
  <w:abstractNum w:abstractNumId="178">
    <w:nsid w:val="4A66051"/>
    <w:multiLevelType w:val="hybridMultilevel"/>
    <w:lvl w:ilvl="0">
      <w:lvlJc w:val="left"/>
      <w:lvlText w:val="(%1)"/>
      <w:numFmt w:val="lowerRoman"/>
      <w:start w:val="3"/>
    </w:lvl>
  </w:abstractNum>
  <w:abstractNum w:abstractNumId="179">
    <w:nsid w:val="20F4BDAD"/>
    <w:multiLevelType w:val="hybridMultilevel"/>
    <w:lvl w:ilvl="0">
      <w:lvlJc w:val="left"/>
      <w:lvlText w:val="(%1)"/>
      <w:numFmt w:val="lowerLetter"/>
      <w:start w:val="5"/>
    </w:lvl>
  </w:abstractNum>
  <w:abstractNum w:abstractNumId="180">
    <w:nsid w:val="639DEFAC"/>
    <w:multiLevelType w:val="hybridMultilevel"/>
    <w:lvl w:ilvl="0">
      <w:lvlJc w:val="left"/>
      <w:lvlText w:val="(%1)"/>
      <w:numFmt w:val="lowerRoman"/>
      <w:start w:val="2"/>
    </w:lvl>
  </w:abstractNum>
  <w:abstractNum w:abstractNumId="181">
    <w:nsid w:val="501F9786"/>
    <w:multiLevelType w:val="hybridMultilevel"/>
    <w:lvl w:ilvl="0">
      <w:lvlJc w:val="left"/>
      <w:lvlText w:val="(%1)"/>
      <w:numFmt w:val="decimal"/>
      <w:start w:val="30"/>
    </w:lvl>
    <w:lvl w:ilvl="1">
      <w:lvlJc w:val="left"/>
      <w:lvlText w:val="(%2)"/>
      <w:numFmt w:val="lowerLetter"/>
      <w:start w:val="6"/>
    </w:lvl>
  </w:abstractNum>
  <w:abstractNum w:abstractNumId="182">
    <w:nsid w:val="6B057295"/>
    <w:multiLevelType w:val="hybridMultilevel"/>
    <w:lvl w:ilvl="0">
      <w:lvlJc w:val="left"/>
      <w:lvlText w:val="(%1)"/>
      <w:numFmt w:val="lowerLetter"/>
      <w:start w:val="7"/>
    </w:lvl>
  </w:abstractNum>
  <w:abstractNum w:abstractNumId="183">
    <w:nsid w:val="2771AC80"/>
    <w:multiLevelType w:val="hybridMultilevel"/>
    <w:lvl w:ilvl="0">
      <w:lvlJc w:val="left"/>
      <w:lvlText w:val="%1."/>
      <w:numFmt w:val="decimal"/>
      <w:start w:val="4"/>
    </w:lvl>
  </w:abstractNum>
  <w:abstractNum w:abstractNumId="184">
    <w:nsid w:val="1C4A08EC"/>
    <w:multiLevelType w:val="hybridMultilevel"/>
    <w:lvl w:ilvl="0">
      <w:lvlJc w:val="left"/>
      <w:lvlText w:val="%1"/>
      <w:numFmt w:val="lowerRoman"/>
      <w:start w:val="1"/>
    </w:lvl>
    <w:lvl w:ilvl="1">
      <w:lvlJc w:val="left"/>
      <w:lvlText w:val="%2."/>
      <w:numFmt w:val="decimal"/>
      <w:start w:val="5"/>
    </w:lvl>
  </w:abstractNum>
  <w:abstractNum w:abstractNumId="185">
    <w:nsid w:val="1958BD17"/>
    <w:multiLevelType w:val="hybridMultilevel"/>
    <w:lvl w:ilvl="0">
      <w:lvlJc w:val="left"/>
      <w:lvlText w:val="(%1)"/>
      <w:numFmt w:val="lowerRoman"/>
      <w:start w:val="2"/>
    </w:lvl>
    <w:lvl w:ilvl="1">
      <w:lvlJc w:val="left"/>
      <w:lvlText w:val="%2"/>
      <w:numFmt w:val="decimal"/>
      <w:start w:val="1"/>
    </w:lvl>
  </w:abstractNum>
  <w:abstractNum w:abstractNumId="186">
    <w:nsid w:val="4E647FE4"/>
    <w:multiLevelType w:val="hybridMultilevel"/>
    <w:lvl w:ilvl="0">
      <w:lvlJc w:val="left"/>
      <w:lvlText w:val="(%1)"/>
      <w:numFmt w:val="lowerLetter"/>
      <w:start w:val="2"/>
    </w:lvl>
  </w:abstractNum>
  <w:abstractNum w:abstractNumId="187">
    <w:nsid w:val="E0BB885"/>
    <w:multiLevelType w:val="hybridMultilevel"/>
    <w:lvl w:ilvl="0">
      <w:lvlJc w:val="left"/>
      <w:lvlText w:val="%1."/>
      <w:numFmt w:val="decimal"/>
      <w:start w:val="6"/>
    </w:lvl>
  </w:abstractNum>
  <w:abstractNum w:abstractNumId="188">
    <w:nsid w:val="565976F1"/>
    <w:multiLevelType w:val="hybridMultilevel"/>
    <w:lvl w:ilvl="0">
      <w:lvlJc w:val="left"/>
      <w:lvlText w:val="%1."/>
      <w:numFmt w:val="decimal"/>
      <w:start w:val="9"/>
    </w:lvl>
  </w:abstractNum>
  <w:abstractNum w:abstractNumId="189">
    <w:nsid w:val="64212B8C"/>
    <w:multiLevelType w:val="hybridMultilevel"/>
    <w:lvl w:ilvl="0">
      <w:lvlJc w:val="left"/>
      <w:lvlText w:val="(%1)"/>
      <w:numFmt w:val="lowerLetter"/>
      <w:start w:val="2"/>
    </w:lvl>
  </w:abstractNum>
  <w:abstractNum w:abstractNumId="190">
    <w:nsid w:val="5C17530C"/>
    <w:multiLevelType w:val="hybridMultilevel"/>
    <w:lvl w:ilvl="0">
      <w:lvlJc w:val="left"/>
      <w:lvlText w:val="%1."/>
      <w:numFmt w:val="decimal"/>
      <w:start w:val="11"/>
    </w:lvl>
  </w:abstractNum>
  <w:abstractNum w:abstractNumId="191">
    <w:nsid w:val="19A52566"/>
    <w:multiLevelType w:val="hybridMultilevel"/>
    <w:lvl w:ilvl="0">
      <w:lvlJc w:val="left"/>
      <w:lvlText w:val="%1."/>
      <w:numFmt w:val="decimal"/>
      <w:start w:val="12"/>
    </w:lvl>
  </w:abstractNum>
  <w:abstractNum w:abstractNumId="192">
    <w:nsid w:val="335A1DF1"/>
    <w:multiLevelType w:val="hybridMultilevel"/>
    <w:lvl w:ilvl="0">
      <w:lvlJc w:val="left"/>
      <w:lvlText w:val="(%1)"/>
      <w:numFmt w:val="lowerLetter"/>
      <w:start w:val="2"/>
    </w:lvl>
  </w:abstractNum>
  <w:abstractNum w:abstractNumId="193">
    <w:nsid w:val="28677B7C"/>
    <w:multiLevelType w:val="hybridMultilevel"/>
    <w:lvl w:ilvl="0">
      <w:lvlJc w:val="left"/>
      <w:lvlText w:val="%1."/>
      <w:numFmt w:val="decimal"/>
      <w:start w:val="15"/>
    </w:lvl>
  </w:abstractNum>
  <w:abstractNum w:abstractNumId="194">
    <w:nsid w:val="378D97C0"/>
    <w:multiLevelType w:val="hybridMultilevel"/>
    <w:lvl w:ilvl="0">
      <w:lvlJc w:val="left"/>
      <w:lvlText w:val="(%1)"/>
      <w:numFmt w:val="lowerLetter"/>
      <w:start w:val="2"/>
    </w:lvl>
  </w:abstractNum>
  <w:abstractNum w:abstractNumId="195">
    <w:nsid w:val="1D91467C"/>
    <w:multiLevelType w:val="hybridMultilevel"/>
    <w:lvl w:ilvl="0">
      <w:lvlJc w:val="left"/>
      <w:lvlText w:val="(%1)"/>
      <w:numFmt w:val="lowerLetter"/>
      <w:start w:val="5"/>
    </w:lvl>
  </w:abstractNum>
  <w:abstractNum w:abstractNumId="196">
    <w:nsid w:val="316032BB"/>
    <w:multiLevelType w:val="hybridMultilevel"/>
    <w:lvl w:ilvl="0">
      <w:lvlJc w:val="left"/>
      <w:lvlText w:val="(%1)"/>
      <w:numFmt w:val="lowerLetter"/>
      <w:start w:val="11"/>
    </w:lvl>
  </w:abstractNum>
  <w:abstractNum w:abstractNumId="197">
    <w:nsid w:val="44344C22"/>
    <w:multiLevelType w:val="hybridMultilevel"/>
    <w:lvl w:ilvl="0">
      <w:lvlJc w:val="left"/>
      <w:lvlText w:val="%1."/>
      <w:numFmt w:val="decimal"/>
      <w:start w:val="17"/>
    </w:lvl>
  </w:abstractNum>
  <w:abstractNum w:abstractNumId="198">
    <w:nsid w:val="13CDFCFC"/>
    <w:multiLevelType w:val="hybridMultilevel"/>
    <w:lvl w:ilvl="0">
      <w:lvlJc w:val="left"/>
      <w:lvlText w:val="%1."/>
      <w:numFmt w:val="decimal"/>
      <w:start w:val="1"/>
    </w:lvl>
  </w:abstractNum>
  <w:abstractNum w:abstractNumId="199">
    <w:nsid w:val="471745E4"/>
    <w:multiLevelType w:val="hybridMultilevel"/>
    <w:lvl w:ilvl="0">
      <w:lvlJc w:val="left"/>
      <w:lvlText w:val="%1."/>
      <w:numFmt w:val="decimal"/>
      <w:start w:val="2"/>
    </w:lvl>
  </w:abstractNum>
  <w:abstractNum w:abstractNumId="200">
    <w:nsid w:val="1DDBC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01">
    <w:nsid w:val="30AADFD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2">
    <w:nsid w:val="30EADA6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03">
    <w:nsid w:val="27179C0B"/>
    <w:multiLevelType w:val="hybridMultilevel"/>
    <w:lvl w:ilvl="0">
      <w:lvlJc w:val="left"/>
      <w:lvlText w:val="%1."/>
      <w:numFmt w:val="decimal"/>
      <w:start w:val="6"/>
    </w:lvl>
    <w:lvl w:ilvl="1">
      <w:lvlJc w:val="left"/>
      <w:lvlText w:val="%2."/>
      <w:numFmt w:val="lowerLetter"/>
      <w:start w:val="2"/>
    </w:lvl>
  </w:abstractNum>
  <w:abstractNum w:abstractNumId="204">
    <w:nsid w:val="5E636063"/>
    <w:multiLevelType w:val="hybridMultilevel"/>
    <w:lvl w:ilvl="0">
      <w:lvlJc w:val="left"/>
      <w:lvlText w:val="%1."/>
      <w:numFmt w:val="decimal"/>
      <w:start w:val="7"/>
    </w:lvl>
  </w:abstractNum>
  <w:abstractNum w:abstractNumId="205">
    <w:nsid w:val="215641AF"/>
    <w:multiLevelType w:val="hybridMultilevel"/>
    <w:lvl w:ilvl="0">
      <w:lvlJc w:val="left"/>
      <w:lvlText w:val="%1."/>
      <w:numFmt w:val="decimal"/>
      <w:start w:val="10"/>
    </w:lvl>
    <w:lvl w:ilvl="1">
      <w:lvlJc w:val="left"/>
      <w:lvlText w:val="%2"/>
      <w:numFmt w:val="lowerLetter"/>
      <w:start w:val="1"/>
    </w:lvl>
  </w:abstractNum>
  <w:abstractNum w:abstractNumId="206">
    <w:nsid w:val="53280662"/>
    <w:multiLevelType w:val="hybridMultilevel"/>
    <w:lvl w:ilvl="0">
      <w:lvlJc w:val="left"/>
      <w:lvlText w:val="(%1)"/>
      <w:numFmt w:val="decimal"/>
      <w:start w:val="7"/>
    </w:lvl>
  </w:abstractNum>
  <w:abstractNum w:abstractNumId="207">
    <w:nsid w:val="46B24DBC"/>
    <w:multiLevelType w:val="hybridMultilevel"/>
    <w:lvl w:ilvl="0">
      <w:lvlJc w:val="left"/>
      <w:lvlText w:val="%1."/>
      <w:numFmt w:val="decimal"/>
      <w:start w:val="17"/>
    </w:lvl>
  </w:abstractNum>
  <w:abstractNum w:abstractNumId="208">
    <w:nsid w:val="75B52783"/>
    <w:multiLevelType w:val="hybridMultilevel"/>
    <w:lvl w:ilvl="0">
      <w:lvlJc w:val="left"/>
      <w:lvlText w:val="%1."/>
      <w:numFmt w:val="decimal"/>
      <w:start w:val="1"/>
    </w:lvl>
  </w:abstractNum>
  <w:abstractNum w:abstractNumId="209">
    <w:nsid w:val="57CE66B4"/>
    <w:multiLevelType w:val="hybridMultilevel"/>
    <w:lvl w:ilvl="0">
      <w:lvlJc w:val="left"/>
      <w:lvlText w:val="%1."/>
      <w:numFmt w:val="decimal"/>
      <w:start w:val="2"/>
    </w:lvl>
  </w:abstractNum>
  <w:abstractNum w:abstractNumId="210">
    <w:nsid w:val="67A70B69"/>
    <w:multiLevelType w:val="hybridMultilevel"/>
    <w:lvl w:ilvl="0">
      <w:lvlJc w:val="left"/>
      <w:lvlText w:val="%1"/>
      <w:numFmt w:val="lowerLetter"/>
      <w:start w:val="1"/>
    </w:lvl>
    <w:lvl w:ilvl="1">
      <w:lvlJc w:val="left"/>
      <w:lvlText w:val="(%2)"/>
      <w:numFmt w:val="lowerLetter"/>
      <w:start w:val="2"/>
    </w:lvl>
  </w:abstractNum>
  <w:abstractNum w:abstractNumId="211">
    <w:nsid w:val="5953172F"/>
    <w:multiLevelType w:val="hybridMultilevel"/>
    <w:lvl w:ilvl="0">
      <w:lvlJc w:val="left"/>
      <w:lvlText w:val="(%1)"/>
      <w:numFmt w:val="lowerLetter"/>
      <w:start w:val="61"/>
    </w:lvl>
    <w:lvl w:ilvl="1">
      <w:lvlJc w:val="left"/>
      <w:lvlText w:val="(%2)"/>
      <w:numFmt w:val="lowerLetter"/>
      <w:start w:val="3"/>
    </w:lvl>
  </w:abstractNum>
  <w:abstractNum w:abstractNumId="212">
    <w:nsid w:val="27EDFE3A"/>
    <w:multiLevelType w:val="hybridMultilevel"/>
    <w:lvl w:ilvl="0">
      <w:lvlJc w:val="left"/>
      <w:lvlText w:val="(%1)"/>
      <w:numFmt w:val="lowerRoman"/>
      <w:start w:val="1"/>
    </w:lvl>
  </w:abstractNum>
  <w:abstractNum w:abstractNumId="213">
    <w:nsid w:val="52AC7DFF"/>
    <w:multiLevelType w:val="hybridMultilevel"/>
    <w:lvl w:ilvl="0">
      <w:lvlJc w:val="left"/>
      <w:lvlText w:val="(%1)"/>
      <w:numFmt w:val="lowerRoman"/>
      <w:start w:val="3"/>
    </w:lvl>
  </w:abstractNum>
  <w:abstractNum w:abstractNumId="214">
    <w:nsid w:val="C4C3AF"/>
    <w:multiLevelType w:val="hybridMultilevel"/>
    <w:lvl w:ilvl="0">
      <w:lvlJc w:val="left"/>
      <w:lvlText w:val="(%1)"/>
      <w:numFmt w:val="lowerLetter"/>
      <w:start w:val="4"/>
    </w:lvl>
  </w:abstractNum>
  <w:abstractNum w:abstractNumId="215">
    <w:nsid w:val="44380727"/>
    <w:multiLevelType w:val="hybridMultilevel"/>
    <w:lvl w:ilvl="0">
      <w:lvlJc w:val="left"/>
      <w:lvlText w:val="(%1)"/>
      <w:numFmt w:val="lowerRoman"/>
      <w:start w:val="2"/>
    </w:lvl>
  </w:abstractNum>
  <w:abstractNum w:abstractNumId="216">
    <w:nsid w:val="6C053B16"/>
    <w:multiLevelType w:val="hybridMultilevel"/>
    <w:lvl w:ilvl="0">
      <w:lvlJc w:val="left"/>
      <w:lvlText w:val="%1."/>
      <w:numFmt w:val="upperLetter"/>
      <w:start w:val="9"/>
    </w:lvl>
  </w:abstractNum>
  <w:abstractNum w:abstractNumId="217">
    <w:nsid w:val="4F294393"/>
    <w:multiLevelType w:val="hybridMultilevel"/>
    <w:lvl w:ilvl="0">
      <w:lvlJc w:val="left"/>
      <w:lvlText w:val="%1."/>
      <w:numFmt w:val="upperLetter"/>
      <w:start w:val="35"/>
    </w:lvl>
  </w:abstractNum>
  <w:abstractNum w:abstractNumId="218">
    <w:nsid w:val="5243BFAC"/>
    <w:multiLevelType w:val="hybridMultilevel"/>
    <w:lvl w:ilvl="0">
      <w:lvlJc w:val="left"/>
      <w:lvlText w:val="(%1)"/>
      <w:numFmt w:val="lowerRoman"/>
      <w:start w:val="3"/>
    </w:lvl>
  </w:abstractNum>
  <w:abstractNum w:abstractNumId="219">
    <w:nsid w:val="425EB207"/>
    <w:multiLevelType w:val="hybridMultilevel"/>
    <w:lvl w:ilvl="0">
      <w:lvlJc w:val="left"/>
      <w:lvlText w:val="(%1)"/>
      <w:numFmt w:val="lowerLetter"/>
      <w:start w:val="5"/>
    </w:lvl>
  </w:abstractNum>
  <w:abstractNum w:abstractNumId="220">
    <w:nsid w:val="334A6F1F"/>
    <w:multiLevelType w:val="hybridMultilevel"/>
    <w:lvl w:ilvl="0">
      <w:lvlJc w:val="left"/>
      <w:lvlText w:val="(%1)"/>
      <w:numFmt w:val="lowerRoman"/>
      <w:start w:val="2"/>
    </w:lvl>
  </w:abstractNum>
  <w:abstractNum w:abstractNumId="221">
    <w:nsid w:val="2E5B12B8"/>
    <w:multiLevelType w:val="hybridMultilevel"/>
    <w:lvl w:ilvl="0">
      <w:lvlJc w:val="left"/>
      <w:lvlText w:val="(%1)"/>
      <w:numFmt w:val="decimal"/>
      <w:start w:val="30"/>
    </w:lvl>
    <w:lvl w:ilvl="1">
      <w:lvlJc w:val="left"/>
      <w:lvlText w:val="(%2)"/>
      <w:numFmt w:val="lowerLetter"/>
      <w:start w:val="6"/>
    </w:lvl>
  </w:abstractNum>
  <w:abstractNum w:abstractNumId="222">
    <w:nsid w:val="5C03D76D"/>
    <w:multiLevelType w:val="hybridMultilevel"/>
    <w:lvl w:ilvl="0">
      <w:lvlJc w:val="left"/>
      <w:lvlText w:val="(%1)"/>
      <w:numFmt w:val="lowerLetter"/>
      <w:start w:val="7"/>
    </w:lvl>
  </w:abstractNum>
  <w:abstractNum w:abstractNumId="223">
    <w:nsid w:val="66A48D11"/>
    <w:multiLevelType w:val="hybridMultilevel"/>
    <w:lvl w:ilvl="0">
      <w:lvlJc w:val="left"/>
      <w:lvlText w:val="%1."/>
      <w:numFmt w:val="decimal"/>
      <w:start w:val="4"/>
    </w:lvl>
  </w:abstractNum>
  <w:abstractNum w:abstractNumId="224">
    <w:nsid w:val="56C28E34"/>
    <w:multiLevelType w:val="hybridMultilevel"/>
    <w:lvl w:ilvl="0">
      <w:lvlJc w:val="left"/>
      <w:lvlText w:val="%1"/>
      <w:numFmt w:val="lowerRoman"/>
      <w:start w:val="1"/>
    </w:lvl>
    <w:lvl w:ilvl="1">
      <w:lvlJc w:val="left"/>
      <w:lvlText w:val="%2."/>
      <w:numFmt w:val="decimal"/>
      <w:start w:val="5"/>
    </w:lvl>
  </w:abstractNum>
  <w:abstractNum w:abstractNumId="225">
    <w:nsid w:val="13916F2D"/>
    <w:multiLevelType w:val="hybridMultilevel"/>
    <w:lvl w:ilvl="0">
      <w:lvlJc w:val="left"/>
      <w:lvlText w:val="(%1)"/>
      <w:numFmt w:val="lowerRoman"/>
      <w:start w:val="2"/>
    </w:lvl>
    <w:lvl w:ilvl="1">
      <w:lvlJc w:val="left"/>
      <w:lvlText w:val="%2"/>
      <w:numFmt w:val="decimal"/>
      <w:start w:val="1"/>
    </w:lvl>
  </w:abstractNum>
  <w:abstractNum w:abstractNumId="226">
    <w:nsid w:val="435D38D"/>
    <w:multiLevelType w:val="hybridMultilevel"/>
    <w:lvl w:ilvl="0">
      <w:lvlJc w:val="left"/>
      <w:lvlText w:val="(%1)"/>
      <w:numFmt w:val="lowerLetter"/>
      <w:start w:val="2"/>
    </w:lvl>
  </w:abstractNum>
  <w:abstractNum w:abstractNumId="227">
    <w:nsid w:val="822C0EF"/>
    <w:multiLevelType w:val="hybridMultilevel"/>
    <w:lvl w:ilvl="0">
      <w:lvlJc w:val="left"/>
      <w:lvlText w:val="%1."/>
      <w:numFmt w:val="decimal"/>
      <w:start w:val="6"/>
    </w:lvl>
  </w:abstractNum>
  <w:abstractNum w:abstractNumId="228">
    <w:nsid w:val="57C5BB4F"/>
    <w:multiLevelType w:val="hybridMultilevel"/>
    <w:lvl w:ilvl="0">
      <w:lvlJc w:val="left"/>
      <w:lvlText w:val="%1."/>
      <w:numFmt w:val="decimal"/>
      <w:start w:val="9"/>
    </w:lvl>
  </w:abstractNum>
  <w:abstractNum w:abstractNumId="229">
    <w:nsid w:val="1803D089"/>
    <w:multiLevelType w:val="hybridMultilevel"/>
    <w:lvl w:ilvl="0">
      <w:lvlJc w:val="left"/>
      <w:lvlText w:val="(%1)"/>
      <w:numFmt w:val="lowerLetter"/>
      <w:start w:val="2"/>
    </w:lvl>
  </w:abstractNum>
  <w:abstractNum w:abstractNumId="230">
    <w:nsid w:val="4F3A06D4"/>
    <w:multiLevelType w:val="hybridMultilevel"/>
    <w:lvl w:ilvl="0">
      <w:lvlJc w:val="left"/>
      <w:lvlText w:val="%1."/>
      <w:numFmt w:val="decimal"/>
      <w:start w:val="11"/>
    </w:lvl>
  </w:abstractNum>
  <w:abstractNum w:abstractNumId="231">
    <w:nsid w:val="59A377B6"/>
    <w:multiLevelType w:val="hybridMultilevel"/>
    <w:lvl w:ilvl="0">
      <w:lvlJc w:val="left"/>
      <w:lvlText w:val="%1."/>
      <w:numFmt w:val="decimal"/>
      <w:start w:val="12"/>
    </w:lvl>
  </w:abstractNum>
  <w:abstractNum w:abstractNumId="232">
    <w:nsid w:val="48AEB063"/>
    <w:multiLevelType w:val="hybridMultilevel"/>
    <w:lvl w:ilvl="0">
      <w:lvlJc w:val="left"/>
      <w:lvlText w:val="(%1)"/>
      <w:numFmt w:val="lowerLetter"/>
      <w:start w:val="2"/>
    </w:lvl>
  </w:abstractNum>
  <w:abstractNum w:abstractNumId="233">
    <w:nsid w:val="24E135"/>
    <w:multiLevelType w:val="hybridMultilevel"/>
    <w:lvl w:ilvl="0">
      <w:lvlJc w:val="left"/>
      <w:lvlText w:val="%1."/>
      <w:numFmt w:val="decimal"/>
      <w:start w:val="15"/>
    </w:lvl>
  </w:abstractNum>
  <w:abstractNum w:abstractNumId="234">
    <w:nsid w:val="BB13C1"/>
    <w:multiLevelType w:val="hybridMultilevel"/>
    <w:lvl w:ilvl="0">
      <w:lvlJc w:val="left"/>
      <w:lvlText w:val="(%1)"/>
      <w:numFmt w:val="lowerLetter"/>
      <w:start w:val="2"/>
    </w:lvl>
  </w:abstractNum>
  <w:abstractNum w:abstractNumId="235">
    <w:nsid w:val="271210C7"/>
    <w:multiLevelType w:val="hybridMultilevel"/>
    <w:lvl w:ilvl="0">
      <w:lvlJc w:val="left"/>
      <w:lvlText w:val="(%1)"/>
      <w:numFmt w:val="lowerLetter"/>
      <w:start w:val="5"/>
    </w:lvl>
  </w:abstractNum>
  <w:abstractNum w:abstractNumId="236">
    <w:nsid w:val="217B22E4"/>
    <w:multiLevelType w:val="hybridMultilevel"/>
    <w:lvl w:ilvl="0">
      <w:lvlJc w:val="left"/>
      <w:lvlText w:val="(%1)"/>
      <w:numFmt w:val="lowerLetter"/>
      <w:start w:val="12"/>
    </w:lvl>
  </w:abstractNum>
  <w:abstractNum w:abstractNumId="237">
    <w:nsid w:val="53E31A24"/>
    <w:multiLevelType w:val="hybridMultilevel"/>
    <w:lvl w:ilvl="0">
      <w:lvlJc w:val="left"/>
      <w:lvlText w:val="%1."/>
      <w:numFmt w:val="decimal"/>
      <w:start w:val="17"/>
    </w:lvl>
  </w:abstractNum>
  <w:abstractNum w:abstractNumId="238">
    <w:nsid w:val="6DC45E83"/>
    <w:multiLevelType w:val="hybridMultilevel"/>
    <w:lvl w:ilvl="0">
      <w:lvlJc w:val="left"/>
      <w:lvlText w:val="%1."/>
      <w:numFmt w:val="decimal"/>
      <w:start w:val="1"/>
    </w:lvl>
  </w:abstractNum>
  <w:abstractNum w:abstractNumId="239">
    <w:nsid w:val="17304A67"/>
    <w:multiLevelType w:val="hybridMultilevel"/>
    <w:lvl w:ilvl="0">
      <w:lvlJc w:val="left"/>
      <w:lvlText w:val="%1."/>
      <w:numFmt w:val="decimal"/>
      <w:start w:val="2"/>
    </w:lvl>
  </w:abstractNum>
  <w:abstractNum w:abstractNumId="240">
    <w:nsid w:val="2BB180D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1">
    <w:nsid w:val="556B69E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42">
    <w:nsid w:val="7083619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43">
    <w:nsid w:val="539F7F12"/>
    <w:multiLevelType w:val="hybridMultilevel"/>
    <w:lvl w:ilvl="0">
      <w:lvlJc w:val="left"/>
      <w:lvlText w:val="%1."/>
      <w:numFmt w:val="decimal"/>
      <w:start w:val="6"/>
    </w:lvl>
    <w:lvl w:ilvl="1">
      <w:lvlJc w:val="left"/>
      <w:lvlText w:val="%2."/>
      <w:numFmt w:val="lowerLetter"/>
      <w:start w:val="2"/>
    </w:lvl>
  </w:abstractNum>
  <w:abstractNum w:abstractNumId="244">
    <w:nsid w:val="2817E7EC"/>
    <w:multiLevelType w:val="hybridMultilevel"/>
    <w:lvl w:ilvl="0">
      <w:lvlJc w:val="left"/>
      <w:lvlText w:val="%1."/>
      <w:numFmt w:val="decimal"/>
      <w:start w:val="7"/>
    </w:lvl>
  </w:abstractNum>
  <w:abstractNum w:abstractNumId="245">
    <w:nsid w:val="71482545"/>
    <w:multiLevelType w:val="hybridMultilevel"/>
    <w:lvl w:ilvl="0">
      <w:lvlJc w:val="left"/>
      <w:lvlText w:val="%1."/>
      <w:numFmt w:val="decimal"/>
      <w:start w:val="10"/>
    </w:lvl>
    <w:lvl w:ilvl="1">
      <w:lvlJc w:val="left"/>
      <w:lvlText w:val="%2."/>
      <w:numFmt w:val="lowerLetter"/>
      <w:start w:val="2"/>
    </w:lvl>
  </w:abstractNum>
  <w:abstractNum w:abstractNumId="246">
    <w:nsid w:val="17D78639"/>
    <w:multiLevelType w:val="hybridMultilevel"/>
    <w:lvl w:ilvl="0">
      <w:lvlJc w:val="left"/>
      <w:lvlText w:val="(%1)"/>
      <w:numFmt w:val="decimal"/>
      <w:start w:val="7"/>
    </w:lvl>
  </w:abstractNum>
  <w:abstractNum w:abstractNumId="247">
    <w:nsid w:val="141D2302"/>
    <w:multiLevelType w:val="hybridMultilevel"/>
    <w:lvl w:ilvl="0">
      <w:lvlJc w:val="left"/>
      <w:lvlText w:val="%1."/>
      <w:numFmt w:val="decimal"/>
      <w:start w:val="17"/>
    </w:lvl>
  </w:abstractNum>
  <w:abstractNum w:abstractNumId="248">
    <w:nsid w:val="407168D8"/>
    <w:multiLevelType w:val="hybridMultilevel"/>
    <w:lvl w:ilvl="0">
      <w:lvlJc w:val="left"/>
      <w:lvlText w:val="(%1)"/>
      <w:numFmt w:val="lowerLetter"/>
      <w:start w:val="1"/>
    </w:lvl>
    <w:lvl w:ilvl="1">
      <w:lvlJc w:val="left"/>
      <w:lvlText w:val="•"/>
      <w:numFmt w:val="bullet"/>
      <w:start w:val="1"/>
    </w:lvl>
  </w:abstractNum>
  <w:abstractNum w:abstractNumId="249">
    <w:nsid w:val="6A1B45E5"/>
    <w:multiLevelType w:val="hybridMultilevel"/>
    <w:lvl w:ilvl="0">
      <w:lvlJc w:val="left"/>
      <w:lvlText w:val="%1."/>
      <w:numFmt w:val="decimal"/>
      <w:start w:val="1"/>
    </w:lvl>
    <w:lvl w:ilvl="1">
      <w:lvlJc w:val="left"/>
      <w:lvlText w:val="(%2)"/>
      <w:numFmt w:val="lowerLetter"/>
      <w:start w:val="1"/>
    </w:lvl>
  </w:abstractNum>
  <w:abstractNum w:abstractNumId="250">
    <w:nsid w:val="567BD50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2019-12-29T12:46:39Z</dcterms:created>
  <dcterms:modified xsi:type="dcterms:W3CDTF">2019-12-29T12:46:39Z</dcterms:modified>
</cp:coreProperties>
</file>