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2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71"/>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339"/>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244"/>
        </w:trPr>
        <w:tc>
          <w:tcPr>
            <w:tcW w:w="288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52"/>
        </w:trPr>
        <w:tc>
          <w:tcPr>
            <w:tcW w:w="2880" w:type="dxa"/>
            <w:vAlign w:val="bottom"/>
          </w:tcPr>
          <w:p>
            <w:pPr>
              <w:spacing w:after="0"/>
              <w:rPr>
                <w:sz w:val="24"/>
                <w:szCs w:val="24"/>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30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365"/>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22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23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4" w:lineRule="exact"/>
        <w:rPr>
          <w:sz w:val="24"/>
          <w:szCs w:val="24"/>
          <w:color w:val="auto"/>
        </w:rPr>
      </w:pPr>
    </w:p>
    <w:p>
      <w:pPr>
        <w:sectPr>
          <w:pgSz w:w="11900" w:h="16838" w:orient="portrait"/>
          <w:cols w:equalWidth="0" w:num="3">
            <w:col w:w="5240" w:space="720"/>
            <w:col w:w="2020" w:space="100"/>
            <w:col w:w="3280"/>
          </w:cols>
          <w:pgMar w:left="240" w:top="230" w:right="299" w:bottom="1440" w:gutter="0" w:footer="0" w:header="0"/>
          <w:type w:val="continuous"/>
        </w:sect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0"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As of July 30, 2009, there were 88,104,756 shares of the registrant’s Class A common stock (including 10,360,118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assets other than indirect ownership as of June 30, 2009 of approximately 71.2%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gridSpan w:val="14"/>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Item 4. Submission of Matters to a Vote of Security Holders</w:t>
              </w:r>
            </w:hyperlink>
          </w:p>
        </w:tc>
        <w:tc>
          <w:tcPr>
            <w:tcW w:w="64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5.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820" w:type="dxa"/>
            <w:vAlign w:val="bottom"/>
            <w:gridSpan w:val="6"/>
          </w:tcPr>
          <w:p>
            <w:pPr>
              <w:jc w:val="center"/>
              <w:ind w:right="204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480" w:type="dxa"/>
            <w:vAlign w:val="bottom"/>
            <w:gridSpan w:val="7"/>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June 30, 2009 and December 31,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8"/>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320" w:type="dxa"/>
            <w:vAlign w:val="bottom"/>
            <w:tcBorders>
              <w:top w:val="single" w:sz="8" w:color="0000EE"/>
            </w:tcBorders>
            <w:gridSpan w:val="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for the three month and six month periods ended</w:t>
              </w:r>
            </w:hyperlink>
          </w:p>
        </w:tc>
        <w:tc>
          <w:tcPr>
            <w:tcW w:w="33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June 30, 2009 and 2008</w:t>
              </w:r>
            </w:hyperlink>
          </w:p>
        </w:tc>
        <w:tc>
          <w:tcPr>
            <w:tcW w:w="36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six month periods ended</w:t>
              </w:r>
            </w:hyperlink>
          </w:p>
        </w:tc>
        <w:tc>
          <w:tcPr>
            <w:tcW w:w="48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80" w:type="dxa"/>
            <w:vAlign w:val="bottom"/>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2009 and 2008</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 xml:space="preserve">Condensed Consolidated Statements of Changes in Stockholders’ Equity for the six month periods ended June 30, 2009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2008</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4560" w:type="dxa"/>
            <w:vAlign w:val="bottom"/>
            <w:tcBorders>
              <w:top w:val="single" w:sz="8" w:color="0000EE"/>
            </w:tcBorders>
            <w:gridSpan w:val="4"/>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3"/>
          </w:tcPr>
          <w:p>
            <w:pPr>
              <w:jc w:val="right"/>
              <w:ind w:right="58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895,984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909,707</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0" w:type="dxa"/>
            <w:vAlign w:val="bottom"/>
          </w:tcPr>
          <w:p>
            <w:pPr>
              <w:spacing w:after="0"/>
              <w:rPr>
                <w:sz w:val="18"/>
                <w:szCs w:val="18"/>
                <w:color w:val="auto"/>
              </w:rPr>
            </w:pPr>
          </w:p>
        </w:tc>
      </w:tr>
      <w:tr>
        <w:trPr>
          <w:trHeight w:val="282"/>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229,092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Fees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329,675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391,251</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81,806</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712,526</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224,147</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215,792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618,005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619,967</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4"/>
              </w:rPr>
              <w:t>Property (net of accumulated amortization and depreciation of $227,455 and $213,249 at June 30, 2009 and December 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 respectively)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168,098</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171,443</w:t>
            </w:r>
          </w:p>
        </w:tc>
        <w:tc>
          <w:tcPr>
            <w:tcW w:w="20" w:type="dxa"/>
            <w:vAlign w:val="bottom"/>
          </w:tcPr>
          <w:p>
            <w:pPr>
              <w:spacing w:after="0"/>
              <w:rPr>
                <w:sz w:val="19"/>
                <w:szCs w:val="19"/>
                <w:color w:val="auto"/>
              </w:rPr>
            </w:pPr>
          </w:p>
        </w:tc>
      </w:tr>
      <w:tr>
        <w:trPr>
          <w:trHeight w:val="316"/>
        </w:trPr>
        <w:tc>
          <w:tcPr>
            <w:tcW w:w="9240" w:type="dxa"/>
            <w:vAlign w:val="bottom"/>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$2,838 and $2,150 at June 30, 2009 and December</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31, 2008, respectively)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189,613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175,144</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244,600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259,561</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2,653,330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2,862,931</w:t>
            </w:r>
          </w:p>
        </w:tc>
      </w:tr>
      <w:tr>
        <w:trPr>
          <w:trHeight w:val="20"/>
        </w:trPr>
        <w:tc>
          <w:tcPr>
            <w:tcW w:w="9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2009 AND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382,334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139,430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2,277,348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- 31,745 shares issued and outstanding at June 30, 2009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Class A, par value $.01 per share (500,000,000 shares authorized; 86,961,899 and 76,294,912 shares issued at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June 30, 2009 and December 31, 2008, respectively, including shares held by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subsidiary as indicated below)</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88"/>
              </w:rPr>
              <w:t>Class B, par value $.01 per share (1 share authorized, issued and outstanding at June 30, 2009 and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108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179,144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Less - Class A common stock held by a subsidiary, at cost (10,597,691 and 9,376,162 shares at June 30, 2009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2008,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(346,406)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(321,852)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Lazard Ltd 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2,653,330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2,862,931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08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960" w:type="dxa"/>
            <w:vAlign w:val="bottom"/>
            <w:gridSpan w:val="2"/>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980" w:type="dxa"/>
            <w:vAlign w:val="bottom"/>
          </w:tcPr>
          <w:p>
            <w:pPr>
              <w:jc w:val="right"/>
              <w:spacing w:after="0"/>
              <w:rPr>
                <w:sz w:val="20"/>
                <w:szCs w:val="20"/>
                <w:color w:val="auto"/>
              </w:rPr>
            </w:pPr>
            <w:r>
              <w:rPr>
                <w:rFonts w:ascii="Arial" w:cs="Arial" w:eastAsia="Arial" w:hAnsi="Arial"/>
                <w:sz w:val="18"/>
                <w:szCs w:val="18"/>
                <w:color w:val="auto"/>
              </w:rPr>
              <w:t>120,301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402,733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467,388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980" w:type="dxa"/>
            <w:vAlign w:val="bottom"/>
          </w:tcPr>
          <w:p>
            <w:pPr>
              <w:jc w:val="right"/>
              <w:spacing w:after="0"/>
              <w:rPr>
                <w:sz w:val="20"/>
                <w:szCs w:val="20"/>
                <w:color w:val="auto"/>
              </w:rPr>
            </w:pPr>
            <w:r>
              <w:rPr>
                <w:rFonts w:ascii="Arial" w:cs="Arial" w:eastAsia="Arial" w:hAnsi="Arial"/>
                <w:sz w:val="18"/>
                <w:szCs w:val="18"/>
                <w:color w:val="auto"/>
              </w:rPr>
              <w:t>19,990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51,771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980" w:type="dxa"/>
            <w:vAlign w:val="bottom"/>
          </w:tcPr>
          <w:p>
            <w:pPr>
              <w:jc w:val="right"/>
              <w:spacing w:after="0"/>
              <w:rPr>
                <w:sz w:val="20"/>
                <w:szCs w:val="20"/>
                <w:color w:val="auto"/>
              </w:rPr>
            </w:pPr>
            <w:r>
              <w:rPr>
                <w:rFonts w:ascii="Arial" w:cs="Arial" w:eastAsia="Arial" w:hAnsi="Arial"/>
                <w:sz w:val="18"/>
                <w:szCs w:val="18"/>
                <w:color w:val="auto"/>
              </w:rPr>
              <w:t>16,156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17,089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980" w:type="dxa"/>
            <w:vAlign w:val="bottom"/>
          </w:tcPr>
          <w:p>
            <w:pPr>
              <w:jc w:val="right"/>
              <w:spacing w:after="0"/>
              <w:rPr>
                <w:sz w:val="20"/>
                <w:szCs w:val="20"/>
                <w:color w:val="auto"/>
              </w:rPr>
            </w:pPr>
            <w:r>
              <w:rPr>
                <w:rFonts w:ascii="Arial" w:cs="Arial" w:eastAsia="Arial" w:hAnsi="Arial"/>
                <w:sz w:val="18"/>
                <w:szCs w:val="18"/>
                <w:color w:val="auto"/>
              </w:rPr>
              <w:t>8,057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13,143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318,679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980" w:type="dxa"/>
            <w:vAlign w:val="bottom"/>
          </w:tcPr>
          <w:p>
            <w:pPr>
              <w:jc w:val="right"/>
              <w:spacing w:after="0"/>
              <w:rPr>
                <w:sz w:val="20"/>
                <w:szCs w:val="20"/>
                <w:color w:val="auto"/>
              </w:rPr>
            </w:pPr>
            <w:r>
              <w:rPr>
                <w:rFonts w:ascii="Arial" w:cs="Arial" w:eastAsia="Arial" w:hAnsi="Arial"/>
                <w:sz w:val="18"/>
                <w:szCs w:val="18"/>
                <w:color w:val="auto"/>
              </w:rPr>
              <w:t>56,946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105,760</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980" w:type="dxa"/>
            <w:vAlign w:val="bottom"/>
          </w:tcPr>
          <w:p>
            <w:pPr>
              <w:jc w:val="right"/>
              <w:spacing w:after="0"/>
              <w:rPr>
                <w:sz w:val="20"/>
                <w:szCs w:val="20"/>
                <w:color w:val="auto"/>
              </w:rPr>
            </w:pPr>
            <w:r>
              <w:rPr>
                <w:rFonts w:ascii="Arial" w:cs="Arial" w:eastAsia="Arial" w:hAnsi="Arial"/>
                <w:sz w:val="18"/>
                <w:szCs w:val="18"/>
                <w:color w:val="auto"/>
              </w:rPr>
              <w:t>43,427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69,628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(43,167)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82,810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LESS - NET INCOME (LOSS) ATTRIBUTABLE TO NONCONTROLLING INTERESTS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$ 28,187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$ 34,317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(25,309)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$ 42,116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74,935,658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56,416,850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72,539,998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53,198,522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86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127,984,819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126,711,796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72,539,998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113,713,062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 (LOSS) PER SHARE OF COMMON STOCK:</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60"/>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spacing w:after="0"/>
              <w:rPr>
                <w:sz w:val="20"/>
                <w:szCs w:val="20"/>
                <w:color w:val="auto"/>
              </w:rPr>
            </w:pPr>
            <w:r>
              <w:rPr>
                <w:rFonts w:ascii="Arial" w:cs="Arial" w:eastAsia="Arial" w:hAnsi="Arial"/>
                <w:sz w:val="18"/>
                <w:szCs w:val="18"/>
                <w:color w:val="auto"/>
              </w:rPr>
              <w:t>$0.38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DIVIDENDS PAID PER SHARE OF COMMON STOCK</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920" w:type="dxa"/>
            <w:vAlign w:val="bottom"/>
            <w:gridSpan w:val="2"/>
          </w:tcPr>
          <w:p>
            <w:pPr>
              <w:jc w:val="right"/>
              <w:ind w:right="114"/>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6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(43,167)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intangible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158,971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segregated for regulatory purposes or deposited with clearing organizations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183,039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(6,303)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85"/>
              </w:rPr>
              <w:t>(173,817)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(99,834)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(484,950)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52,877</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Acquisition of joint venture interest and other equity method investments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(4,131)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Proceeds from available-for-sale securities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(141,307)</w:t>
            </w: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Issuance of Class A common stock</w:t>
            </w:r>
          </w:p>
        </w:tc>
        <w:tc>
          <w:tcPr>
            <w:tcW w:w="100" w:type="dxa"/>
            <w:vAlign w:val="bottom"/>
          </w:tcPr>
          <w:p>
            <w:pPr>
              <w:spacing w:after="0"/>
              <w:rPr>
                <w:sz w:val="19"/>
                <w:szCs w:val="19"/>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437,500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(437,488)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9"/>
                <w:szCs w:val="19"/>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(41,339)</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Class A common stock</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(49,829)</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(162,835)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tcPr>
          <w:p>
            <w:pPr>
              <w:spacing w:after="0"/>
              <w:rPr>
                <w:sz w:val="19"/>
                <w:szCs w:val="19"/>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(13,439)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RSUs and DSUs</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(11,322)</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5"/>
              </w:rPr>
              <w:t>(105,857)</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(214,470)</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14,457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(13,723)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(297,180)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909,707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895,984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758,664</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Preferred stock and Class A common stock issuable in connection with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6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60" w:type="dxa"/>
            <w:vAlign w:val="bottom"/>
            <w:gridSpan w:val="5"/>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Lazard Ltd</w:t>
            </w: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1"/>
                <w:szCs w:val="11"/>
                <w:color w:val="auto"/>
              </w:rPr>
            </w:pPr>
          </w:p>
        </w:tc>
        <w:tc>
          <w:tcPr>
            <w:tcW w:w="1080" w:type="dxa"/>
            <w:vAlign w:val="bottom"/>
            <w:gridSpan w:val="4"/>
          </w:tcPr>
          <w:p>
            <w:pPr>
              <w:jc w:val="right"/>
              <w:ind w:right="140"/>
              <w:spacing w:after="0" w:line="135" w:lineRule="exact"/>
              <w:rPr>
                <w:sz w:val="20"/>
                <w:szCs w:val="20"/>
                <w:color w:val="auto"/>
              </w:rPr>
            </w:pPr>
            <w:r>
              <w:rPr>
                <w:rFonts w:ascii="Arial" w:cs="Arial" w:eastAsia="Arial" w:hAnsi="Arial"/>
                <w:sz w:val="14"/>
                <w:szCs w:val="14"/>
                <w:b w:val="1"/>
                <w:bCs w:val="1"/>
                <w:color w:val="auto"/>
                <w:w w:val="89"/>
              </w:rPr>
              <w:t>Common Stock</w:t>
            </w:r>
          </w:p>
        </w:tc>
        <w:tc>
          <w:tcPr>
            <w:tcW w:w="7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460" w:type="dxa"/>
            <w:vAlign w:val="bottom"/>
            <w:gridSpan w:val="5"/>
          </w:tcPr>
          <w:p>
            <w:pPr>
              <w:jc w:val="center"/>
              <w:ind w:right="180"/>
              <w:spacing w:after="0" w:line="135" w:lineRule="exact"/>
              <w:rPr>
                <w:sz w:val="20"/>
                <w:szCs w:val="20"/>
                <w:color w:val="auto"/>
              </w:rPr>
            </w:pPr>
            <w:r>
              <w:rPr>
                <w:rFonts w:ascii="Arial" w:cs="Arial" w:eastAsia="Arial" w:hAnsi="Arial"/>
                <w:sz w:val="14"/>
                <w:szCs w:val="14"/>
                <w:b w:val="1"/>
                <w:bCs w:val="1"/>
                <w:color w:val="auto"/>
                <w:w w:val="87"/>
              </w:rPr>
              <w:t>Held By A Subsidiary</w:t>
            </w: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restart"/>
          </w:tcPr>
          <w:p>
            <w:pPr>
              <w:jc w:val="right"/>
              <w:ind w:right="220"/>
              <w:spacing w:after="0" w:line="69" w:lineRule="exact"/>
              <w:rPr>
                <w:sz w:val="20"/>
                <w:szCs w:val="20"/>
                <w:color w:val="auto"/>
              </w:rPr>
            </w:pPr>
            <w:r>
              <w:rPr>
                <w:rFonts w:ascii="Arial" w:cs="Arial" w:eastAsia="Arial" w:hAnsi="Arial"/>
                <w:sz w:val="7"/>
                <w:szCs w:val="7"/>
                <w:b w:val="1"/>
                <w:bCs w:val="1"/>
                <w:color w:val="auto"/>
              </w:rPr>
              <w:t>Paid-in-</w:t>
            </w:r>
          </w:p>
        </w:tc>
        <w:tc>
          <w:tcPr>
            <w:tcW w:w="680" w:type="dxa"/>
            <w:vAlign w:val="bottom"/>
            <w:gridSpan w:val="2"/>
            <w:vMerge w:val="restart"/>
          </w:tcPr>
          <w:p>
            <w:pPr>
              <w:jc w:val="right"/>
              <w:ind w:right="160"/>
              <w:spacing w:after="0" w:line="69" w:lineRule="exact"/>
              <w:rPr>
                <w:sz w:val="20"/>
                <w:szCs w:val="20"/>
                <w:color w:val="auto"/>
              </w:rPr>
            </w:pPr>
            <w:r>
              <w:rPr>
                <w:rFonts w:ascii="Arial" w:cs="Arial" w:eastAsia="Arial" w:hAnsi="Arial"/>
                <w:sz w:val="7"/>
                <w:szCs w:val="7"/>
                <w:b w:val="1"/>
                <w:bCs w:val="1"/>
                <w:color w:val="auto"/>
              </w:rPr>
              <w:t>Retained</w:t>
            </w:r>
          </w:p>
        </w:tc>
        <w:tc>
          <w:tcPr>
            <w:tcW w:w="60" w:type="dxa"/>
            <w:vAlign w:val="bottom"/>
          </w:tcPr>
          <w:p>
            <w:pPr>
              <w:spacing w:after="0"/>
              <w:rPr>
                <w:sz w:val="2"/>
                <w:szCs w:val="2"/>
                <w:color w:val="auto"/>
              </w:rPr>
            </w:pPr>
          </w:p>
        </w:tc>
        <w:tc>
          <w:tcPr>
            <w:tcW w:w="1000" w:type="dxa"/>
            <w:vAlign w:val="bottom"/>
            <w:gridSpan w:val="2"/>
            <w:vMerge w:val="restart"/>
          </w:tcPr>
          <w:p>
            <w:pPr>
              <w:jc w:val="center"/>
              <w:ind w:right="200"/>
              <w:spacing w:after="0" w:line="69" w:lineRule="exact"/>
              <w:rPr>
                <w:sz w:val="20"/>
                <w:szCs w:val="20"/>
                <w:color w:val="auto"/>
              </w:rPr>
            </w:pPr>
            <w:r>
              <w:rPr>
                <w:rFonts w:ascii="Arial" w:cs="Arial" w:eastAsia="Arial" w:hAnsi="Arial"/>
                <w:sz w:val="7"/>
                <w:szCs w:val="7"/>
                <w:b w:val="1"/>
                <w:bCs w:val="1"/>
                <w:color w:val="auto"/>
              </w:rPr>
              <w:t>Loss, Net of</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3"/>
            <w:vMerge w:val="restart"/>
          </w:tcPr>
          <w:p>
            <w:pPr>
              <w:jc w:val="center"/>
              <w:ind w:right="160"/>
              <w:spacing w:after="0" w:line="69" w:lineRule="exact"/>
              <w:rPr>
                <w:sz w:val="20"/>
                <w:szCs w:val="20"/>
                <w:color w:val="auto"/>
              </w:rPr>
            </w:pPr>
            <w:r>
              <w:rPr>
                <w:rFonts w:ascii="Arial" w:cs="Arial" w:eastAsia="Arial" w:hAnsi="Arial"/>
                <w:sz w:val="7"/>
                <w:szCs w:val="7"/>
                <w:b w:val="1"/>
                <w:bCs w:val="1"/>
                <w:color w:val="auto"/>
              </w:rPr>
              <w:t>Stockholders’</w:t>
            </w:r>
          </w:p>
        </w:tc>
        <w:tc>
          <w:tcPr>
            <w:tcW w:w="102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Noncontrolling</w:t>
            </w:r>
          </w:p>
        </w:tc>
        <w:tc>
          <w:tcPr>
            <w:tcW w:w="880" w:type="dxa"/>
            <w:vAlign w:val="bottom"/>
            <w:gridSpan w:val="3"/>
            <w:vMerge w:val="restart"/>
          </w:tcPr>
          <w:p>
            <w:pPr>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Shares(*)</w:t>
            </w:r>
          </w:p>
        </w:tc>
        <w:tc>
          <w:tcPr>
            <w:tcW w:w="60" w:type="dxa"/>
            <w:vAlign w:val="bottom"/>
          </w:tcPr>
          <w:p>
            <w:pPr>
              <w:spacing w:after="0"/>
              <w:rPr>
                <w:sz w:val="14"/>
                <w:szCs w:val="14"/>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Tax</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Balance–January 1, 2009</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31,745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center"/>
              <w:ind w:left="12"/>
              <w:spacing w:after="0" w:line="142" w:lineRule="exact"/>
              <w:rPr>
                <w:sz w:val="20"/>
                <w:szCs w:val="20"/>
                <w:color w:val="auto"/>
              </w:rPr>
            </w:pPr>
            <w:r>
              <w:rPr>
                <w:rFonts w:ascii="Arial" w:cs="Arial" w:eastAsia="Arial" w:hAnsi="Arial"/>
                <w:sz w:val="14"/>
                <w:szCs w:val="14"/>
                <w:b w:val="1"/>
                <w:bCs w:val="1"/>
                <w:color w:val="auto"/>
                <w:w w:val="85"/>
              </w:rPr>
              <w:t>76,294,913</w:t>
            </w:r>
          </w:p>
        </w:tc>
        <w:tc>
          <w:tcPr>
            <w:tcW w:w="4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$ 763</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429,694</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$ 221,410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(79,435)</w:t>
            </w:r>
          </w:p>
        </w:tc>
        <w:tc>
          <w:tcPr>
            <w:tcW w:w="7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9,376,162</w:t>
            </w:r>
          </w:p>
        </w:tc>
        <w:tc>
          <w:tcPr>
            <w:tcW w:w="7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1"/>
              </w:rPr>
              <w:t>$(321,852)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250,580</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61,172</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311,752</w:t>
            </w: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(25,309)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(25,309)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(17,858)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(43,167)</w:t>
            </w:r>
          </w:p>
        </w:tc>
        <w:tc>
          <w:tcPr>
            <w:tcW w:w="0" w:type="dxa"/>
            <w:vAlign w:val="bottom"/>
          </w:tcPr>
          <w:p>
            <w:pPr>
              <w:spacing w:after="0"/>
              <w:rPr>
                <w:sz w:val="1"/>
                <w:szCs w:val="1"/>
                <w:color w:val="auto"/>
              </w:rPr>
            </w:pPr>
          </w:p>
        </w:tc>
      </w:tr>
      <w:tr>
        <w:trPr>
          <w:trHeight w:val="138"/>
        </w:trPr>
        <w:tc>
          <w:tcPr>
            <w:tcW w:w="2800" w:type="dxa"/>
            <w:vAlign w:val="bottom"/>
          </w:tcPr>
          <w:p>
            <w:pPr>
              <w:ind w:left="220"/>
              <w:spacing w:after="0" w:line="138" w:lineRule="exact"/>
              <w:rPr>
                <w:sz w:val="20"/>
                <w:szCs w:val="20"/>
                <w:color w:val="auto"/>
              </w:rPr>
            </w:pPr>
            <w:r>
              <w:rPr>
                <w:rFonts w:ascii="Arial" w:cs="Arial" w:eastAsia="Arial" w:hAnsi="Arial"/>
                <w:sz w:val="14"/>
                <w:szCs w:val="14"/>
                <w:color w:val="auto"/>
                <w:w w:val="95"/>
              </w:rPr>
              <w:t>Other comprehensive income (loss) - net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440"/>
              <w:spacing w:after="0" w:line="159" w:lineRule="exact"/>
              <w:rPr>
                <w:sz w:val="20"/>
                <w:szCs w:val="20"/>
                <w:color w:val="auto"/>
              </w:rPr>
            </w:pPr>
            <w:r>
              <w:rPr>
                <w:rFonts w:ascii="Arial" w:cs="Arial" w:eastAsia="Arial" w:hAnsi="Arial"/>
                <w:sz w:val="14"/>
                <w:szCs w:val="14"/>
                <w:color w:val="auto"/>
              </w:rPr>
              <w:t>tax:</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Currency translation adjustments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34,274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34,274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13,874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48,148</w:t>
            </w:r>
          </w:p>
        </w:tc>
        <w:tc>
          <w:tcPr>
            <w:tcW w:w="0" w:type="dxa"/>
            <w:vAlign w:val="bottom"/>
          </w:tcPr>
          <w:p>
            <w:pPr>
              <w:spacing w:after="0"/>
              <w:rPr>
                <w:sz w:val="1"/>
                <w:szCs w:val="1"/>
                <w:color w:val="auto"/>
              </w:rPr>
            </w:pPr>
          </w:p>
        </w:tc>
      </w:tr>
      <w:tr>
        <w:trPr>
          <w:trHeight w:val="149"/>
        </w:trPr>
        <w:tc>
          <w:tcPr>
            <w:tcW w:w="2800" w:type="dxa"/>
            <w:vAlign w:val="bottom"/>
          </w:tcPr>
          <w:p>
            <w:pPr>
              <w:ind w:left="660"/>
              <w:spacing w:after="0" w:line="149" w:lineRule="exact"/>
              <w:rPr>
                <w:sz w:val="20"/>
                <w:szCs w:val="20"/>
                <w:color w:val="auto"/>
              </w:rPr>
            </w:pPr>
            <w:r>
              <w:rPr>
                <w:rFonts w:ascii="Arial" w:cs="Arial" w:eastAsia="Arial" w:hAnsi="Arial"/>
                <w:sz w:val="14"/>
                <w:szCs w:val="14"/>
                <w:color w:val="auto"/>
                <w:w w:val="99"/>
              </w:rPr>
              <w:t>Amortization of interest rate hedge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383</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Available-for-sale securities: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1080"/>
              <w:spacing w:after="0" w:line="149" w:lineRule="exact"/>
              <w:rPr>
                <w:sz w:val="20"/>
                <w:szCs w:val="20"/>
                <w:color w:val="auto"/>
              </w:rPr>
            </w:pPr>
            <w:r>
              <w:rPr>
                <w:rFonts w:ascii="Arial" w:cs="Arial" w:eastAsia="Arial" w:hAnsi="Arial"/>
                <w:sz w:val="14"/>
                <w:szCs w:val="14"/>
                <w:color w:val="auto"/>
              </w:rPr>
              <w:t>Net unrealized gain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6,861</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6,861</w:t>
            </w: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9,639</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1080"/>
              <w:spacing w:after="0" w:line="138" w:lineRule="exact"/>
              <w:rPr>
                <w:sz w:val="20"/>
                <w:szCs w:val="20"/>
                <w:color w:val="auto"/>
              </w:rPr>
            </w:pPr>
            <w:r>
              <w:rPr>
                <w:rFonts w:ascii="Arial" w:cs="Arial" w:eastAsia="Arial" w:hAnsi="Arial"/>
                <w:sz w:val="14"/>
                <w:szCs w:val="14"/>
                <w:color w:val="auto"/>
              </w:rPr>
              <w:t>Adjustment for items</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1300"/>
              <w:spacing w:after="0" w:line="159" w:lineRule="exact"/>
              <w:rPr>
                <w:sz w:val="20"/>
                <w:szCs w:val="20"/>
                <w:color w:val="auto"/>
              </w:rPr>
            </w:pPr>
            <w:r>
              <w:rPr>
                <w:rFonts w:ascii="Arial" w:cs="Arial" w:eastAsia="Arial" w:hAnsi="Arial"/>
                <w:sz w:val="14"/>
                <w:szCs w:val="14"/>
                <w:color w:val="auto"/>
              </w:rPr>
              <w:t>reclassified to earnings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49"/>
        </w:trPr>
        <w:tc>
          <w:tcPr>
            <w:tcW w:w="280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actuarial gain</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38"/>
        </w:trPr>
        <w:tc>
          <w:tcPr>
            <w:tcW w:w="2800" w:type="dxa"/>
            <w:vAlign w:val="bottom"/>
          </w:tcPr>
          <w:p>
            <w:pPr>
              <w:ind w:left="1080"/>
              <w:spacing w:after="0" w:line="138" w:lineRule="exact"/>
              <w:rPr>
                <w:sz w:val="20"/>
                <w:szCs w:val="20"/>
                <w:color w:val="auto"/>
              </w:rPr>
            </w:pPr>
            <w:r>
              <w:rPr>
                <w:rFonts w:ascii="Arial" w:cs="Arial" w:eastAsia="Arial" w:hAnsi="Arial"/>
                <w:sz w:val="14"/>
                <w:szCs w:val="14"/>
                <w:color w:val="auto"/>
              </w:rPr>
              <w:t>Adjustment for items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1300"/>
              <w:spacing w:after="0" w:line="159" w:lineRule="exact"/>
              <w:rPr>
                <w:sz w:val="20"/>
                <w:szCs w:val="20"/>
                <w:color w:val="auto"/>
              </w:rPr>
            </w:pPr>
            <w:r>
              <w:rPr>
                <w:rFonts w:ascii="Arial" w:cs="Arial" w:eastAsia="Arial" w:hAnsi="Arial"/>
                <w:sz w:val="14"/>
                <w:szCs w:val="14"/>
                <w:color w:val="auto"/>
              </w:rPr>
              <w:t>reclassified to earnings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(182)</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(74)</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 (loss)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17,011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145"/>
        </w:trPr>
        <w:tc>
          <w:tcPr>
            <w:tcW w:w="2800" w:type="dxa"/>
            <w:vAlign w:val="bottom"/>
          </w:tcPr>
          <w:p>
            <w:pPr>
              <w:spacing w:after="0" w:line="145" w:lineRule="exact"/>
              <w:rPr>
                <w:sz w:val="20"/>
                <w:szCs w:val="20"/>
                <w:color w:val="auto"/>
              </w:rPr>
            </w:pPr>
            <w:r>
              <w:rPr>
                <w:rFonts w:ascii="Arial" w:cs="Arial" w:eastAsia="Arial" w:hAnsi="Arial"/>
                <w:sz w:val="14"/>
                <w:szCs w:val="14"/>
                <w:color w:val="auto"/>
              </w:rPr>
              <w:t>Preferred stock and Class A common stock</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issued/issuable in connection with prior</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w w:val="95"/>
              </w:rPr>
              <w:t>business acquisitions and LAM Merger and</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related amortization</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9,617</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9,617</w:t>
            </w:r>
          </w:p>
        </w:tc>
        <w:tc>
          <w:tcPr>
            <w:tcW w:w="12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2,200</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11,817</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109,851</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109,851</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44,030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153,881</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RSU and DSU dividend-equivalents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3,505</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(3,518)</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(13,439)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(13,439)</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(13,439)</w:t>
            </w:r>
          </w:p>
        </w:tc>
        <w:tc>
          <w:tcPr>
            <w:tcW w:w="0" w:type="dxa"/>
            <w:vAlign w:val="bottom"/>
          </w:tcPr>
          <w:p>
            <w:pPr>
              <w:spacing w:after="0"/>
              <w:rPr>
                <w:sz w:val="1"/>
                <w:szCs w:val="1"/>
                <w:color w:val="auto"/>
              </w:rPr>
            </w:pPr>
          </w:p>
        </w:tc>
      </w:tr>
      <w:tr>
        <w:trPr>
          <w:trHeight w:val="138"/>
        </w:trPr>
        <w:tc>
          <w:tcPr>
            <w:tcW w:w="2800" w:type="dxa"/>
            <w:vAlign w:val="bottom"/>
          </w:tcPr>
          <w:p>
            <w:pPr>
              <w:spacing w:after="0" w:line="138" w:lineRule="exact"/>
              <w:rPr>
                <w:sz w:val="20"/>
                <w:szCs w:val="20"/>
                <w:color w:val="auto"/>
              </w:rPr>
            </w:pPr>
            <w:r>
              <w:rPr>
                <w:rFonts w:ascii="Arial" w:cs="Arial" w:eastAsia="Arial" w:hAnsi="Arial"/>
                <w:sz w:val="14"/>
                <w:szCs w:val="14"/>
                <w:color w:val="auto"/>
              </w:rPr>
              <w:t>Purchase of Class A common stock by a</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subsidiary</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3"/>
              </w:rPr>
              <w:t>1,967,419</w:t>
            </w:r>
          </w:p>
        </w:tc>
        <w:tc>
          <w:tcPr>
            <w:tcW w:w="7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(49,829)</w:t>
            </w: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(49,829)</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(49,829)</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Lazard Group delivery of Class A common stock</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for settlement of vested RSUs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(36,597)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(745,890)</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25,275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(11,322)</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(11,322)</w:t>
            </w:r>
          </w:p>
        </w:tc>
        <w:tc>
          <w:tcPr>
            <w:tcW w:w="0" w:type="dxa"/>
            <w:vAlign w:val="bottom"/>
          </w:tcPr>
          <w:p>
            <w:pPr>
              <w:spacing w:after="0"/>
              <w:rPr>
                <w:sz w:val="1"/>
                <w:szCs w:val="1"/>
                <w:color w:val="auto"/>
              </w:rPr>
            </w:pPr>
          </w:p>
        </w:tc>
      </w:tr>
      <w:tr>
        <w:trPr>
          <w:trHeight w:val="138"/>
        </w:trPr>
        <w:tc>
          <w:tcPr>
            <w:tcW w:w="2800" w:type="dxa"/>
            <w:vAlign w:val="bottom"/>
          </w:tcPr>
          <w:p>
            <w:pPr>
              <w:spacing w:after="0" w:line="138" w:lineRule="exact"/>
              <w:rPr>
                <w:sz w:val="20"/>
                <w:szCs w:val="20"/>
                <w:color w:val="auto"/>
              </w:rPr>
            </w:pPr>
            <w:r>
              <w:rPr>
                <w:rFonts w:ascii="Arial" w:cs="Arial" w:eastAsia="Arial" w:hAnsi="Arial"/>
                <w:sz w:val="14"/>
                <w:szCs w:val="14"/>
                <w:color w:val="auto"/>
                <w:w w:val="88"/>
              </w:rPr>
              <w:t>Lazard Group repurchase of common membership</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interests from LAZ-MD Holdings</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(1,289)</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(1,289)</w:t>
            </w:r>
          </w:p>
        </w:tc>
        <w:tc>
          <w:tcPr>
            <w:tcW w:w="12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(521)</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Class A common stock issued in exchange for</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91"/>
              </w:rPr>
              <w:t>Lazard Group common membership interests</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2"/>
              <w:spacing w:after="0" w:line="159" w:lineRule="exact"/>
              <w:rPr>
                <w:sz w:val="20"/>
                <w:szCs w:val="20"/>
                <w:color w:val="auto"/>
              </w:rPr>
            </w:pPr>
            <w:r>
              <w:rPr>
                <w:rFonts w:ascii="Arial" w:cs="Arial" w:eastAsia="Arial" w:hAnsi="Arial"/>
                <w:sz w:val="14"/>
                <w:szCs w:val="14"/>
                <w:color w:val="auto"/>
                <w:w w:val="85"/>
              </w:rPr>
              <w:t>10,666,987</w:t>
            </w:r>
          </w:p>
        </w:tc>
        <w:tc>
          <w:tcPr>
            <w:tcW w:w="4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(107)</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(41,339)</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(41,339)</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between Lazard Ltd and</w:t>
            </w: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noncontrolling interests</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23,553</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(10,644)</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12,909</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(12,909)</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Balance–June 30, 2009</w:t>
            </w: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31,745</w:t>
            </w:r>
          </w:p>
        </w:tc>
        <w:tc>
          <w:tcPr>
            <w:tcW w:w="6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center"/>
              <w:ind w:left="12"/>
              <w:spacing w:after="0" w:line="155" w:lineRule="exact"/>
              <w:rPr>
                <w:sz w:val="20"/>
                <w:szCs w:val="20"/>
                <w:color w:val="auto"/>
              </w:rPr>
            </w:pPr>
            <w:r>
              <w:rPr>
                <w:rFonts w:ascii="Arial" w:cs="Arial" w:eastAsia="Arial" w:hAnsi="Arial"/>
                <w:sz w:val="14"/>
                <w:szCs w:val="14"/>
                <w:b w:val="1"/>
                <w:bCs w:val="1"/>
                <w:color w:val="auto"/>
                <w:w w:val="85"/>
              </w:rPr>
              <w:t>86,961,900</w:t>
            </w:r>
          </w:p>
        </w:tc>
        <w:tc>
          <w:tcPr>
            <w:tcW w:w="48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$ 870</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538,227</w:t>
            </w: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$ 179,144</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(47,759)</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2"/>
              </w:rPr>
              <w:t>10,597,691</w:t>
            </w:r>
          </w:p>
        </w:tc>
        <w:tc>
          <w:tcPr>
            <w:tcW w:w="76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(346,406)</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324,076</w:t>
            </w:r>
          </w:p>
        </w:tc>
        <w:tc>
          <w:tcPr>
            <w:tcW w:w="1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51,906</w:t>
            </w: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375,982</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76,294,912 and 86,961,899 shares of the Company’s Class A common stock issued at January 1, 2009 and June 30, 2009,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0" w:type="dxa"/>
            <w:vAlign w:val="bottom"/>
            <w:gridSpan w:val="7"/>
            <w:vMerge w:val="restart"/>
          </w:tcPr>
          <w:p>
            <w:pPr>
              <w:jc w:val="right"/>
              <w:ind w:right="172"/>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4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0" w:type="dxa"/>
            <w:vAlign w:val="bottom"/>
            <w:tcBorders>
              <w:bottom w:val="single" w:sz="8" w:color="auto"/>
            </w:tcBorders>
            <w:gridSpan w:val="7"/>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14" w:lineRule="exact"/>
              <w:rPr>
                <w:sz w:val="20"/>
                <w:szCs w:val="20"/>
                <w:color w:val="auto"/>
              </w:rPr>
            </w:pPr>
            <w:r>
              <w:rPr>
                <w:rFonts w:ascii="Arial" w:cs="Arial" w:eastAsia="Arial" w:hAnsi="Arial"/>
                <w:sz w:val="12"/>
                <w:szCs w:val="12"/>
                <w:b w:val="1"/>
                <w:bCs w:val="1"/>
                <w:color w:val="auto"/>
              </w:rPr>
              <w:t>Other</w:t>
            </w:r>
          </w:p>
        </w:tc>
        <w:tc>
          <w:tcPr>
            <w:tcW w:w="14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vMerge w:val="restart"/>
          </w:tcPr>
          <w:p>
            <w:pPr>
              <w:ind w:left="20"/>
              <w:spacing w:after="0" w:line="156" w:lineRule="exact"/>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20"/>
              <w:spacing w:after="0" w:line="156" w:lineRule="exact"/>
              <w:rPr>
                <w:sz w:val="20"/>
                <w:szCs w:val="20"/>
                <w:color w:val="auto"/>
              </w:rPr>
            </w:pPr>
            <w:r>
              <w:rPr>
                <w:rFonts w:ascii="Arial" w:cs="Arial" w:eastAsia="Arial" w:hAnsi="Arial"/>
                <w:sz w:val="14"/>
                <w:szCs w:val="14"/>
                <w:b w:val="1"/>
                <w:bCs w:val="1"/>
                <w:color w:val="auto"/>
                <w:w w:val="83"/>
              </w:rPr>
              <w:t>Comprehensive</w:t>
            </w:r>
          </w:p>
        </w:tc>
        <w:tc>
          <w:tcPr>
            <w:tcW w:w="1400" w:type="dxa"/>
            <w:vAlign w:val="bottom"/>
            <w:gridSpan w:val="4"/>
          </w:tcPr>
          <w:p>
            <w:pPr>
              <w:jc w:val="center"/>
              <w:ind w:right="140"/>
              <w:spacing w:after="0" w:line="103" w:lineRule="exact"/>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56"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5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80" w:type="dxa"/>
            <w:vAlign w:val="bottom"/>
            <w:gridSpan w:val="3"/>
            <w:vMerge w:val="restart"/>
          </w:tcPr>
          <w:p>
            <w:pPr>
              <w:jc w:val="right"/>
              <w:ind w:right="32"/>
              <w:spacing w:after="0" w:line="141" w:lineRule="exact"/>
              <w:rPr>
                <w:sz w:val="20"/>
                <w:szCs w:val="20"/>
                <w:color w:val="auto"/>
              </w:rPr>
            </w:pPr>
            <w:r>
              <w:rPr>
                <w:rFonts w:ascii="Arial" w:cs="Arial" w:eastAsia="Arial" w:hAnsi="Arial"/>
                <w:sz w:val="14"/>
                <w:szCs w:val="14"/>
                <w:b w:val="1"/>
                <w:bCs w:val="1"/>
                <w:color w:val="auto"/>
                <w:w w:val="99"/>
              </w:rPr>
              <w:t>Series A</w:t>
            </w:r>
          </w:p>
        </w:tc>
        <w:tc>
          <w:tcPr>
            <w:tcW w:w="40" w:type="dxa"/>
            <w:vAlign w:val="bottom"/>
          </w:tcPr>
          <w:p>
            <w:pPr>
              <w:spacing w:after="0"/>
              <w:rPr>
                <w:sz w:val="4"/>
                <w:szCs w:val="4"/>
                <w:color w:val="auto"/>
              </w:rPr>
            </w:pPr>
          </w:p>
        </w:tc>
        <w:tc>
          <w:tcPr>
            <w:tcW w:w="680" w:type="dxa"/>
            <w:vAlign w:val="bottom"/>
            <w:gridSpan w:val="3"/>
            <w:vMerge w:val="restart"/>
          </w:tcPr>
          <w:p>
            <w:pPr>
              <w:jc w:val="right"/>
              <w:ind w:right="52"/>
              <w:spacing w:after="0" w:line="141" w:lineRule="exact"/>
              <w:rPr>
                <w:sz w:val="20"/>
                <w:szCs w:val="20"/>
                <w:color w:val="auto"/>
              </w:rPr>
            </w:pPr>
            <w:r>
              <w:rPr>
                <w:rFonts w:ascii="Arial" w:cs="Arial" w:eastAsia="Arial" w:hAnsi="Arial"/>
                <w:sz w:val="14"/>
                <w:szCs w:val="14"/>
                <w:b w:val="1"/>
                <w:bCs w:val="1"/>
                <w:color w:val="auto"/>
                <w:w w:val="96"/>
              </w:rPr>
              <w:t>Series B</w:t>
            </w:r>
          </w:p>
        </w:tc>
        <w:tc>
          <w:tcPr>
            <w:tcW w:w="40" w:type="dxa"/>
            <w:vAlign w:val="bottom"/>
          </w:tcPr>
          <w:p>
            <w:pPr>
              <w:spacing w:after="0"/>
              <w:rPr>
                <w:sz w:val="4"/>
                <w:szCs w:val="4"/>
                <w:color w:val="auto"/>
              </w:rPr>
            </w:pPr>
          </w:p>
        </w:tc>
        <w:tc>
          <w:tcPr>
            <w:tcW w:w="1280" w:type="dxa"/>
            <w:vAlign w:val="bottom"/>
            <w:gridSpan w:val="5"/>
            <w:vMerge w:val="restart"/>
          </w:tcPr>
          <w:p>
            <w:pPr>
              <w:jc w:val="right"/>
              <w:ind w:right="132"/>
              <w:spacing w:after="0" w:line="141"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260" w:type="dxa"/>
            <w:vAlign w:val="bottom"/>
            <w:gridSpan w:val="3"/>
            <w:vMerge w:val="restart"/>
          </w:tcPr>
          <w:p>
            <w:pPr>
              <w:jc w:val="center"/>
              <w:spacing w:after="0" w:line="141" w:lineRule="exact"/>
              <w:rPr>
                <w:sz w:val="20"/>
                <w:szCs w:val="20"/>
                <w:color w:val="auto"/>
              </w:rPr>
            </w:pPr>
            <w:r>
              <w:rPr>
                <w:rFonts w:ascii="Arial" w:cs="Arial" w:eastAsia="Arial" w:hAnsi="Arial"/>
                <w:sz w:val="14"/>
                <w:szCs w:val="14"/>
                <w:b w:val="1"/>
                <w:bCs w:val="1"/>
                <w:color w:val="auto"/>
                <w:w w:val="87"/>
              </w:rPr>
              <w:t>Held By A Subsidiary</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80" w:type="dxa"/>
            <w:vAlign w:val="bottom"/>
            <w:tcBorders>
              <w:bottom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bottom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tcBorders>
              <w:bottom w:val="single" w:sz="8" w:color="auto"/>
            </w:tcBorders>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40" w:type="dxa"/>
            <w:vAlign w:val="bottom"/>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Income,</w:t>
            </w:r>
          </w:p>
        </w:tc>
        <w:tc>
          <w:tcPr>
            <w:tcW w:w="1260" w:type="dxa"/>
            <w:vAlign w:val="bottom"/>
            <w:tcBorders>
              <w:bottom w:val="single" w:sz="8" w:color="auto"/>
            </w:tcBorders>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vMerge w:val="restart"/>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Shares</w:t>
            </w:r>
          </w:p>
        </w:tc>
        <w:tc>
          <w:tcPr>
            <w:tcW w:w="40" w:type="dxa"/>
            <w:vAlign w:val="bottom"/>
          </w:tcPr>
          <w:p>
            <w:pPr>
              <w:spacing w:after="0"/>
              <w:rPr>
                <w:sz w:val="14"/>
                <w:szCs w:val="14"/>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Shares</w:t>
            </w:r>
          </w:p>
        </w:tc>
        <w:tc>
          <w:tcPr>
            <w:tcW w:w="40" w:type="dxa"/>
            <w:vAlign w:val="bottom"/>
          </w:tcPr>
          <w:p>
            <w:pPr>
              <w:spacing w:after="0"/>
              <w:rPr>
                <w:sz w:val="14"/>
                <w:szCs w:val="14"/>
                <w:color w:val="auto"/>
              </w:rPr>
            </w:pP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2008</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36,607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1"/>
              </w:rPr>
              <w:t>$ –</w:t>
            </w:r>
          </w:p>
        </w:tc>
        <w:tc>
          <w:tcPr>
            <w:tcW w:w="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277</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81"/>
              </w:rPr>
              <w:t>$ –</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51,745,826</w:t>
            </w:r>
          </w:p>
        </w:tc>
        <w:tc>
          <w:tcPr>
            <w:tcW w:w="20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517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(161,924)</w:t>
            </w:r>
          </w:p>
        </w:tc>
        <w:tc>
          <w:tcPr>
            <w:tcW w:w="6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w w:val="89"/>
              </w:rPr>
              <w:t>$ 248,551</w:t>
            </w: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52,491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1,712,846</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w w:val="88"/>
              </w:rPr>
              <w:t>$  (69,296)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70,339</w:t>
            </w:r>
          </w:p>
        </w:tc>
        <w:tc>
          <w:tcPr>
            <w:tcW w:w="18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52,775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b w:val="1"/>
                <w:bCs w:val="1"/>
                <w:color w:val="auto"/>
              </w:rPr>
              <w:t>123,114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rPr>
              <w:t>Adjustment to reclass</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8"/>
              </w:rPr>
              <w:t>noncontrolling interest deficit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in accordance with SFAS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No. 160</w:t>
            </w:r>
          </w:p>
        </w:tc>
        <w:tc>
          <w:tcPr>
            <w:tcW w:w="4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4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42,886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(28,766)</w:t>
            </w:r>
          </w:p>
        </w:tc>
        <w:tc>
          <w:tcPr>
            <w:tcW w:w="6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14,120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(14,120)</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Balance, as adjusted - January 1,</w:t>
            </w: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2008</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36,607</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277</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1"/>
              </w:rPr>
              <w:t>51,745,826</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517</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(119,038)</w:t>
            </w:r>
          </w:p>
        </w:tc>
        <w:tc>
          <w:tcPr>
            <w:tcW w:w="6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248,551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23,725</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3"/>
              </w:rPr>
              <w:t>1,712,846</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(69,296)</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84,459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38,655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123,114</w:t>
            </w:r>
          </w:p>
        </w:tc>
        <w:tc>
          <w:tcPr>
            <w:tcW w:w="0" w:type="dxa"/>
            <w:vAlign w:val="bottom"/>
          </w:tcPr>
          <w:p>
            <w:pPr>
              <w:spacing w:after="0"/>
              <w:rPr>
                <w:sz w:val="1"/>
                <w:szCs w:val="1"/>
                <w:color w:val="auto"/>
              </w:rPr>
            </w:pPr>
          </w:p>
        </w:tc>
      </w:tr>
      <w:tr>
        <w:trPr>
          <w:trHeight w:val="156"/>
        </w:trPr>
        <w:tc>
          <w:tcPr>
            <w:tcW w:w="19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42,116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42,116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40,694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82,810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200"/>
              <w:spacing w:after="0" w:line="138" w:lineRule="exact"/>
              <w:rPr>
                <w:sz w:val="20"/>
                <w:szCs w:val="20"/>
                <w:color w:val="auto"/>
              </w:rPr>
            </w:pPr>
            <w:r>
              <w:rPr>
                <w:rFonts w:ascii="Arial" w:cs="Arial" w:eastAsia="Arial" w:hAnsi="Arial"/>
                <w:sz w:val="14"/>
                <w:szCs w:val="14"/>
                <w:color w:val="auto"/>
                <w:w w:val="95"/>
              </w:rPr>
              <w:t>Other comprehensive income</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420"/>
              <w:spacing w:after="0" w:line="159" w:lineRule="exact"/>
              <w:rPr>
                <w:sz w:val="20"/>
                <w:szCs w:val="20"/>
                <w:color w:val="auto"/>
              </w:rPr>
            </w:pPr>
            <w:r>
              <w:rPr>
                <w:rFonts w:ascii="Arial" w:cs="Arial" w:eastAsia="Arial" w:hAnsi="Arial"/>
                <w:sz w:val="14"/>
                <w:szCs w:val="14"/>
                <w:color w:val="auto"/>
              </w:rPr>
              <w:t>(loss) - net of tax:</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14,694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14,694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11,346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26,040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860"/>
              <w:spacing w:after="0" w:line="159" w:lineRule="exact"/>
              <w:rPr>
                <w:sz w:val="20"/>
                <w:szCs w:val="20"/>
                <w:color w:val="auto"/>
              </w:rPr>
            </w:pPr>
            <w:r>
              <w:rPr>
                <w:rFonts w:ascii="Arial" w:cs="Arial" w:eastAsia="Arial" w:hAnsi="Arial"/>
                <w:sz w:val="14"/>
                <w:szCs w:val="14"/>
                <w:color w:val="auto"/>
                <w:w w:val="92"/>
              </w:rPr>
              <w:t>interest rate hedge</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310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Available-for-sale</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securities: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1060"/>
              <w:spacing w:after="0" w:line="138" w:lineRule="exact"/>
              <w:rPr>
                <w:sz w:val="20"/>
                <w:szCs w:val="20"/>
                <w:color w:val="auto"/>
              </w:rPr>
            </w:pPr>
            <w:r>
              <w:rPr>
                <w:rFonts w:ascii="Arial" w:cs="Arial" w:eastAsia="Arial" w:hAnsi="Arial"/>
                <w:sz w:val="14"/>
                <w:szCs w:val="14"/>
                <w:color w:val="auto"/>
                <w:w w:val="97"/>
              </w:rPr>
              <w:t>Net unrealized</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1280"/>
              <w:spacing w:after="0" w:line="159" w:lineRule="exact"/>
              <w:rPr>
                <w:sz w:val="20"/>
                <w:szCs w:val="20"/>
                <w:color w:val="auto"/>
              </w:rPr>
            </w:pPr>
            <w:r>
              <w:rPr>
                <w:rFonts w:ascii="Arial" w:cs="Arial" w:eastAsia="Arial" w:hAnsi="Arial"/>
                <w:sz w:val="14"/>
                <w:szCs w:val="14"/>
                <w:color w:val="auto"/>
              </w:rPr>
              <w:t>loss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(2,034)</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(2,034)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(1,570)</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(3,604)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7"/>
              </w:rPr>
              <w:t>Adjustment for</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94"/>
              </w:rPr>
              <w:t>reclassified</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w w:val="95"/>
              </w:rPr>
              <w:t>to earnings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640"/>
              <w:spacing w:after="0" w:line="138" w:lineRule="exact"/>
              <w:rPr>
                <w:sz w:val="20"/>
                <w:szCs w:val="20"/>
                <w:color w:val="auto"/>
              </w:rPr>
            </w:pPr>
            <w:r>
              <w:rPr>
                <w:rFonts w:ascii="Arial" w:cs="Arial" w:eastAsia="Arial" w:hAnsi="Arial"/>
                <w:sz w:val="14"/>
                <w:szCs w:val="14"/>
                <w:color w:val="auto"/>
              </w:rPr>
              <w:t>Employee benefit</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860"/>
              <w:spacing w:after="0" w:line="159" w:lineRule="exact"/>
              <w:rPr>
                <w:sz w:val="20"/>
                <w:szCs w:val="20"/>
                <w:color w:val="auto"/>
              </w:rPr>
            </w:pPr>
            <w:r>
              <w:rPr>
                <w:rFonts w:ascii="Arial" w:cs="Arial" w:eastAsia="Arial" w:hAnsi="Arial"/>
                <w:sz w:val="14"/>
                <w:szCs w:val="14"/>
                <w:color w:val="auto"/>
              </w:rPr>
              <w:t>plans: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Net actuarial</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gain</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ind w:left="1060"/>
              <w:spacing w:after="0" w:line="138" w:lineRule="exact"/>
              <w:rPr>
                <w:sz w:val="20"/>
                <w:szCs w:val="20"/>
                <w:color w:val="auto"/>
              </w:rPr>
            </w:pPr>
            <w:r>
              <w:rPr>
                <w:rFonts w:ascii="Arial" w:cs="Arial" w:eastAsia="Arial" w:hAnsi="Arial"/>
                <w:sz w:val="14"/>
                <w:szCs w:val="14"/>
                <w:color w:val="auto"/>
                <w:w w:val="97"/>
              </w:rPr>
              <w:t>Adjustment for</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1280"/>
              <w:spacing w:after="0" w:line="149" w:lineRule="exact"/>
              <w:rPr>
                <w:sz w:val="20"/>
                <w:szCs w:val="20"/>
                <w:color w:val="auto"/>
              </w:rPr>
            </w:pPr>
            <w:r>
              <w:rPr>
                <w:rFonts w:ascii="Arial" w:cs="Arial" w:eastAsia="Arial" w:hAnsi="Arial"/>
                <w:sz w:val="14"/>
                <w:szCs w:val="14"/>
                <w:color w:val="auto"/>
              </w:rPr>
              <w:t>items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1280"/>
              <w:spacing w:after="0" w:line="149" w:lineRule="exact"/>
              <w:rPr>
                <w:sz w:val="20"/>
                <w:szCs w:val="20"/>
                <w:color w:val="auto"/>
              </w:rPr>
            </w:pPr>
            <w:r>
              <w:rPr>
                <w:rFonts w:ascii="Arial" w:cs="Arial" w:eastAsia="Arial" w:hAnsi="Arial"/>
                <w:sz w:val="14"/>
                <w:szCs w:val="14"/>
                <w:color w:val="auto"/>
                <w:w w:val="94"/>
              </w:rPr>
              <w:t>reclassified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960" w:type="dxa"/>
            <w:vAlign w:val="bottom"/>
          </w:tcPr>
          <w:p>
            <w:pPr>
              <w:ind w:left="1280"/>
              <w:spacing w:after="0" w:line="159" w:lineRule="exact"/>
              <w:rPr>
                <w:sz w:val="20"/>
                <w:szCs w:val="20"/>
                <w:color w:val="auto"/>
              </w:rPr>
            </w:pPr>
            <w:r>
              <w:rPr>
                <w:rFonts w:ascii="Arial" w:cs="Arial" w:eastAsia="Arial" w:hAnsi="Arial"/>
                <w:sz w:val="14"/>
                <w:szCs w:val="14"/>
                <w:color w:val="auto"/>
                <w:w w:val="95"/>
              </w:rPr>
              <w:t>to earnings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54,927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50,588</w:t>
            </w: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105,515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80" w:type="dxa"/>
            <w:vAlign w:val="bottom"/>
            <w:gridSpan w:val="2"/>
          </w:tcPr>
          <w:p>
            <w:pPr>
              <w:spacing w:after="0" w:line="145" w:lineRule="exact"/>
              <w:rPr>
                <w:sz w:val="20"/>
                <w:szCs w:val="20"/>
                <w:color w:val="auto"/>
              </w:rPr>
            </w:pPr>
            <w:r>
              <w:rPr>
                <w:rFonts w:ascii="Arial" w:cs="Arial" w:eastAsia="Arial" w:hAnsi="Arial"/>
                <w:sz w:val="14"/>
                <w:szCs w:val="14"/>
                <w:color w:val="auto"/>
                <w:w w:val="92"/>
              </w:rPr>
              <w:t>Class A common stock issuable in</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prior</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acquisitions and related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amortization</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10,391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10,391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855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 units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64,457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64,457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color w:val="auto"/>
              </w:rPr>
              <w:t>RSU dividend-equivalents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3,693</w:t>
            </w:r>
          </w:p>
        </w:tc>
        <w:tc>
          <w:tcPr>
            <w:tcW w:w="10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Class A common stock dividends</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(9,863)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w w:val="87"/>
              </w:rPr>
              <w:t>Purchase of Class A common stock</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by a subsidiary</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3"/>
              </w:rPr>
              <w:t>4,447,500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(162,835)</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(162,835)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(162,835)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Lazard Group delivery of Class A</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common stock for settlement</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vested RSUs and DSUs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(17,704)</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6"/>
              </w:rPr>
              <w:t>(372,239)</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14,367</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(3,337)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w w:val="96"/>
              </w:rPr>
              <w:t>Class A common stock issued in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w w:val="92"/>
              </w:rPr>
              <w:t>connection with the settlement</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ind w:left="200"/>
              <w:spacing w:after="0" w:line="149" w:lineRule="exact"/>
              <w:rPr>
                <w:sz w:val="20"/>
                <w:szCs w:val="20"/>
                <w:color w:val="auto"/>
              </w:rPr>
            </w:pPr>
            <w:r>
              <w:rPr>
                <w:rFonts w:ascii="Arial" w:cs="Arial" w:eastAsia="Arial" w:hAnsi="Arial"/>
                <w:sz w:val="14"/>
                <w:szCs w:val="14"/>
                <w:color w:val="auto"/>
              </w:rPr>
              <w:t>of the purchase contracts</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forming part of the ESUs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w w:val="91"/>
              </w:rPr>
              <w:t>14,582,750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146</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246,745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246,891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190,609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Class A common stock issued in</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0"/>
              </w:rPr>
              <w:t>common membership interests</w:t>
            </w: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2,321,909</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(41,640)</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60" w:type="dxa"/>
            <w:vAlign w:val="bottom"/>
          </w:tcPr>
          <w:p>
            <w:pPr>
              <w:spacing w:after="0" w:line="138" w:lineRule="exact"/>
              <w:rPr>
                <w:sz w:val="20"/>
                <w:szCs w:val="20"/>
                <w:color w:val="auto"/>
              </w:rPr>
            </w:pPr>
            <w:r>
              <w:rPr>
                <w:rFonts w:ascii="Arial" w:cs="Arial" w:eastAsia="Arial" w:hAnsi="Arial"/>
                <w:sz w:val="14"/>
                <w:szCs w:val="14"/>
                <w:color w:val="auto"/>
                <w:w w:val="95"/>
              </w:rPr>
              <w:t>Adjustments between Lazard Ltd</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ind w:left="200"/>
              <w:spacing w:after="0"/>
              <w:rPr>
                <w:sz w:val="20"/>
                <w:szCs w:val="20"/>
                <w:color w:val="auto"/>
              </w:rPr>
            </w:pPr>
            <w:r>
              <w:rPr>
                <w:rFonts w:ascii="Arial" w:cs="Arial" w:eastAsia="Arial" w:hAnsi="Arial"/>
                <w:sz w:val="14"/>
                <w:szCs w:val="14"/>
                <w:color w:val="auto"/>
              </w:rPr>
              <w:t>and noncontrolling interests</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4,511</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67,536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(67,536)</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2008</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36,607</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1"/>
              </w:rPr>
              <w:t>$ –</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81"/>
              </w:rPr>
              <w:t>$ –</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68,650,485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251,748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$ 277,111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41,047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5,788,107</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 (217,764)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352,829</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220,627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573,456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340" w:right="2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51,745,825 and 68,650,484 shares of the Company’s Class A common stock issued at January 1, 2008 and June 30, 2008,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or the “Company”), including Lazard Ltd’s indirect investment in Lazard Group LLC, a Delaware limited liability company (collectively referred to, together with its subsidiaries, as “Lazard Group”), is a preeminent international financial advisory and asset management firm that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Ltd indirectly held approximately 71.2% and 62.4% of all outstanding Lazard Group common membership interests as of June 30, 2009 and December 31, 2008, respectively. Lazard Ltd, through its control of the managing members of Lazard Group, controls Lazard Group. Lazard Group is governed by an Operating Agreement dated as of May 10, 2005, as amended (the “Operating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Company records selected other activities in its Corporate segment, including management of cash, certain investments and the commercial banking activities of Lazard Group’s Paris-based Lazard Frères Banque SA (“LFB”). 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 The Company also allocates outstanding indebtedness to its Corporate segment.</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2008 (the “Form 10-K”). The accompanying December 31, 2008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undertake in the future, actual results may differ materially from the estimates. The consolidated results of operations for the three month and six month periods ended June 30, 2009 are not necessarily indicative of the results to be expected for any future period or the full fiscal year. Any material events or transactions that occurred subsequent to June 30, 2009 through the date of filing of this Quarterly Report on Form 10-Q were reviewed for purposes of determining whether any adjustments were required to be made to the accompanying condensed consolidated financial statements and for disclosure purposes.</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under Accounting Principles Board Opinion No. 18, “</w:t>
      </w:r>
      <w:r>
        <w:rPr>
          <w:rFonts w:ascii="Arial" w:cs="Arial" w:eastAsia="Arial" w:hAnsi="Arial"/>
          <w:sz w:val="16"/>
          <w:szCs w:val="16"/>
          <w:i w:val="1"/>
          <w:iCs w:val="1"/>
          <w:color w:val="auto"/>
        </w:rPr>
        <w:t>The Equity Method of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Investments in Common Stock</w:t>
      </w:r>
      <w:r>
        <w:rPr>
          <w:rFonts w:ascii="Arial" w:cs="Arial" w:eastAsia="Arial" w:hAnsi="Arial"/>
          <w:sz w:val="16"/>
          <w:szCs w:val="16"/>
          <w:color w:val="auto"/>
        </w:rPr>
        <w:t>” (“APB Opinion No. 18”). All material intercompany transactions and balances have been eliminated.</w:t>
      </w:r>
    </w:p>
    <w:p>
      <w:pPr>
        <w:spacing w:after="0" w:line="102"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 xml:space="preserve">Certain prior period amounts have been reclassified to conform to the manner of presentation in the current period, including those amounts pertaining to noncontrolling (minority) interests in subsidiaries as required by Statement of Financial Accounting Standards (“SFAS”) No. 160, </w:t>
      </w:r>
      <w:r>
        <w:rPr>
          <w:rFonts w:ascii="Arial" w:cs="Arial" w:eastAsia="Arial" w:hAnsi="Arial"/>
          <w:sz w:val="15"/>
          <w:szCs w:val="15"/>
          <w:i w:val="1"/>
          <w:iCs w:val="1"/>
          <w:color w:val="auto"/>
        </w:rPr>
        <w:t>“Noncontrolling Interests 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Consolidated Financial Statements—an amendment of ARB No. 51” </w:t>
      </w:r>
      <w:r>
        <w:rPr>
          <w:rFonts w:ascii="Arial" w:cs="Arial" w:eastAsia="Arial" w:hAnsi="Arial"/>
          <w:sz w:val="15"/>
          <w:szCs w:val="15"/>
          <w:color w:val="auto"/>
        </w:rPr>
        <w:t>(“SFAS No. 160”) (see Note 2 of Notes to Condensed Consolidated Financial Statements).</w:t>
      </w:r>
    </w:p>
    <w:p>
      <w:pPr>
        <w:spacing w:after="0" w:line="7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January 1, 2009, the Company adopted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141(R)”), the provisions of which are applicable on a prospective basis. SFAS No. 141(R) replaces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No. 141”), and supersedes or amends other related authoritative literature although it retains the fundamental requirements in SFAS No. 141 that the acquisition method of accounting (which SFAS No. 141 called the “purchase method”) be used for all business combinations and for an acquirer to be identified for each business combination. SFAS No. 141(R) also establishes principles and requirements 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and (c) determines what information to disclose to enable users of the financial statements to evaluate the nature and financial effects of a business combination. SFAS No. 141(R) also requires the acquirer to expense, as incurred, costs relating to any acquisitions. The adoption of SFAS No. 141(R) on January 1, 2009 did not have an impact on the Company’s consolidated financial statements. Prospectively all acquisitions will conform to SFAS No. 141(R).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 2008, the Company adopted, on a prospective basis, the required provisions of SFAS No.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s” (“SFAS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No. 157”), which, among other things, defined fair value, established a framework for measuring fair value and enhanced disclosure requirements about fair value measurements with respect to its financial assets and financial liabilities. On January 1, 2009, the Company adopted the remaining provisions of SFAS No. 157, as permitted by the Financial Accounting Standards Board (the “FASB”) Staff Position (“FSP”) Financial Accounting Standard (“FAS”) 157-2, </w:t>
      </w:r>
      <w:r>
        <w:rPr>
          <w:rFonts w:ascii="Arial" w:cs="Arial" w:eastAsia="Arial" w:hAnsi="Arial"/>
          <w:sz w:val="16"/>
          <w:szCs w:val="16"/>
          <w:i w:val="1"/>
          <w:iCs w:val="1"/>
          <w:color w:val="auto"/>
        </w:rPr>
        <w:t>“Effective Date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157” </w:t>
      </w:r>
      <w:r>
        <w:rPr>
          <w:rFonts w:ascii="Arial" w:cs="Arial" w:eastAsia="Arial" w:hAnsi="Arial"/>
          <w:sz w:val="16"/>
          <w:szCs w:val="16"/>
          <w:color w:val="auto"/>
        </w:rPr>
        <w:t>(“FSP 157-2”), which delayed the effective date of SFAS No. 157 for all nonfinancial assets and nonfinancial liabilities, except those</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recognized or disclosed at fair value in the financial statements on a recurring basis (at least annually). These nonfinancial items include, for example, reporting units required to be measured at fair value for annual goodwill impairment testing purposes and nonfinancial assets acquired and liabilities assumed in a business combination. Neither the adoption of the required provisions of SFAS No. 157 on January 1, 2008, nor the adoption of the remaining provisions of SFAS No. 157 on January 1, 2009, as permitted by FSP 157-2, had a material impact on the Company’s consolidated financial statements.</w:t>
      </w:r>
    </w:p>
    <w:p>
      <w:pPr>
        <w:spacing w:after="0" w:line="1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January 1, 2009, the Company adopted SFAS No. 160, the presentation and disclosure requirements of which were required to be applied retrospectively. SFAS No. 160 amends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to establish accounting and reporting standards for the noncontrolling (minority) interest in a subsidiary and for the deconsolidation of a subsidiary. SFAS No. 160 clarifies that a noncontrolling interest in a subsidiary is an ownership interest in the consolidated entity that should be reported as equity in the consolidated financial statements. In addition, SFAS No. 160 also changes the way the consolidated income statement is presented by requiring consolidated net income to include amounts attributable to both the parent and the noncontrolling interests with separate disclosure of each component on the face of the consolidated income statement. SFAS No. 160 does not, however, impact the calculation of net income per share, as such calculation will continue to be based on amounts attributable to the parent.</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January 1, 2009, the Company adopted SFAS No. 161, “</w:t>
      </w:r>
      <w:r>
        <w:rPr>
          <w:rFonts w:ascii="Arial" w:cs="Arial" w:eastAsia="Arial" w:hAnsi="Arial"/>
          <w:sz w:val="16"/>
          <w:szCs w:val="16"/>
          <w:i w:val="1"/>
          <w:iCs w:val="1"/>
          <w:color w:val="auto"/>
        </w:rPr>
        <w:t>Disclosures about Derivative Instruments and Hedging Activities—an amendment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No. 161”), on a prospective basis. SFAS No. 161 amends SFAS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(“SFAS No. 133”), to enhance the current disclosure framework in SFAS No. 133 for derivative instruments and hedging activities, including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See Note 4 of Notes to Condensed Consolidated Financial Statements for the additional disclosures provided pursuant to SFAS No. 161. The adoption of SFAS No. 161 did not materially impact the Company’s consolidated financial statements.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December 2008, the FASB issued FSP FAS 132(R)-1, “</w:t>
      </w:r>
      <w:r>
        <w:rPr>
          <w:rFonts w:ascii="Arial" w:cs="Arial" w:eastAsia="Arial" w:hAnsi="Arial"/>
          <w:sz w:val="16"/>
          <w:szCs w:val="16"/>
          <w:i w:val="1"/>
          <w:iCs w:val="1"/>
          <w:color w:val="auto"/>
        </w:rPr>
        <w:t>Employers’ Disclosures about Postretirement Benefit Plan Assets</w:t>
      </w:r>
      <w:r>
        <w:rPr>
          <w:rFonts w:ascii="Arial" w:cs="Arial" w:eastAsia="Arial" w:hAnsi="Arial"/>
          <w:sz w:val="16"/>
          <w:szCs w:val="16"/>
          <w:color w:val="auto"/>
        </w:rPr>
        <w:t>” (“FSP 132(R)-1”), which amends SFAS No. 132 (revised 2003), “</w:t>
      </w:r>
      <w:r>
        <w:rPr>
          <w:rFonts w:ascii="Arial" w:cs="Arial" w:eastAsia="Arial" w:hAnsi="Arial"/>
          <w:sz w:val="16"/>
          <w:szCs w:val="16"/>
          <w:i w:val="1"/>
          <w:iCs w:val="1"/>
          <w:color w:val="auto"/>
        </w:rPr>
        <w:t>Employers’ Disclosures about Pensions and Other Postretirement Benefits—an amendment of FASB Statements No. 87,</w:t>
      </w:r>
      <w:r>
        <w:rPr>
          <w:rFonts w:ascii="Arial" w:cs="Arial" w:eastAsia="Arial" w:hAnsi="Arial"/>
          <w:sz w:val="16"/>
          <w:szCs w:val="16"/>
          <w:color w:val="auto"/>
        </w:rPr>
        <w:t xml:space="preserve"> </w:t>
      </w:r>
      <w:r>
        <w:rPr>
          <w:rFonts w:ascii="Arial" w:cs="Arial" w:eastAsia="Arial" w:hAnsi="Arial"/>
          <w:sz w:val="16"/>
          <w:szCs w:val="16"/>
          <w:i w:val="1"/>
          <w:iCs w:val="1"/>
          <w:color w:val="auto"/>
        </w:rPr>
        <w:t>88, and 106</w:t>
      </w:r>
      <w:r>
        <w:rPr>
          <w:rFonts w:ascii="Arial" w:cs="Arial" w:eastAsia="Arial" w:hAnsi="Arial"/>
          <w:sz w:val="16"/>
          <w:szCs w:val="16"/>
          <w:color w:val="auto"/>
        </w:rPr>
        <w:t>”, to require more detailed disclosures about an employer’s plan assets, including an employer’s investment strategies, major categories of plan assets,</w:t>
      </w:r>
      <w:r>
        <w:rPr>
          <w:rFonts w:ascii="Arial" w:cs="Arial" w:eastAsia="Arial" w:hAnsi="Arial"/>
          <w:sz w:val="16"/>
          <w:szCs w:val="16"/>
          <w:i w:val="1"/>
          <w:iCs w:val="1"/>
          <w:color w:val="auto"/>
        </w:rPr>
        <w:t xml:space="preserve"> </w:t>
      </w:r>
      <w:r>
        <w:rPr>
          <w:rFonts w:ascii="Arial" w:cs="Arial" w:eastAsia="Arial" w:hAnsi="Arial"/>
          <w:sz w:val="16"/>
          <w:szCs w:val="16"/>
          <w:color w:val="auto"/>
        </w:rPr>
        <w:t>concentrations of risk within plan assets and valuation techniques used to measure the fair value of plan assets. The disclosures about plan assets required by FSP 132(R)-1 are required to be provided for fiscal years ending after December 15, 2009. Upon initial application, the provisions of FSP 132(R)-1 are not required for earlier periods that are presented for comparative purposes. Earlier application of the provisions of FSP 132(R)-1 is permitted. We do not anticipate that the adoption of FSP 132(R)-1 in 2009 will have a material impact on the Company’s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April 1, 2009, the Company adopted FSP FAS 141(R)-1, “</w:t>
      </w:r>
      <w:r>
        <w:rPr>
          <w:rFonts w:ascii="Arial" w:cs="Arial" w:eastAsia="Arial" w:hAnsi="Arial"/>
          <w:sz w:val="18"/>
          <w:szCs w:val="18"/>
          <w:i w:val="1"/>
          <w:iCs w:val="1"/>
          <w:color w:val="auto"/>
        </w:rPr>
        <w:t>Accounting for Assets Acquired and Liabilities Assumed in a Business Combination That</w:t>
      </w:r>
      <w:r>
        <w:rPr>
          <w:rFonts w:ascii="Arial" w:cs="Arial" w:eastAsia="Arial" w:hAnsi="Arial"/>
          <w:sz w:val="18"/>
          <w:szCs w:val="18"/>
          <w:color w:val="auto"/>
        </w:rPr>
        <w:t xml:space="preserve"> </w:t>
      </w:r>
      <w:r>
        <w:rPr>
          <w:rFonts w:ascii="Arial" w:cs="Arial" w:eastAsia="Arial" w:hAnsi="Arial"/>
          <w:sz w:val="18"/>
          <w:szCs w:val="18"/>
          <w:i w:val="1"/>
          <w:iCs w:val="1"/>
          <w:color w:val="auto"/>
        </w:rPr>
        <w:t>Arise from Contingencies</w:t>
      </w:r>
      <w:r>
        <w:rPr>
          <w:rFonts w:ascii="Arial" w:cs="Arial" w:eastAsia="Arial" w:hAnsi="Arial"/>
          <w:sz w:val="18"/>
          <w:szCs w:val="18"/>
          <w:color w:val="auto"/>
        </w:rPr>
        <w:t>” (“FSP 141(R)-1”). FSP 141(R)-1 amends and clarifies SFAS No. 141(R) with respect to the initial recognition and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measurement and accounting and disclosure of assets and liabilities arising from contingencies in a business combination. The adoption of FSP 141(R)-1 did not impact the Company’s consolidated financial statements but may have an impact in the future in the event the Company enters into a business combination.</w:t>
      </w:r>
    </w:p>
    <w:p>
      <w:pPr>
        <w:spacing w:after="0" w:line="1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April 1, 2009, the Company adopted FSP FAS 157-4, “</w:t>
      </w:r>
      <w:r>
        <w:rPr>
          <w:rFonts w:ascii="Arial" w:cs="Arial" w:eastAsia="Arial" w:hAnsi="Arial"/>
          <w:sz w:val="16"/>
          <w:szCs w:val="16"/>
          <w:i w:val="1"/>
          <w:iCs w:val="1"/>
          <w:color w:val="auto"/>
        </w:rPr>
        <w:t>Determining Fair Value When the Volume and Level of Activity for the Asset or Liability Have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Significantly Decreased and Identifying Transactions That Are Not Orderly” </w:t>
      </w:r>
      <w:r>
        <w:rPr>
          <w:rFonts w:ascii="Arial" w:cs="Arial" w:eastAsia="Arial" w:hAnsi="Arial"/>
          <w:sz w:val="16"/>
          <w:szCs w:val="16"/>
          <w:color w:val="auto"/>
        </w:rPr>
        <w:t>(“FSP 157-4”) on a prospective basis. FSP 157-4 provides additional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FSP 157-4 also provides additional guidance in determining whether or not a transaction is orderly and whether or not a transaction or quoted price can be considered. Accordingly, FSP 157-4 does not apply to quoted prices for identical assets or liabilities in active markets categorized as Level 1. FSP 157-4 also requires additional fair value disclosures on an interim basis. See Note 4 of Notes to Condensed Consolidated Financial Statements for the additional disclosures provided pursuant to FSP 157-4. The adoption of additional guidance provided by FSP 157-4 did not materially impact the Company’s consolidated financial statements.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1, 2009, the Company adopted FSP FAS 107-1 and FSP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(“FSP 107-1” and “FSP APB 28-1”, respectively) on a prospective basis. FSP 107-1 and FSP APB 28-1 increase the frequency of qualitative and quantitative information about fair value estimates for all financial instruments not remeasured on the balance sheet at fair value by requiring this information on an interim basis. See Note 8 of Notes to Condensed Consolidated Financial Statements.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 2009, the Company adopted FSP FAS 115-2 and FSP FAS 124-2, “</w:t>
      </w:r>
      <w:r>
        <w:rPr>
          <w:rFonts w:ascii="Arial" w:cs="Arial" w:eastAsia="Arial" w:hAnsi="Arial"/>
          <w:sz w:val="16"/>
          <w:szCs w:val="16"/>
          <w:i w:val="1"/>
          <w:iCs w:val="1"/>
          <w:color w:val="auto"/>
        </w:rPr>
        <w:t>Recognition and Presentation of Other-Than-Temporary Impairments”</w:t>
      </w:r>
      <w:r>
        <w:rPr>
          <w:rFonts w:ascii="Arial" w:cs="Arial" w:eastAsia="Arial" w:hAnsi="Arial"/>
          <w:sz w:val="16"/>
          <w:szCs w:val="16"/>
          <w:color w:val="auto"/>
        </w:rPr>
        <w:t xml:space="preserve"> (“FSP 115-2” and “FSP 124-2”, respectively) on a prospective basis. FSP 115-2 and FSP 124-2 impact the recognition and presentation of other-than-temporary impairments pertaining to debt securities accounted for as “available-for-sale securities” and provide greater clarity about the credit and non-credit components of debt securities whose fair value is below amortized cost that are not expected to be sold, and also require increased disclosures regarding expected cash flows, credit losses and an aging of securities with unrealized losses. The adoption of FSP 115-2 and FSP 124-2 did not have a material impact on the consolidated financial statements. See Note 4 of Notes to Condensed Consolidated Financial Statements.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June 2009, the FASB issued SFAS No. 167, </w:t>
      </w:r>
      <w:r>
        <w:rPr>
          <w:rFonts w:ascii="Arial" w:cs="Arial" w:eastAsia="Arial" w:hAnsi="Arial"/>
          <w:sz w:val="16"/>
          <w:szCs w:val="16"/>
          <w:i w:val="1"/>
          <w:iCs w:val="1"/>
          <w:color w:val="auto"/>
        </w:rPr>
        <w:t>“Amendments to FASB Interpretation No. 46(R)”</w:t>
      </w:r>
      <w:r>
        <w:rPr>
          <w:rFonts w:ascii="Arial" w:cs="Arial" w:eastAsia="Arial" w:hAnsi="Arial"/>
          <w:sz w:val="16"/>
          <w:szCs w:val="16"/>
          <w:color w:val="auto"/>
        </w:rPr>
        <w:t xml:space="preserve"> (“SFAS No. 167”), which amends certain requirements of FASB Interpretation (“FIN”) No. 46 (revised December 2003),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(“FIN No. 46(R)”). SFAS No. 167 changes how a company determines when an entity that is insufficiently capitalized or is not controlled through voting (or similar rights) should be consolidated. It also requires a company to provide additional disclosures about its involvement with VIEs and any significant changes in risk exposure due to that involvement. The requirements of SFAS No. 167 are effective for interim and annual periods beginning after November 15, 2009. Early adoption is prohibited. The Company is currently assessing the impact SFAS No. 167 will have on its consolidated financial statements.</w:t>
      </w:r>
    </w:p>
    <w:p>
      <w:pPr>
        <w:spacing w:after="0" w:line="10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banks, fees, customers and other and related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Receivables from banks represent those related to LFB’s short-term inter-bank deposits. The level of these inter-bank deposits is primarily driven by the level of LFB customer-related interest-bearing time and demand deposits and short-term inter-bank deposits from banks held at LFB, which can fluctuate significantly on a daily basis. As the amount of deposits held at LFB change, there is generally a corresponding, but indirect, impact on the level of short-term inter-bank deposits with banks.</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Customers and other receivables at June 30, 2009 and December 31, 2008 include $11,400 and $13,109, respectively, of loans by LFB to managing directors and employees in France that are made in the ordinary course of business at market terms and $7,797 and $16,444, respectively, pertaining to a receivable from the Reserve 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At September 15, 2008, the Company had $77,713 of investments in the Primary Fund. Through June 30, 2009, the Company had recovered partial distributions from the Primary Fund aggregating $69,916.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On May 5, 2009, the SEC asked the Court overseeing the Reserve Fund-related litigation to enjoin the Primary Fund’s plan to set aside a special reserve and to compel the Primary Fund to make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its assets to the Fund’s remaining investors. The Court is scheduled to consider the SEC’s proposal, and any objections to that proposal, at a hearing on September 23, 2009.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1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$15,010 and $15,883 at June 30, 2009 and December 31, 2008, respectively, for past due amounts and for specific accounts deemed uncollectible. The Company recorded bad debt expense of $4,170 and $3,622 for the three month and six month periods ended June 30, 2009, respectively, and $2,254 and $5,728 for the three month and six month periods ended June 30, 2008, respectively. In addition, the Company recorded charge-offs, foreign currency translation and other adjustments, which resulted in a net decrease (increase) to the allowance for doubtful accounts of $(150) and $4,495 for the three month and six month periods ended June 30, 2009, respectively, and $125 and $387 for the three month and six month periods ended June 30, 2008, respectively. At June 30, 2009 and December 31, 2008, the Company had $16,233 and $17,916, respectively, of receivables deemed past due or deemed uncollectible.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2009 and December 31,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289,695</w:t>
            </w:r>
          </w:p>
        </w:tc>
        <w:tc>
          <w:tcPr>
            <w:tcW w:w="3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296,674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320,743</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General Partner (“GP”) interests owned by Lazard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41,710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but not owned by Lazard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Private equity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93,530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75,644</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224,147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618,005</w:t>
            </w: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Less equity method investments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75,644</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542,361</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(included in “other liabilities”)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4,276</w:t>
            </w:r>
          </w:p>
        </w:tc>
        <w:tc>
          <w:tcPr>
            <w:tcW w:w="3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Debt securities primarily consist of investments by LFB, which typically holds them long-term, as part of its asset-liability management program. Such securities primarily consist of fixed and floating rate European corporate bonds and French government securities. Debt securities are accounted for as either “trading” or “available-for-sale” securities and consisted of the following at June 30, 2009 and December 31,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12,794</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agency securities</w:t>
            </w:r>
          </w:p>
        </w:tc>
        <w:tc>
          <w:tcPr>
            <w:tcW w:w="4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43,842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43,969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Bonds - Corporate</w:t>
            </w:r>
          </w:p>
        </w:tc>
        <w:tc>
          <w:tcPr>
            <w:tcW w:w="4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276,901</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4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320,743</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80" w:type="dxa"/>
            <w:vAlign w:val="bottom"/>
            <w:vMerge w:val="restart"/>
          </w:tcPr>
          <w:p>
            <w:pPr>
              <w:jc w:val="right"/>
              <w:ind w:right="3592"/>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June 30, 2009,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131,801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276,901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325,183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Additional information with respect to debt securities classified as “available-for-sale” at June 30, 2009 that are in an unrealized loss position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680" w:type="dxa"/>
            <w:vAlign w:val="bottom"/>
            <w:gridSpan w:val="3"/>
          </w:tcPr>
          <w:p>
            <w:pPr>
              <w:jc w:val="center"/>
              <w:ind w:right="1866"/>
              <w:spacing w:after="0"/>
              <w:rPr>
                <w:sz w:val="20"/>
                <w:szCs w:val="20"/>
                <w:color w:val="auto"/>
              </w:rPr>
            </w:pPr>
            <w:r>
              <w:rPr>
                <w:rFonts w:ascii="Arial" w:cs="Arial" w:eastAsia="Arial" w:hAnsi="Arial"/>
                <w:sz w:val="14"/>
                <w:szCs w:val="14"/>
                <w:b w:val="1"/>
                <w:bCs w:val="1"/>
                <w:color w:val="auto"/>
                <w:w w:val="86"/>
              </w:rPr>
              <w:t>Securities in a</w:t>
            </w: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40" w:type="dxa"/>
            <w:vAlign w:val="bottom"/>
            <w:gridSpan w:val="3"/>
          </w:tcPr>
          <w:p>
            <w:pPr>
              <w:jc w:val="center"/>
              <w:ind w:right="1866"/>
              <w:spacing w:after="0"/>
              <w:rPr>
                <w:sz w:val="20"/>
                <w:szCs w:val="20"/>
                <w:color w:val="auto"/>
              </w:rPr>
            </w:pPr>
            <w:r>
              <w:rPr>
                <w:rFonts w:ascii="Arial" w:cs="Arial" w:eastAsia="Arial" w:hAnsi="Arial"/>
                <w:sz w:val="14"/>
                <w:szCs w:val="14"/>
                <w:b w:val="1"/>
                <w:bCs w:val="1"/>
                <w:color w:val="auto"/>
                <w:w w:val="86"/>
              </w:rPr>
              <w:t>Securities in a</w:t>
            </w:r>
          </w:p>
        </w:tc>
      </w:tr>
      <w:tr>
        <w:trPr>
          <w:trHeight w:val="149"/>
        </w:trPr>
        <w:tc>
          <w:tcPr>
            <w:tcW w:w="1940" w:type="dxa"/>
            <w:vAlign w:val="bottom"/>
          </w:tcPr>
          <w:p>
            <w:pPr>
              <w:spacing w:after="0"/>
              <w:rPr>
                <w:sz w:val="12"/>
                <w:szCs w:val="12"/>
                <w:color w:val="auto"/>
              </w:rPr>
            </w:pPr>
          </w:p>
        </w:tc>
        <w:tc>
          <w:tcPr>
            <w:tcW w:w="368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5"/>
              </w:rPr>
              <w:t>Continuous Loss</w:t>
            </w: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4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5"/>
              </w:rPr>
              <w:t>Continuous Loss</w:t>
            </w:r>
          </w:p>
        </w:tc>
      </w:tr>
      <w:tr>
        <w:trPr>
          <w:trHeight w:val="149"/>
        </w:trPr>
        <w:tc>
          <w:tcPr>
            <w:tcW w:w="1940" w:type="dxa"/>
            <w:vAlign w:val="bottom"/>
          </w:tcPr>
          <w:p>
            <w:pPr>
              <w:spacing w:after="0"/>
              <w:rPr>
                <w:sz w:val="12"/>
                <w:szCs w:val="12"/>
                <w:color w:val="auto"/>
              </w:rPr>
            </w:pPr>
          </w:p>
        </w:tc>
        <w:tc>
          <w:tcPr>
            <w:tcW w:w="368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4"/>
              </w:rPr>
              <w:t>Position for</w:t>
            </w:r>
          </w:p>
        </w:tc>
        <w:tc>
          <w:tcPr>
            <w:tcW w:w="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40" w:type="dxa"/>
            <w:vAlign w:val="bottom"/>
            <w:gridSpan w:val="3"/>
          </w:tcPr>
          <w:p>
            <w:pPr>
              <w:jc w:val="center"/>
              <w:ind w:right="1866"/>
              <w:spacing w:after="0" w:line="149" w:lineRule="exact"/>
              <w:rPr>
                <w:sz w:val="20"/>
                <w:szCs w:val="20"/>
                <w:color w:val="auto"/>
              </w:rPr>
            </w:pPr>
            <w:r>
              <w:rPr>
                <w:rFonts w:ascii="Arial" w:cs="Arial" w:eastAsia="Arial" w:hAnsi="Arial"/>
                <w:sz w:val="14"/>
                <w:szCs w:val="14"/>
                <w:b w:val="1"/>
                <w:bCs w:val="1"/>
                <w:color w:val="auto"/>
                <w:w w:val="84"/>
              </w:rPr>
              <w:t>Position for</w:t>
            </w:r>
          </w:p>
        </w:tc>
      </w:tr>
      <w:tr>
        <w:trPr>
          <w:trHeight w:val="175"/>
        </w:trPr>
        <w:tc>
          <w:tcPr>
            <w:tcW w:w="19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3"/>
          </w:tcPr>
          <w:p>
            <w:pPr>
              <w:jc w:val="center"/>
              <w:ind w:right="1866"/>
              <w:spacing w:after="0"/>
              <w:rPr>
                <w:sz w:val="20"/>
                <w:szCs w:val="20"/>
                <w:color w:val="auto"/>
              </w:rPr>
            </w:pPr>
            <w:r>
              <w:rPr>
                <w:rFonts w:ascii="Arial" w:cs="Arial" w:eastAsia="Arial" w:hAnsi="Arial"/>
                <w:sz w:val="14"/>
                <w:szCs w:val="14"/>
                <w:b w:val="1"/>
                <w:bCs w:val="1"/>
                <w:color w:val="auto"/>
                <w:w w:val="85"/>
              </w:rPr>
              <w:t>Less than 12 Months</w:t>
            </w:r>
          </w:p>
        </w:tc>
        <w:tc>
          <w:tcPr>
            <w:tcW w:w="2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3"/>
          </w:tcPr>
          <w:p>
            <w:pPr>
              <w:jc w:val="center"/>
              <w:ind w:right="1866"/>
              <w:spacing w:after="0"/>
              <w:rPr>
                <w:sz w:val="20"/>
                <w:szCs w:val="20"/>
                <w:color w:val="auto"/>
              </w:rPr>
            </w:pPr>
            <w:r>
              <w:rPr>
                <w:rFonts w:ascii="Arial" w:cs="Arial" w:eastAsia="Arial" w:hAnsi="Arial"/>
                <w:sz w:val="14"/>
                <w:szCs w:val="14"/>
                <w:b w:val="1"/>
                <w:bCs w:val="1"/>
                <w:color w:val="auto"/>
                <w:w w:val="88"/>
              </w:rPr>
              <w:t>12 Months or Longer</w:t>
            </w:r>
          </w:p>
        </w:tc>
      </w:tr>
      <w:tr>
        <w:trPr>
          <w:trHeight w:val="130"/>
        </w:trPr>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r>
      <w:tr>
        <w:trPr>
          <w:trHeight w:val="175"/>
        </w:trPr>
        <w:tc>
          <w:tcPr>
            <w:tcW w:w="1940" w:type="dxa"/>
            <w:vAlign w:val="bottom"/>
            <w:tcBorders>
              <w:bottom w:val="single" w:sz="8" w:color="auto"/>
            </w:tcBorders>
          </w:tcPr>
          <w:p>
            <w:pPr>
              <w:jc w:val="center"/>
              <w:ind w:left="742"/>
              <w:spacing w:after="0"/>
              <w:rPr>
                <w:sz w:val="20"/>
                <w:szCs w:val="20"/>
                <w:color w:val="auto"/>
              </w:rPr>
            </w:pPr>
            <w:r>
              <w:rPr>
                <w:rFonts w:ascii="Arial" w:cs="Arial" w:eastAsia="Arial" w:hAnsi="Arial"/>
                <w:sz w:val="14"/>
                <w:szCs w:val="14"/>
                <w:b w:val="1"/>
                <w:bCs w:val="1"/>
                <w:color w:val="auto"/>
                <w:w w:val="89"/>
              </w:rPr>
              <w:t>Fair Value</w:t>
            </w:r>
          </w:p>
        </w:tc>
        <w:tc>
          <w:tcPr>
            <w:tcW w:w="8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5"/>
                <w:szCs w:val="15"/>
                <w:color w:val="auto"/>
              </w:rPr>
            </w:pPr>
          </w:p>
        </w:tc>
        <w:tc>
          <w:tcPr>
            <w:tcW w:w="1940" w:type="dxa"/>
            <w:vAlign w:val="bottom"/>
            <w:tcBorders>
              <w:bottom w:val="single" w:sz="8" w:color="auto"/>
            </w:tcBorders>
          </w:tcPr>
          <w:p>
            <w:pPr>
              <w:jc w:val="center"/>
              <w:ind w:left="722"/>
              <w:spacing w:after="0"/>
              <w:rPr>
                <w:sz w:val="20"/>
                <w:szCs w:val="20"/>
                <w:color w:val="auto"/>
              </w:rPr>
            </w:pPr>
            <w:r>
              <w:rPr>
                <w:rFonts w:ascii="Arial" w:cs="Arial" w:eastAsia="Arial" w:hAnsi="Arial"/>
                <w:sz w:val="14"/>
                <w:szCs w:val="14"/>
                <w:b w:val="1"/>
                <w:bCs w:val="1"/>
                <w:color w:val="auto"/>
                <w:w w:val="92"/>
              </w:rPr>
              <w:t>Fair Value</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Loss</w:t>
            </w:r>
          </w:p>
        </w:tc>
      </w:tr>
      <w:tr>
        <w:trPr>
          <w:trHeight w:val="210"/>
        </w:trPr>
        <w:tc>
          <w:tcPr>
            <w:tcW w:w="194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color w:val="auto"/>
              </w:rPr>
              <w:t>$2,723</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$864</w:t>
            </w:r>
          </w:p>
        </w:tc>
        <w:tc>
          <w:tcPr>
            <w:tcW w:w="220" w:type="dxa"/>
            <w:vAlign w:val="bottom"/>
          </w:tcPr>
          <w:p>
            <w:pPr>
              <w:spacing w:after="0"/>
              <w:rPr>
                <w:sz w:val="18"/>
                <w:szCs w:val="18"/>
                <w:color w:val="auto"/>
              </w:rPr>
            </w:pPr>
          </w:p>
        </w:tc>
        <w:tc>
          <w:tcPr>
            <w:tcW w:w="19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$235,842</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$48,240</w:t>
            </w: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unrealized loss amount reported in the table above for securities in a continuous loss position for 12 months or longer has been reduced by an other-than-temporary impairment charge of $916 recognized in “other-revenue” on the condensed consolidated statements of operations during the three month period ended June 30, 2009. Such amount represents the credit loss component of debt securities whose fair value is below amortized cost that is required to be recognized in earnings in connection with FSP 115-2.</w:t>
      </w:r>
    </w:p>
    <w:p>
      <w:pPr>
        <w:spacing w:after="0" w:line="13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LFB does not intend to sell its debt securities classified as “available-for-sale”, nor is it more likely than not that LFB will be required to sell such debt securities before their anticipated recovery. Based on the qualitative and quantitative analysis performed, debt securities in unrealized loss positions were not considered to be other-than-temporarily impaired at June 30, 2009, except for the amount recognized above.</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 party asset managers.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Pursuant to SFAS No. 160, noncontrolling interests are presented within “stockholders’ equity” on the condensed consolidated statements of financial condition (see Note 10 of Notes to Condensed Consolidated Financial Statements).</w:t>
      </w:r>
    </w:p>
    <w:p>
      <w:pPr>
        <w:spacing w:after="0" w:line="13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Private equity investments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Equity method investments include investments made in the first quarter of 2008 in Sapphire Industrials Corp. (“Sapphire”) (see Note 9 of Notes to Condensed Consolidated Financial Statements) and Merchant Bankers Asociados (“MBA”).</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Pursuant to SFAS No. 157, Lazard categorizes its investments and certain other assets and liabilities recorded at fair value into a three-level fair value hierarchy as follows:</w:t>
      </w:r>
    </w:p>
    <w:p>
      <w:pPr>
        <w:spacing w:after="0" w:line="37"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present the categorization of investments and certain other assets and liabilities measured at fair value on a recurring basis as of June 30, 2009 and December 31, 2008 into a three-level fair value hierarchy in accordance with SFAS No. 157:</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gridSpan w:val="14"/>
          </w:tcPr>
          <w:p>
            <w:pPr>
              <w:jc w:val="right"/>
              <w:ind w:right="60"/>
              <w:spacing w:after="0"/>
              <w:rPr>
                <w:sz w:val="20"/>
                <w:szCs w:val="20"/>
                <w:color w:val="auto"/>
              </w:rPr>
            </w:pPr>
            <w:r>
              <w:rPr>
                <w:rFonts w:ascii="Arial" w:cs="Arial" w:eastAsia="Arial" w:hAnsi="Arial"/>
                <w:sz w:val="14"/>
                <w:szCs w:val="14"/>
                <w:b w:val="1"/>
                <w:bCs w:val="1"/>
                <w:color w:val="auto"/>
              </w:rPr>
              <w:t>Fair Value Measurements on a Recurring Basis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As of June 30, 2009</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4"/>
              </w:rPr>
              <w:t>Level 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43,842</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$ 276,901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320,743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57,784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15,034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center"/>
              <w:ind w:left="153"/>
              <w:spacing w:after="0"/>
              <w:rPr>
                <w:sz w:val="20"/>
                <w:szCs w:val="20"/>
                <w:color w:val="auto"/>
              </w:rPr>
            </w:pPr>
            <w:r>
              <w:rPr>
                <w:rFonts w:ascii="Arial" w:cs="Arial" w:eastAsia="Arial" w:hAnsi="Arial"/>
                <w:sz w:val="18"/>
                <w:szCs w:val="18"/>
                <w:color w:val="auto"/>
                <w:w w:val="93"/>
              </w:rPr>
              <w:t>297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41,710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center"/>
              <w:ind w:left="153"/>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93,530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center"/>
              <w:ind w:left="153"/>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$ 101,626</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$ 354,769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93,827</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550,222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27,661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center"/>
              <w:ind w:left="153"/>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gridSpan w:val="13"/>
          </w:tcPr>
          <w:p>
            <w:pPr>
              <w:jc w:val="right"/>
              <w:spacing w:after="0"/>
              <w:rPr>
                <w:sz w:val="20"/>
                <w:szCs w:val="20"/>
                <w:color w:val="auto"/>
              </w:rPr>
            </w:pPr>
            <w:r>
              <w:rPr>
                <w:rFonts w:ascii="Arial" w:cs="Arial" w:eastAsia="Arial" w:hAnsi="Arial"/>
                <w:sz w:val="14"/>
                <w:szCs w:val="14"/>
                <w:b w:val="1"/>
                <w:bCs w:val="1"/>
                <w:color w:val="auto"/>
                <w:w w:val="86"/>
              </w:rPr>
              <w:t>Fair Value Measurements on a Recurring Basis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0"/>
              </w:rPr>
              <w:t>As of December 31, 2008</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Level 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$43,969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$289,101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333,070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54,108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2,453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 by Lazard</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by Lazard</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 investments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83,931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98,077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364,472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86,384</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43,990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43,990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80" w:type="dxa"/>
            <w:vAlign w:val="bottom"/>
            <w:vMerge w:val="restart"/>
          </w:tcPr>
          <w:p>
            <w:pPr>
              <w:jc w:val="right"/>
              <w:ind w:right="15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Level 3 Assets and Liabilities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w w:val="88"/>
              </w:rPr>
              <w:t>For the Three Month Period Ended June 30, 2009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4"/>
          </w:tcPr>
          <w:p>
            <w:pPr>
              <w:jc w:val="center"/>
              <w:ind w:right="472"/>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572"/>
              <w:spacing w:after="0" w:line="149" w:lineRule="exact"/>
              <w:rPr>
                <w:sz w:val="20"/>
                <w:szCs w:val="20"/>
                <w:color w:val="auto"/>
              </w:rPr>
            </w:pPr>
            <w:r>
              <w:rPr>
                <w:rFonts w:ascii="Arial" w:cs="Arial" w:eastAsia="Arial" w:hAnsi="Arial"/>
                <w:sz w:val="14"/>
                <w:szCs w:val="14"/>
                <w:b w:val="1"/>
                <w:bCs w:val="1"/>
                <w:color w:val="auto"/>
                <w:w w:val="87"/>
              </w:rPr>
              <w:t>Realized</w:t>
            </w:r>
          </w:p>
        </w:tc>
        <w:tc>
          <w:tcPr>
            <w:tcW w:w="4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ind w:right="47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Issuances</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57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472"/>
              <w:spacing w:after="0"/>
              <w:rPr>
                <w:sz w:val="20"/>
                <w:szCs w:val="20"/>
                <w:color w:val="auto"/>
              </w:rPr>
            </w:pPr>
            <w:r>
              <w:rPr>
                <w:rFonts w:ascii="Arial" w:cs="Arial" w:eastAsia="Arial" w:hAnsi="Arial"/>
                <w:sz w:val="14"/>
                <w:szCs w:val="14"/>
                <w:b w:val="1"/>
                <w:bCs w:val="1"/>
                <w:color w:val="auto"/>
                <w:w w:val="88"/>
              </w:rPr>
              <w:t>Revenue – Other</w:t>
            </w:r>
          </w:p>
        </w:tc>
        <w:tc>
          <w:tcPr>
            <w:tcW w:w="4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Settlements</w:t>
            </w: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800" w:type="dxa"/>
            <w:vAlign w:val="bottom"/>
            <w:gridSpan w:val="3"/>
            <w:shd w:val="clear" w:color="auto" w:fill="CCEEFF"/>
          </w:tcPr>
          <w:p>
            <w:pPr>
              <w:ind w:left="172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86,324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12"/>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4,201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24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$ 86,585</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(132)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93,827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Level 3 Assets and Liabilities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w w:val="88"/>
              </w:rPr>
              <w:t>For the Three Month Period Ended June 30, 2008</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4"/>
          </w:tcPr>
          <w:p>
            <w:pPr>
              <w:jc w:val="center"/>
              <w:ind w:right="472"/>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572"/>
              <w:spacing w:after="0" w:line="149" w:lineRule="exact"/>
              <w:rPr>
                <w:sz w:val="20"/>
                <w:szCs w:val="20"/>
                <w:color w:val="auto"/>
              </w:rPr>
            </w:pPr>
            <w:r>
              <w:rPr>
                <w:rFonts w:ascii="Arial" w:cs="Arial" w:eastAsia="Arial" w:hAnsi="Arial"/>
                <w:sz w:val="14"/>
                <w:szCs w:val="14"/>
                <w:b w:val="1"/>
                <w:bCs w:val="1"/>
                <w:color w:val="auto"/>
                <w:w w:val="87"/>
              </w:rPr>
              <w:t>Realized</w:t>
            </w:r>
          </w:p>
        </w:tc>
        <w:tc>
          <w:tcPr>
            <w:tcW w:w="40" w:type="dxa"/>
            <w:vAlign w:val="bottom"/>
          </w:tcPr>
          <w:p>
            <w:pPr>
              <w:spacing w:after="0"/>
              <w:rPr>
                <w:sz w:val="12"/>
                <w:szCs w:val="12"/>
                <w:color w:val="auto"/>
              </w:rPr>
            </w:pPr>
          </w:p>
        </w:tc>
        <w:tc>
          <w:tcPr>
            <w:tcW w:w="12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ind w:right="47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Issuances</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57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center"/>
              <w:ind w:right="472"/>
              <w:spacing w:after="0"/>
              <w:rPr>
                <w:sz w:val="20"/>
                <w:szCs w:val="20"/>
                <w:color w:val="auto"/>
              </w:rPr>
            </w:pPr>
            <w:r>
              <w:rPr>
                <w:rFonts w:ascii="Arial" w:cs="Arial" w:eastAsia="Arial" w:hAnsi="Arial"/>
                <w:sz w:val="14"/>
                <w:szCs w:val="14"/>
                <w:b w:val="1"/>
                <w:bCs w:val="1"/>
                <w:color w:val="auto"/>
                <w:w w:val="88"/>
              </w:rPr>
              <w:t>Revenue – Other</w:t>
            </w:r>
          </w:p>
        </w:tc>
        <w:tc>
          <w:tcPr>
            <w:tcW w:w="4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Settlements</w:t>
            </w: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800" w:type="dxa"/>
            <w:vAlign w:val="bottom"/>
            <w:gridSpan w:val="3"/>
            <w:shd w:val="clear" w:color="auto" w:fill="CCEEFF"/>
          </w:tcPr>
          <w:p>
            <w:pPr>
              <w:ind w:left="1720"/>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4,553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w:t>
            </w: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89,473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12"/>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7,244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96,055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24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$ 94,026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(419)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100,520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Level 3 Assets and Liabilities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4"/>
                <w:szCs w:val="14"/>
                <w:b w:val="1"/>
                <w:bCs w:val="1"/>
                <w:color w:val="auto"/>
                <w:w w:val="98"/>
              </w:rPr>
              <w:t>For the Six Month Period Ended June 30, 2009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5"/>
          </w:tcPr>
          <w:p>
            <w:pPr>
              <w:jc w:val="center"/>
              <w:ind w:right="592"/>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Realized</w:t>
            </w:r>
          </w:p>
        </w:tc>
        <w:tc>
          <w:tcPr>
            <w:tcW w:w="132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5"/>
          </w:tcPr>
          <w:p>
            <w:pPr>
              <w:jc w:val="center"/>
              <w:ind w:right="59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Issuances</w:t>
            </w:r>
          </w:p>
        </w:tc>
        <w:tc>
          <w:tcPr>
            <w:tcW w:w="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ind w:right="71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and</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1640" w:type="dxa"/>
            <w:vAlign w:val="bottom"/>
            <w:gridSpan w:val="5"/>
          </w:tcPr>
          <w:p>
            <w:pPr>
              <w:jc w:val="center"/>
              <w:ind w:right="592"/>
              <w:spacing w:after="0"/>
              <w:rPr>
                <w:sz w:val="20"/>
                <w:szCs w:val="20"/>
                <w:color w:val="auto"/>
              </w:rPr>
            </w:pPr>
            <w:r>
              <w:rPr>
                <w:rFonts w:ascii="Arial" w:cs="Arial" w:eastAsia="Arial" w:hAnsi="Arial"/>
                <w:sz w:val="14"/>
                <w:szCs w:val="14"/>
                <w:b w:val="1"/>
                <w:bCs w:val="1"/>
                <w:color w:val="auto"/>
                <w:w w:val="88"/>
              </w:rPr>
              <w:t>Revenue – Other</w:t>
            </w:r>
          </w:p>
        </w:tc>
        <w:tc>
          <w:tcPr>
            <w:tcW w:w="13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Settlements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1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(2,056)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15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83,931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8,613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5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$ 86,384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4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w w:val="79"/>
              </w:rPr>
              <w:t>17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6"/>
              </w:rPr>
              <w:t>Level 3 Assets and Liabilities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For the Six Month Period Ended June 30, 2008</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3"/>
          </w:tcPr>
          <w:p>
            <w:pPr>
              <w:jc w:val="center"/>
              <w:ind w:right="272"/>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Realized</w:t>
            </w: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ind w:right="252"/>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2"/>
                <w:szCs w:val="12"/>
                <w:color w:val="auto"/>
              </w:rPr>
            </w:pPr>
          </w:p>
        </w:tc>
        <w:tc>
          <w:tcPr>
            <w:tcW w:w="12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Issuances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55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w w:val="93"/>
              </w:rPr>
              <w:t>Balance</w:t>
            </w:r>
          </w:p>
        </w:tc>
        <w:tc>
          <w:tcPr>
            <w:tcW w:w="480" w:type="dxa"/>
            <w:vAlign w:val="bottom"/>
          </w:tcPr>
          <w:p>
            <w:pPr>
              <w:spacing w:after="0"/>
              <w:rPr>
                <w:sz w:val="14"/>
                <w:szCs w:val="14"/>
                <w:color w:val="auto"/>
              </w:rPr>
            </w:pPr>
          </w:p>
        </w:tc>
        <w:tc>
          <w:tcPr>
            <w:tcW w:w="132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86"/>
              </w:rPr>
              <w:t>Revenue – Other</w:t>
            </w:r>
          </w:p>
        </w:tc>
        <w:tc>
          <w:tcPr>
            <w:tcW w:w="280" w:type="dxa"/>
            <w:vAlign w:val="bottom"/>
          </w:tcPr>
          <w:p>
            <w:pPr>
              <w:spacing w:after="0"/>
              <w:rPr>
                <w:sz w:val="14"/>
                <w:szCs w:val="14"/>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Settlements</w:t>
            </w:r>
          </w:p>
        </w:tc>
        <w:tc>
          <w:tcPr>
            <w:tcW w:w="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Level 3 Assets: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18"/>
                <w:szCs w:val="18"/>
                <w:color w:val="auto"/>
              </w:rPr>
            </w:pPr>
          </w:p>
        </w:tc>
      </w:tr>
      <w:tr>
        <w:trPr>
          <w:trHeight w:val="223"/>
        </w:trPr>
        <w:tc>
          <w:tcPr>
            <w:tcW w:w="5540" w:type="dxa"/>
            <w:vAlign w:val="bottom"/>
          </w:tcPr>
          <w:p>
            <w:pPr>
              <w:ind w:left="440"/>
              <w:spacing w:after="0"/>
              <w:rPr>
                <w:sz w:val="20"/>
                <w:szCs w:val="20"/>
                <w:color w:val="auto"/>
              </w:rPr>
            </w:pPr>
            <w:r>
              <w:rPr>
                <w:rFonts w:ascii="Arial" w:cs="Arial" w:eastAsia="Arial" w:hAnsi="Arial"/>
                <w:sz w:val="18"/>
                <w:szCs w:val="18"/>
                <w:color w:val="auto"/>
              </w:rPr>
              <w:t>Private equity investments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74,051</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18,034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96,055</w:t>
            </w:r>
          </w:p>
        </w:tc>
        <w:tc>
          <w:tcPr>
            <w:tcW w:w="20" w:type="dxa"/>
            <w:vAlign w:val="bottom"/>
          </w:tcPr>
          <w:p>
            <w:pPr>
              <w:spacing w:after="0"/>
              <w:rPr>
                <w:sz w:val="19"/>
                <w:szCs w:val="19"/>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78,520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17,768</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100,520</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were net realized gains of $21 included in income for the three month and six month periods ended June 30, 2009 and no net realized gains or losses included in income for the three month and six month periods ended June 30, 2008 with respect to Level 3 assets and liabilities.</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recognized gross investment gains and losses on investments measured at fair value for the three month and six month periods ended June 30, 2009 in “revenue - other” on the respective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Three Month Period Ended</w:t>
            </w:r>
          </w:p>
        </w:tc>
        <w:tc>
          <w:tcPr>
            <w:tcW w:w="7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89"/>
              </w:rPr>
              <w:t>Six Month Period Ended</w:t>
            </w:r>
          </w:p>
        </w:tc>
      </w:tr>
      <w:tr>
        <w:trPr>
          <w:trHeight w:val="161"/>
        </w:trPr>
        <w:tc>
          <w:tcPr>
            <w:tcW w:w="6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2009</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June 30, 2009</w:t>
            </w:r>
          </w:p>
        </w:tc>
        <w:tc>
          <w:tcPr>
            <w:tcW w:w="20" w:type="dxa"/>
            <w:vAlign w:val="bottom"/>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18,648</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20" w:type="dxa"/>
            <w:vAlign w:val="bottom"/>
          </w:tcPr>
          <w:p>
            <w:pPr>
              <w:spacing w:after="0"/>
              <w:rPr>
                <w:sz w:val="18"/>
                <w:szCs w:val="18"/>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6,312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above includes gross unrealized investment gains and losses pertaining to “trading” securities accounted for under SFAS No. 115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Three Month Period Ended</w:t>
            </w:r>
          </w:p>
        </w:tc>
        <w:tc>
          <w:tcPr>
            <w:tcW w:w="7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89"/>
              </w:rPr>
              <w:t>Six Month Period Ended</w:t>
            </w:r>
          </w:p>
        </w:tc>
      </w:tr>
      <w:tr>
        <w:trPr>
          <w:trHeight w:val="16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2009</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June 30, 2009</w:t>
            </w:r>
          </w:p>
        </w:tc>
        <w:tc>
          <w:tcPr>
            <w:tcW w:w="2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1,549</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addition, the Company recorded gross unrealized investment gains (pre-tax) and gross unrealized investment losses (pre-tax) of $18,969 and $2,893, respectively, in “accumulated other comprehensive loss” during the six month period ended June 30, 2009 pertaining to debt securities that are designated as “available-for-sale” under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(“SFAS No. 115”). There were no significant reclassifications from “accumulated other comprehensive loss” to earnings during the six month period ended June 30, 2009. The average cost basis is utilized for purposes of calculating realized investment gains and losses.</w:t>
      </w:r>
    </w:p>
    <w:p>
      <w:pPr>
        <w:spacing w:after="0" w:line="129" w:lineRule="exact"/>
        <w:rPr>
          <w:sz w:val="20"/>
          <w:szCs w:val="20"/>
          <w:color w:val="auto"/>
        </w:rPr>
      </w:pPr>
    </w:p>
    <w:p>
      <w:pPr>
        <w:ind w:right="400" w:firstLine="456"/>
        <w:spacing w:after="0" w:line="318"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Except for derivatives hedging “available-for-sale” securities under SFAS No. 115, the Company elected to not apply hedge accounting under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SFAS No. 133 to its other derivative instruments held. Gains and losses on the Company’s derivatives not designated as hedging instruments, as well as gains and losses on derivatives accounted for as fair value hedges under SFAS No. 133, are included in “interest income” and “interest expense”, respectively, or “revenue – other”, depending on the nature of the underlying item, on the condensed consolidated statements of operations.</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June 30, 2009 and December 31,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Derivatives Designated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87"/>
              </w:rPr>
              <w:t>Derivatives Not Designated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4"/>
          </w:tcPr>
          <w:p>
            <w:pPr>
              <w:jc w:val="center"/>
              <w:ind w:right="34"/>
              <w:spacing w:after="0" w:line="149" w:lineRule="exact"/>
              <w:rPr>
                <w:sz w:val="20"/>
                <w:szCs w:val="20"/>
                <w:color w:val="auto"/>
              </w:rPr>
            </w:pPr>
            <w:r>
              <w:rPr>
                <w:rFonts w:ascii="Arial" w:cs="Arial" w:eastAsia="Arial" w:hAnsi="Arial"/>
                <w:sz w:val="14"/>
                <w:szCs w:val="14"/>
                <w:b w:val="1"/>
                <w:bCs w:val="1"/>
                <w:color w:val="auto"/>
                <w:w w:val="86"/>
              </w:rPr>
              <w:t>as Hedging Instruments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Under SFAS No. 133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87"/>
              </w:rPr>
              <w:t>Under SFAS No. 133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5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89"/>
              </w:rPr>
              <w:t>June 30,</w:t>
            </w:r>
          </w:p>
        </w:tc>
        <w:tc>
          <w:tcPr>
            <w:tcW w:w="4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7,620</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7,620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13,557</w:t>
            </w:r>
          </w:p>
        </w:tc>
        <w:tc>
          <w:tcPr>
            <w:tcW w:w="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13,557</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83"/>
              </w:rPr>
              <w:t>13,035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12,980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13,245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4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spacing w:after="0"/>
              <w:rPr>
                <w:sz w:val="20"/>
                <w:szCs w:val="20"/>
                <w:color w:val="auto"/>
              </w:rPr>
            </w:pPr>
            <w:r>
              <w:rPr>
                <w:rFonts w:ascii="Arial" w:cs="Arial" w:eastAsia="Arial" w:hAnsi="Arial"/>
                <w:sz w:val="18"/>
                <w:szCs w:val="18"/>
                <w:color w:val="auto"/>
                <w:w w:val="83"/>
              </w:rPr>
              <w:t>13,035</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12,980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14,626</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31,010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27,661</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43,990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effect of gains (losses) with respect to derivatives not designated as hedging instruments under SFAS No. 133 on the accompanying condensed consolidated statements of operations for the three month and six month periods ended June 30, 2009 (predominantly reflected in “revenue – other”), by type of derivative,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Three Month Period Ended</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w w:val="94"/>
              </w:rPr>
              <w:t>Six Month Period Ended</w:t>
            </w:r>
          </w:p>
        </w:tc>
      </w:tr>
      <w:tr>
        <w:trPr>
          <w:trHeight w:val="161"/>
        </w:trPr>
        <w:tc>
          <w:tcPr>
            <w:tcW w:w="6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2009</w:t>
            </w: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June 30, 2009</w:t>
            </w:r>
          </w:p>
        </w:tc>
        <w:tc>
          <w:tcPr>
            <w:tcW w:w="100" w:type="dxa"/>
            <w:vAlign w:val="bottom"/>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1520"/>
              <w:spacing w:after="0"/>
              <w:rPr>
                <w:sz w:val="20"/>
                <w:szCs w:val="20"/>
                <w:color w:val="auto"/>
              </w:rPr>
            </w:pPr>
            <w:r>
              <w:rPr>
                <w:rFonts w:ascii="Arial" w:cs="Arial" w:eastAsia="Arial" w:hAnsi="Arial"/>
                <w:sz w:val="18"/>
                <w:szCs w:val="18"/>
                <w:color w:val="auto"/>
              </w:rPr>
              <w:t>3,482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spacing w:after="0"/>
              <w:rPr>
                <w:sz w:val="18"/>
                <w:szCs w:val="18"/>
                <w:color w:val="auto"/>
              </w:rPr>
            </w:pPr>
          </w:p>
        </w:tc>
        <w:tc>
          <w:tcPr>
            <w:tcW w:w="2860" w:type="dxa"/>
            <w:vAlign w:val="bottom"/>
            <w:gridSpan w:val="2"/>
          </w:tcPr>
          <w:p>
            <w:pPr>
              <w:jc w:val="right"/>
              <w:ind w:right="152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 swaps</w:t>
            </w:r>
          </w:p>
        </w:tc>
        <w:tc>
          <w:tcPr>
            <w:tcW w:w="24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(7,145)</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(3,263)</w:t>
            </w:r>
          </w:p>
        </w:tc>
      </w:tr>
      <w:tr>
        <w:trPr>
          <w:trHeight w:val="20"/>
        </w:trPr>
        <w:tc>
          <w:tcPr>
            <w:tcW w:w="6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7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1460"/>
              <w:spacing w:after="0"/>
              <w:rPr>
                <w:sz w:val="20"/>
                <w:szCs w:val="20"/>
                <w:color w:val="auto"/>
              </w:rPr>
            </w:pPr>
            <w:r>
              <w:rPr>
                <w:rFonts w:ascii="Arial" w:cs="Arial" w:eastAsia="Arial" w:hAnsi="Arial"/>
                <w:sz w:val="18"/>
                <w:szCs w:val="18"/>
                <w:color w:val="auto"/>
              </w:rPr>
              <w:t>(3,319)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0"/>
        </w:trPr>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With respect to derivatives designated as hedging instruments under SFAS No. 133, such derivatives relate to interest rate swaps that hedge “available-for-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sale” securities and are being accounted for as fair value hedges. For the three month and six month periods ended June 30, 2009, net pre-tax gains (losses)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$3,143 and $(190), respectively, pertaining to such interest rate swaps were recognized, which were substantially offset by equivalent amounts on the hedged risk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portion of such “available-for-sale”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September 25, 2008, Lazard Ltd,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fundamental transaction occur, as described below, were held by present and former employees of LAM. Following the LAM Merger, all equity interests of LAM are owned directly or indirectly by LFNY. The equity interests of LAM that were held, prior to the LAM Merger, by the then present and former employees of LAM and its subsidiaries (and certain related phantom rights issued as incentive compensation) entitled the holders to payments totaling approximately 23% of the net proceeds or imputed valuation of LAM (after deductions for payments to creditors of LAM and the return of capital in LAM) in connection with certain specified fundamental transactions concerning LAM or Lazard, including a sale of LAM or Lazard, certain non-ordinary course asset sales and major acquisitions.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aggregate non-contingent consideration relating to the equity interests of LAM (and the phantom rights referred to above)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as of June 30, 2009 and December 31, 2008, have been recorded in “accrued compensation and benefits” and “other liabilities”, and amounted to $14,294 and $62,951, respectively, as of June 30, 2009, and $16,013 and $60,324, respectively, as of December 31, 2008.</w:t>
      </w:r>
    </w:p>
    <w:p>
      <w:pPr>
        <w:spacing w:after="0" w:line="11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August 13, 2007, Lazard Group acquired all of the outstanding ownership interests of Goldsmith, Agio, Helms &amp; Lynner, LLC (“GAHL”), a Minneapolis-based investment bank specializing in financial advisory services to mid-sized private companies. On July 31, 2007, Lazard Ltd acquired all of the outstanding shares of Carnegie, Wylie &amp; Company (Holdings) PTY LTD (“CWC”), an Australia-based financial advisory firm, and concurrently sold such investment to Lazard Group. These purchases were effected though an exchange of a combination of cash, Class A common stock, and by Lazard Ltd issuing shares of non-participating convertible Series A and Series B preferred stock (the “Series A preferred stock” and “Series B preferred stock”, respectively, which are or were each convertible into Class A common stock). The total number of Class A common shares to be issued in connection with the acquisitions will depend, in part, upon the future performance of each of GAHL and CWC. See Note 10 of Notes to the Condensed Consolidated Financial Statements for additional information regarding the Series A preferred stock and Series B preferred stock.</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GAHL and the CWC acquisitions (before transaction costs) consisted of cash and Lazard Ltd stock and aggregated to approximately $220,500 and $216,200 through June 30, 2009 and December 31, 2008, respectively. At June 30, 2009 and December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993,024 shares of Class A common stock were issuable on a non-contingent basis. Additionally, at June 30, 2009 and December 31, 2008, 9,724 and 7,293 shares of Series A preferred stock, respectively, were convertible into Class A common shares on a non-contingent basis, with the number of Class A common shares dependent, in part, upon future prices of the Class A common stock. At June 30, 2009 and December 31, 2008, 948,631 shares of Class A common stock were contingently issuable and, at June 30, 2009 and December 31, 2008, 22,021 and 24,452 shares of Series A preferred stock, respectively, were contingently convertible into shares of Class A common stock as of each respective date, dependent upon the future performance of GAHL and CWC.</w:t>
      </w:r>
    </w:p>
    <w:p>
      <w:pPr>
        <w:spacing w:after="0" w:line="10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components of goodwill and other intangible assets at June 30, 2009 and December 31, 2008, which primarily pertain to the Company’s Financial Advisory segment, are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$185,434</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170,277</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189,613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175,144</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2009 and 2008,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5"/>
              </w:rPr>
              <w:t>Six Month Period Ended</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$ 170,277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178,446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Prior business acquisitions, including additional contingent consideration earned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9,282</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Balance, June 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$ 185,434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196,254</w:t>
            </w: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2009 and December 31, 2008,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2009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December 31, 2008</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$ 4,179</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7,017</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$ 4,867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8"/>
                <w:szCs w:val="18"/>
                <w:color w:val="auto"/>
              </w:rPr>
              <w:t>21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2009 was $344 and $688, respectively, and for the three month and six month periods ended June 30, 2008 was $2,525 and $3,745, respectively. Estimated future amortization expense is as follows:</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700" w:type="dxa"/>
            <w:vAlign w:val="bottom"/>
            <w:gridSpan w:val="3"/>
          </w:tcPr>
          <w:p>
            <w:pPr>
              <w:ind w:left="292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(July 1 through December 31)</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4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June 30, 2009 and December 31,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Annual</w:t>
            </w: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Principal</w:t>
            </w: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5"/>
              </w:rPr>
              <w:t>Maturity</w:t>
            </w:r>
          </w:p>
        </w:tc>
        <w:tc>
          <w:tcPr>
            <w:tcW w:w="12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2015</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6.85% Senior Notes(a)</w:t>
            </w:r>
          </w:p>
        </w:tc>
        <w:tc>
          <w:tcPr>
            <w:tcW w:w="282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549,250</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1,086,850</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1,087,750</w:t>
            </w: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six month period ended June 30, 2009, the Company repurchased $900 principal amount of the 6.85% Senior Notes at a cost, excluding accrued interest, of $635 and, after the write-off of unamortized debt issuance costs of $7, recognized a pre-tax gain of $258.</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June 30, 2009 and December 31, 2008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July 1, 2008, an additional one-third became convertible on and after July 1, 2009 and a final one-third in principal amount will become convertible on and after July 1, 2010, and no principal amount will be convertible after June 30, 2011. As of June 30, 2009 there have been no conversions of the note.</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maintains a $150,000 senior revolving credit facility with a group of lenders (the “Lazard Group Credit Facility”) which contains certain financial condition covenants. In addition, the Lazard Group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June 30, 2009, the Company was in compliance with all of these provisions. All of the Company’s senior and subordinated debt obligations are unsecured.</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June 30, 2009, the Company had approximately $215,000 in unused lines of credit available to it, including approximately $43,000 of unused lines of credit available to LFB. In addition, LFB has access to the Eurosystem covered bond purchase program of the Banque de France.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June 30, 2009 and December 31, 2008, the aggregate carrying value of the Company’s senior and subordinated debt ($1,236,850 and $1,237,750, respectively) exceeded fair value by $128,230 and $354,382,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June 30, 2009, aggregated $11,321. These managing directors have pledged their interests in LAZ-MD Holdings, an entity owned by Lazard Group’s current and former managing directors (“LAZ-MD Holdings”) (which are exchangeable into shares of Class A common stock) and unsold shares of Class A common stock received in exchange for such interests to collateralize such guarantee, with the value of such collateral in each case exceeding the guarantee provided by Lazard.</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the normal course of business, LFB provides indemnifications to third parties to protect them in the event of non-performance by its clients. At June 30, 2009, LFB had $7,150 of such indemnifications and held $4,694 of collateral/counter-guarantees to secure these commitments. The Company believes the likelihood of loss with respect to these indemnities is remote. Accordingly, no liability is recorded in the condensed consolidated statements of financial condition.</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Private Equity Funding Commitments</w:t>
      </w:r>
      <w:r>
        <w:rPr>
          <w:rFonts w:ascii="Arial" w:cs="Arial" w:eastAsia="Arial" w:hAnsi="Arial"/>
          <w:sz w:val="16"/>
          <w:szCs w:val="16"/>
          <w:color w:val="auto"/>
        </w:rPr>
        <w:t>—At June 30, 2009, the principal commitments by the Company for capital contributions to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were as set forth below. Senior Housing is managed by Lazard Alternative Investments Holdings LLC (“LAI”), a subsidiary of LFCM Holdings LLC (“LFCM Holdings”). LAI owns and operates the alternative investments of LFCM Holdings (an entity that includes Lazard’s former Capital Markets and Other business segment as well as other specified non-operating assets and liabilities transferred pursuant to or in anticipation of the separation from the Company on May 10, 2005). CP II was managed by a subsidiary of LAI until February 16, 2009. Effective February 17, 2009, ownership and control of CP II was transferred to the investment professionals who manage CP II.</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Total Lazard Commitments (b)</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6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90"/>
              </w:rPr>
              <w:t>Funding</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Unfunded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2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Institutional</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Maximum</w:t>
            </w:r>
          </w:p>
        </w:tc>
        <w:tc>
          <w:tcPr>
            <w:tcW w:w="600" w:type="dxa"/>
            <w:vAlign w:val="bottom"/>
          </w:tcPr>
          <w:p>
            <w:pPr>
              <w:spacing w:after="0"/>
              <w:rPr>
                <w:sz w:val="12"/>
                <w:szCs w:val="12"/>
                <w:color w:val="auto"/>
              </w:rPr>
            </w:pPr>
          </w:p>
        </w:tc>
        <w:tc>
          <w:tcPr>
            <w:tcW w:w="14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61"/>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Name of Fund</w:t>
            </w:r>
          </w:p>
        </w:tc>
        <w:tc>
          <w:tcPr>
            <w:tcW w:w="1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Commitments</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Commitment</w:t>
            </w:r>
          </w:p>
        </w:tc>
        <w:tc>
          <w:tcPr>
            <w:tcW w:w="600" w:type="dxa"/>
            <w:vAlign w:val="bottom"/>
          </w:tcPr>
          <w:p>
            <w:pPr>
              <w:spacing w:after="0"/>
              <w:rPr>
                <w:sz w:val="14"/>
                <w:szCs w:val="14"/>
                <w:color w:val="auto"/>
              </w:rPr>
            </w:pPr>
          </w:p>
        </w:tc>
        <w:tc>
          <w:tcPr>
            <w:tcW w:w="14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Date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CP II</w:t>
            </w:r>
          </w:p>
        </w:tc>
        <w:tc>
          <w:tcPr>
            <w:tcW w:w="53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500,000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2010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Senior Housing</w:t>
            </w: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201,000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2009(a)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701,000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Funding expiration date was July 6, 2009. However, under certain circumstances, $544 may be called at any time prior to the fund’s liquidation.</w:t>
      </w:r>
    </w:p>
    <w:p>
      <w:pPr>
        <w:spacing w:after="0" w:line="99" w:lineRule="exact"/>
        <w:rPr>
          <w:rFonts w:ascii="Arial" w:cs="Arial" w:eastAsia="Arial" w:hAnsi="Arial"/>
          <w:sz w:val="16"/>
          <w:szCs w:val="16"/>
          <w:color w:val="auto"/>
        </w:rPr>
      </w:pPr>
    </w:p>
    <w:p>
      <w:pPr>
        <w:ind w:left="460" w:right="1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above excludes other unfunded commitments by Lazard at June 30, 2009 of $3,357 to Company-sponsored private equity investment funds (including $2,531 in connection with the Company’s compensation plans), which are contingent upon certain events and have no definitive final payment dates.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an expiration date and, once drawn upon, may require the counterparty to post collateral depending on the counterparty’s creditworthiness. Outstanding commitments at June 30, 2009 were $17,463. This amount may not represent future cash requirements as commitments may expire without being drawn upon.</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January 24, 2008, Sapphire, a newly-organized special purpose acquisition company formed by Lazard Funding Limited LLC (“Lazard Funding”), a wholly-owned subsidiary of Lazard Group, completed an initial public offering which, prior to offering costs, raised $800,000 through the sale of 80,000,000 units at an offering price of $10.00 per unit (the “Sapphire IPO”). Each unit consists of one share of Sapphire common stock and one warrant, with such warrant entitling the holder to purchase one share of Sapphire common stock for $7.00. Sapphire was formed for the purpose of effecting a merger, capital stock exchange, asset acquisition, stock purchase, reorganization or similar business combination with one or more operating businesses primarily with general industrial companies in North America (collectively referred to as the “Initial Business Combination”).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formation of Sapphire, Lazard Funding purchased from Sapphire 15,144,000 units (“Founders’ Units”) at a total cost of approximately $95. Each Founders’ Unit consists of one share of Sapphire common stock and one warrant, with such warrant entitling the holder to purchase one share of Sapphire common stock for $7.50. On January 24, 2008, in connection with the Sapphire IPO, Lazard Funding purchased (i) 5,000,000 units in the Sapphire IPO at a purchase price equal to the public offering price of $10.00 per unit (for an aggregate purchase price of $50,000), and (ii) an aggregate of 12,500,000 warrants from Sapphire at a price of $1.00 per warrant (for a total purchase price of $12,500). Furthermore, Lazard Funding entered into an agreement with the underwriter to purchase up to an additional $37,500 worth of Sapphire common shares in open market purchases, commencing two business days after Sapphire files a proxy statement relating to an Initial Business Combination and ending on the business day immediately preceding the record date for the meeting of Sapphire stockholders at which such Initial Business Combination is to be approved, or earlier in certain circumstances.</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Sapphire IPO, and pursuant to certain rights afforded LFCM Holdings under the business alliance agreement, dated as of May 10, 2005, between Lazard Group and LFCM Holdings (the “business alliance agreement”), Lazard Funding offered CP II the right, through the date of a public announcement of the Initial Business Combination, to purchase from Lazard Funding, at a cost of $10.00 per unit, up to 2,000,000 Sapphire units (for an aggregate purchase price of up to $20,000).</w:t>
      </w:r>
    </w:p>
    <w:p>
      <w:pPr>
        <w:spacing w:after="0" w:line="13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See Notes 5 and 6 of Notes to Condensed Consolidated Financial Statements for information regarding commitments relating to the LAM Merger and business acquisitions, respectively. See Note 12 of Notes to Condensed Consolidated Financial Statements for information regarding obligations to fund our pension plans in the U.K.</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June 30, 2009 and 2008, Lazard Group common membership interests held by subsidiaries of Lazard Ltd amounted to 71.2% and 56.4%, respectively, and by LAZ-MD Holdings amounted to 28.8% and 43.6%,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six month periods ended June 30, 2009 and 2008, Lazard Group distributed $9,163 and $10,832, respectively, to LAZ-MD Holdings and $13,439 and $9,863, respectively, to the subsidiaries of Lazard Ltd, which latter amounts were used by Lazard Ltd to pay dividends to third-party holders of its Class A common stock. In addition, during the six month periods ended June 30, 2009 and 2008, Lazard Group made tax distributions of $67,360 and $51,725, respectively, including $25,316 and $26,727, respectively, paid to LAZ-MD Holdings and $42,044 and $24,998, respectively, paid to subsidiaries of Lazard Ltd.</w:t>
      </w:r>
    </w:p>
    <w:p>
      <w:pPr>
        <w:spacing w:after="0" w:line="10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July 28, 2009, the Board of Directors of Lazard Ltd declared a quarterly dividend of $0.125 per share on its Class A common stock, totaling $11,013, payable on August 28, 2009 to stockholders of record on August 7,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below for additional information regarding Lazard Ltd’s and LAZ-MD Holdings’ ownership interests in Lazard Group.</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—In June 2009, pursuant to a Prospectus Supplement dated June 2, 2009, certain current and former managing directors of Lazard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certain of our executive officers) and their permitted transferees (the “2009 Selling Shareholders”) sold 4,000,000 shares of Class A common stock at a price of $26.00 per share (the “2009 Secondary Offering”). Lazard Ltd did not receive any net proceeds from the sales of such Class A common stock in the 2009 Secondary Offering. Separately, in connection with the 2009 Secondary Offering, Lazard Group agreed to purchase from the 2009 Selling Shareholders 1,700,000 shares of Class A common stock for an aggregate cost of $44,200 ($26.00 per share), with such purchase being part of the share repurchase program described below. In the aggregate, the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As a result of the 2009 Secondary Offering, Lazard Ltd’s ownership interest in Lazard Group increased from 68.2% prior to the offering to 71.1% immediately subsequent thereto. Correspondingly, LAZ-MD Holdings’ ownership in Lazard Group decreased from 31.8% prior to the offering to 28.9% immediately subsequent thereto.</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8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—In addition to the exchanges that occurred in connection with the 2009 Secondary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6, 2009 and May 11, 2009, Lazard Ltd issued 244,968 and 6,832,773 shares of Class A common stock, respectively, in connection with the exchange of a like number of common membership interests of Lazard Group (received from members of LAZ-MD Holdings in exchange for their membership interests in LAZ-MD Holdings).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Board of Directors of Lazard Ltd has authorized, on a cumulative basis, the repurchase of up to $500,000 in aggregate cost of its Class A common stock and Lazard Group common membership interests through December 31, 2009. The Company expects that the share repurchase program, with respect to the Class A common stock, will be used primarily to offset a portion of the shares that have been or will be issued under the Lazard Ltd 2005 Equity Incentive Plan (the “2005 Plan”) and the Lazard Ltd 2008 Incentive Compensation Plan (the “2008 Plan”). Purchases may be made in the open market or through privately negotiated transactions. Pursuant to this authorization, since inception of the program in February 2006 through June 30, 2009, Lazard Group purchased an aggregate of 12,069,189 shares of Class A common stock at an average price of $33.07 per share (including, during the six month period ended June 30, 2009, 1,967,419 shares at an average price of $25.33 per share, inclusive of the 1,700,000 shares purchased in connection with the 2009 Secondary Offering described above), and an aggregate of 725,374 Lazard Group common membership interests at an average price of $36.13 per common membership interest (including, during the six month period ended June 30, 2009, 69,623 common membership interests at an average price of $26.00 per common membership interest). As a result of Lazard Group’s delivery of an aggregate of 1,471,498 shares for the settlement of vested restricted stock unit grants (“RSUs”) and deferred stock unit grants (“DSUs”) during the two year period ended December 31, 2008 and the six month period ended June 30, 2009, there were 10,597,691 and 9,376,162 shares of Class A common stock held by Lazard Group at June 30, 2009 and December 31, 2008, respectively. Such Class A common shares are reported, at cost, as “Class A common stock held by a subsidiary” on the condensed consolidated statements of financial condition.</w:t>
      </w:r>
    </w:p>
    <w:p>
      <w:pPr>
        <w:spacing w:after="0" w:line="107" w:lineRule="exact"/>
        <w:rPr>
          <w:sz w:val="20"/>
          <w:szCs w:val="20"/>
          <w:color w:val="auto"/>
        </w:rPr>
      </w:pPr>
    </w:p>
    <w:p>
      <w:pPr>
        <w:ind w:left="240" w:right="1520" w:firstLine="228"/>
        <w:spacing w:after="0" w:line="375" w:lineRule="auto"/>
        <w:rPr>
          <w:sz w:val="20"/>
          <w:szCs w:val="20"/>
          <w:color w:val="auto"/>
        </w:rPr>
      </w:pPr>
      <w:r>
        <w:rPr>
          <w:rFonts w:ascii="Arial" w:cs="Arial" w:eastAsia="Arial" w:hAnsi="Arial"/>
          <w:sz w:val="18"/>
          <w:szCs w:val="18"/>
          <w:color w:val="auto"/>
        </w:rPr>
        <w:t xml:space="preserve">As of June 30, 2009, $74,667 of the initial $500,000 repurchase authorization remained available under the share repurchase program.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Lazard Ltd has 15,000,000 authorized shares of preferred stock, par value $0.01 per share, inclusive of its Series A preferred stock and Series B preferred stock. As of June 30, 2009 and December 31, 2008, 31,745 shares of Series A preferred stock and no shares of Series B preferred stock were outstanding. These shares of preferred stock have no voting or dividend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June 30, 2009 and December 31, 2008, 9,724 and 7,293 of the Series A preferred shares outstanding, respectively, were convertible into shares of Class A common stock. The remaining 22,021 and 24,452 shares of Series A preferred stock outstanding at June 30, 2009 and December 31, 2008, respectively, may be convertible into shares of Class A common stock upon completion or satisfaction of specified obligations in the CWC acquisition agreement.</w:t>
      </w:r>
    </w:p>
    <w:p>
      <w:pPr>
        <w:spacing w:after="0" w:line="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initial conversion rate, at the time of the acquisition of CWC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loss, net of tax” at June 30, 2009 and December 31, 2008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rate hedge</w:t>
            </w: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(6,313)</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available-for-sale securities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(31,619)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Employee benefit plans</w:t>
            </w:r>
          </w:p>
        </w:tc>
        <w:tc>
          <w:tcPr>
            <w:tcW w:w="1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(44,873)</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 net of tax</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(65,612)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(125,063)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Less amount attributable to noncontrolling interests (see below)</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17,853</w:t>
            </w: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Lazard Ltd accumulated other comprehensive 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(47,759)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Noncontrolling interests represent interests held in Lazard Group by LAZ-MD Holdings and noncontrolling interests in various LAM-related GP interests that the Company is deemed to control but does not own.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2009 and December 31, 2008, LAZ-MD Holdings held approximately 28.8% and 37.6%, respectively, of the outstanding Lazard Group common membership interests. Additionally, LAZ-MD Holdings was the sole owner of the one issued and outstanding share of Lazard Ltd’s Class B common stock, which provided LAZ-MD Holdings with approximately 28.8% and 37.6%, of the voting power but no economic rights in the Company as of June 30, 2009 and December 31, 2008, respectively. Subject to certain limitations, LAZ-MD Holdings’ interests in Lazard Group are exchangeable for Class A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summarizes the changes in ownership interests in Lazard Group held by Lazard Ltd and LAZ-MD Holdings during the six month periods ended June 30, 2009 and 2008: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Lazard Ltd</w:t>
            </w:r>
          </w:p>
        </w:tc>
        <w:tc>
          <w:tcPr>
            <w:tcW w:w="21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LAZ-MD Holdings</w:t>
            </w:r>
          </w:p>
        </w:tc>
        <w:tc>
          <w:tcPr>
            <w:tcW w:w="1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5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96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Ownership</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Interests</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Ownership</w:t>
            </w:r>
          </w:p>
        </w:tc>
        <w:tc>
          <w:tcPr>
            <w:tcW w:w="1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88"/>
              </w:rPr>
              <w:t>Six Month Period Ended June 30, 2008:</w:t>
            </w: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Balance, January 1,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51,745,825</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48.3%</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55,322,792</w:t>
            </w:r>
          </w:p>
        </w:tc>
        <w:tc>
          <w:tcPr>
            <w:tcW w:w="4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51.7%</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107,068,617</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Activity January 1, 2008 to June 30, 2008:</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w w:val="98"/>
              </w:rPr>
              <w:t>Exchanges of membership interests for Class A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2,321,909</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(2,321,909)</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 membership interests issued in connection with the</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settlement of the purchase contracts related to the ESUs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14,582,750</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14,582,750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Balance, June 30, 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68,650,484</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56.4%</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53,000,883</w:t>
            </w:r>
          </w:p>
        </w:tc>
        <w:tc>
          <w:tcPr>
            <w:tcW w:w="4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121,651,367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88"/>
              </w:rPr>
              <w:t>Six Month Period Ended June 30, 2009:</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Balance, January 1, 2009</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76,294,912</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62.4%</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45,938,752</w:t>
            </w:r>
          </w:p>
        </w:tc>
        <w:tc>
          <w:tcPr>
            <w:tcW w:w="4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122,233,664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Activity January 1, 2009 to June 30, 2009:</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Common membership interests issued in connection with:</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Exchanges for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7,077,741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(7,077,741)</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300"/>
              <w:spacing w:after="0"/>
              <w:rPr>
                <w:sz w:val="20"/>
                <w:szCs w:val="20"/>
                <w:color w:val="auto"/>
              </w:rPr>
            </w:pPr>
            <w:r>
              <w:rPr>
                <w:rFonts w:ascii="Arial" w:cs="Arial" w:eastAsia="Arial" w:hAnsi="Arial"/>
                <w:sz w:val="18"/>
                <w:szCs w:val="18"/>
                <w:color w:val="auto"/>
              </w:rPr>
              <w:t>2009 Secondary Offering</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3,589,246</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(3,589,246)</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common membership interests from LAZ-MD</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jc w:val="center"/>
              <w:ind w:right="2912"/>
              <w:spacing w:after="0"/>
              <w:rPr>
                <w:sz w:val="20"/>
                <w:szCs w:val="20"/>
                <w:color w:val="auto"/>
              </w:rPr>
            </w:pPr>
            <w:r>
              <w:rPr>
                <w:rFonts w:ascii="Arial" w:cs="Arial" w:eastAsia="Arial" w:hAnsi="Arial"/>
                <w:sz w:val="18"/>
                <w:szCs w:val="18"/>
                <w:color w:val="auto"/>
                <w:w w:val="94"/>
              </w:rPr>
              <w:t>Holdings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(69,623)</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(69,623)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0"/>
              <w:spacing w:after="0"/>
              <w:rPr>
                <w:sz w:val="20"/>
                <w:szCs w:val="20"/>
                <w:color w:val="auto"/>
              </w:rPr>
            </w:pPr>
            <w:r>
              <w:rPr>
                <w:rFonts w:ascii="Arial" w:cs="Arial" w:eastAsia="Arial" w:hAnsi="Arial"/>
                <w:sz w:val="18"/>
                <w:szCs w:val="18"/>
                <w:color w:val="auto"/>
              </w:rPr>
              <w:t>Balance, June 30, 2009</w:t>
            </w:r>
          </w:p>
        </w:tc>
        <w:tc>
          <w:tcPr>
            <w:tcW w:w="800" w:type="dxa"/>
            <w:vAlign w:val="bottom"/>
            <w:shd w:val="clear" w:color="auto" w:fill="000000"/>
          </w:tcPr>
          <w:p>
            <w:pPr>
              <w:spacing w:after="0" w:line="20" w:lineRule="exact"/>
              <w:rPr>
                <w:sz w:val="1"/>
                <w:szCs w:val="1"/>
                <w:color w:val="auto"/>
              </w:rPr>
            </w:pPr>
          </w:p>
        </w:tc>
        <w:tc>
          <w:tcPr>
            <w:tcW w:w="146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71.2%</w:t>
            </w: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86,961,899</w:t>
            </w:r>
          </w:p>
        </w:tc>
        <w:tc>
          <w:tcPr>
            <w:tcW w:w="1460" w:type="dxa"/>
            <w:vAlign w:val="bottom"/>
            <w:gridSpan w:val="3"/>
            <w:vMerge w:val="continue"/>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35,202,142</w:t>
            </w:r>
          </w:p>
        </w:tc>
        <w:tc>
          <w:tcPr>
            <w:tcW w:w="4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122,164,041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 ended June 30, 2009 did not materially impact Lazard Ltd’s stockholders’ equity.</w:t>
      </w:r>
    </w:p>
    <w:p>
      <w:pPr>
        <w:spacing w:after="0" w:line="1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2009 and 2008,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2005 Plan).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RSUs require future service as a condition for the delivery of the underlying shares of Class A common stock and convert into Class A common stock on a one-for-one basis after the stipulated vesting periods. The grant date fair value of the RSUs, net of an estimated forfeiture rate, is amortized over the vesting periods or requisite service periods as required under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and, for purposes of calculating diluted net income per share, are included in the diluted weighted average shares of Class A common stock outstanding using the treasury stock method. Expense relating to RSUs is charged to “compensation and benefits” expense (and, as applicable in 2009, “restructuring” expense, with respect to the expense associated with the acceleration of unrecognized expense pertaining to RSUs granted previously to individuals who were terminated in the restructuring) within the condensed consolidated statements of operations, and amounted to $64,111 and $152,798 for the three month and six month periods ended June 30, 2009, respectively (including $24,239 in the restructuring expense recognized in the first quarter of 2009), and $56,708 and $112,330 during the three month and six month period ended June 30, 2008, respectively. 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2009 and 2008, dividend participation rights required the issuance of 169,582 and 100,934 RSUs, respectively, and resulted in a charge to “retained earnings” and a credit to “additional paid-in-capital”, net of estimated forfeitures, of $3,505 and $3,693, during the respective periods.</w:t>
      </w:r>
    </w:p>
    <w:p>
      <w:pPr>
        <w:spacing w:after="0" w:line="10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the six month periods ended June 30, 2009 and 2008, 1,128,585 and 458,643 RSUs vested, respectively. In connection therewith, and after considering the withholding tax obligations pertaining thereto, 745,890 and 366,401 shares of Class A common stock held by Lazard Group were delivered,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Stock Unit Grants</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amounted to 33,359 and 25,307 DSUs granted during the six month periods ended June 30,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resulting in nominal cash payments for the six months ended June 30, 2009 and 2008. DSU awards are expensed at their fair value on their date of grant, which, inclusive of amounts related to the Directors’ Fee Deferral Unit Plan, totaled $1,006 and $1,083 during the three month and six month periods ended June 30, 2009, respectively, and $1,000 and $1,067 during the three month and six month periods ended June 30, 2008, respectively.</w:t>
      </w:r>
    </w:p>
    <w:p>
      <w:pPr>
        <w:spacing w:after="0" w:line="10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or the 2008 Plan in lieu of some or all of their cash fees. The number of DSUs that shall be granted to a Non-Executive Director pursuant to this election will equal the value of cash fees that the applicable Non-Executive Director has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elected to forego pursuant to such election, divided by the closing market value of a share of Class A common stock on the date on which the foregone cash fees would otherwise have been paid. DSUs granted pursuant to such Plan amounted to 5,446 and 2,885 DSUs during the six month periods ended June 30, 2009 and 2008,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2009 and 2008:</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Units</w:t>
            </w:r>
          </w:p>
        </w:tc>
        <w:tc>
          <w:tcPr>
            <w:tcW w:w="3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 (including 169,582 RSUs relating to dividend participation)</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7,161,473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ind w:left="180"/>
              <w:spacing w:after="0"/>
              <w:rPr>
                <w:sz w:val="20"/>
                <w:szCs w:val="20"/>
                <w:color w:val="auto"/>
              </w:rPr>
            </w:pPr>
            <w:r>
              <w:rPr>
                <w:rFonts w:ascii="Arial" w:cs="Arial" w:eastAsia="Arial" w:hAnsi="Arial"/>
                <w:sz w:val="18"/>
                <w:szCs w:val="18"/>
                <w:color w:val="auto"/>
                <w:w w:val="84"/>
              </w:rPr>
              <w:t>30.84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38,805</w:t>
            </w:r>
          </w:p>
        </w:tc>
        <w:tc>
          <w:tcPr>
            <w:tcW w:w="6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rPr>
              <w:t>(657,866)</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Vested/Converted</w:t>
            </w:r>
          </w:p>
        </w:tc>
        <w:tc>
          <w:tcPr>
            <w:tcW w:w="880" w:type="dxa"/>
            <w:vAlign w:val="bottom"/>
          </w:tcPr>
          <w:p>
            <w:pPr>
              <w:spacing w:after="0"/>
              <w:rPr>
                <w:sz w:val="18"/>
                <w:szCs w:val="18"/>
                <w:color w:val="auto"/>
              </w:rPr>
            </w:pPr>
          </w:p>
        </w:tc>
        <w:tc>
          <w:tcPr>
            <w:tcW w:w="1080" w:type="dxa"/>
            <w:vAlign w:val="bottom"/>
            <w:gridSpan w:val="3"/>
          </w:tcPr>
          <w:p>
            <w:pPr>
              <w:jc w:val="right"/>
              <w:ind w:right="172"/>
              <w:spacing w:after="0"/>
              <w:rPr>
                <w:sz w:val="20"/>
                <w:szCs w:val="20"/>
                <w:color w:val="auto"/>
              </w:rPr>
            </w:pPr>
            <w:r>
              <w:rPr>
                <w:rFonts w:ascii="Arial" w:cs="Arial" w:eastAsia="Arial" w:hAnsi="Arial"/>
                <w:sz w:val="18"/>
                <w:szCs w:val="18"/>
                <w:color w:val="auto"/>
                <w:w w:val="89"/>
              </w:rPr>
              <w:t>(1,128,585)</w:t>
            </w: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ind w:left="180"/>
              <w:spacing w:after="0"/>
              <w:rPr>
                <w:sz w:val="20"/>
                <w:szCs w:val="20"/>
                <w:color w:val="auto"/>
              </w:rPr>
            </w:pPr>
            <w:r>
              <w:rPr>
                <w:rFonts w:ascii="Arial" w:cs="Arial" w:eastAsia="Arial" w:hAnsi="Arial"/>
                <w:sz w:val="18"/>
                <w:szCs w:val="18"/>
                <w:color w:val="auto"/>
                <w:w w:val="84"/>
              </w:rPr>
              <w:t>39.39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27,516,490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4"/>
              </w:rPr>
              <w:t>37.05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104,061</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RSUs</w:t>
            </w: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6"/>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9,507,935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 (including 100,934 RSUs relating to dividend participation)</w:t>
            </w: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12,282,433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28,192</w:t>
            </w:r>
          </w:p>
        </w:tc>
        <w:tc>
          <w:tcPr>
            <w:tcW w:w="6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(355,697)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Vested/Converted</w:t>
            </w:r>
          </w:p>
        </w:tc>
        <w:tc>
          <w:tcPr>
            <w:tcW w:w="1160" w:type="dxa"/>
            <w:vAlign w:val="bottom"/>
            <w:gridSpan w:val="2"/>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(458,643)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(5,839)</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16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20,976,028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57,663</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2009, unrecognized RSU compensation expense, adjusted for estimated forfeitures, was approximately $485,000, with such unrecognized compensation expense expected to be recognized over a weighted average period of approximately 2.2 years subsequent to June 30, 2009.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portion of the incentive awards granted in February 2009 included a deferred cash component currently aggregating $144,100, which vests over a maximum period of four years. Such deferred cash awards vest and are payable as follows: $47,367 on November 30, 2009, $34,449 on November 30, 2010, $34,299 on February 28, 2012 and $27,985 on February 28, 2013. Payments are subject to the employee meeting the vesting requirements, and, except for the November 30, 2009 payment, earn interest at an annual rate of 5%. The compensation expense with respect to the deferred cash component award, net of estimated forfeitures, is being recognized over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weighted average period of 2.2 years from the date of grant. Compensation and benefits expense relating to such awards amounted to $23,397 and $41,772 for the three month and six month periods ended June 30, 2009, respectively.</w:t>
      </w:r>
    </w:p>
    <w:p>
      <w:pPr>
        <w:spacing w:after="0" w:line="11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through its subsidiaries, provides retirement and other post-employment benefits to certain of its employees through defined contribution and defined benefit pension plans and other post-retirement benefit plans. The Company has the right to amend or terminate its benefit plans at any time subject to the terms of such plans. Expenses (benefits) related to the Company’s employee benefit plans are included in “compensation and benefits” expense on the condensed consolidated statements of operations. The Company uses December 31 as the measurement date for its employee benefit plans.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In accordance with agreements reached with the Trustees of the two U.K. pension plans in 2005,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contributed a final committed payment of approximately $16,000 (8.2 million British pounds) during the six month period ended June 30, 2008. Under the same agreements, the Company is contingently obligated to make further contributions to its U.K. pension plans depending on the cumulative performance of the plans’ assets against specific benchmarks as measured on June 1, 2009 (the “measurement date”) and subsequently on June 1, 2010 (the “remeasurement date”). The liability related to the cumulative underperformance of the plans’ assets (the “underperformance obligation”) at the measurement date was 11.5 million British pounds (approximately $19,100) which is payable over four years commencing June 1, 2009 in equal monthly installments, and will be subject to further adjustment on the remeasurement date.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June 30, 2009 the Company and Trustees concluded the December 31, 2007 triennial valuation of the two U.K. pension plans,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(i) the Company agreed to contribute 2.3 million British pounds (approximately $3,800), during each year from 2011 to 2018 inclusive,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resulting from the December 31, 2010 triennial valuation, which the Company expects to have concluded prior to the contribution payment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2011, and (ii) to secure the Company’s obligations thereunder, on July 15, 2009 the Company placed in escrow 12.5 million British pounds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$20,700), with a final redemption date of December 31, 2018. Income on the escrow balance accretes to the Company. This amount is subject to adjustment based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the results of the December 31, 2010 triennial valuation and subsequent triennial valuations.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total benefit cost (credit) for the three month and six month periods ended June 30,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Pension Plan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277"/>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2"/>
              </w:rPr>
              <w:t>Supplement</w:t>
            </w:r>
          </w:p>
        </w:tc>
        <w:tc>
          <w:tcPr>
            <w:tcW w:w="1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Medical Plans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11"/>
          </w:tcPr>
          <w:p>
            <w:pPr>
              <w:ind w:left="140"/>
              <w:spacing w:after="0" w:line="142" w:lineRule="exact"/>
              <w:rPr>
                <w:sz w:val="20"/>
                <w:szCs w:val="20"/>
                <w:color w:val="auto"/>
              </w:rPr>
            </w:pPr>
            <w:r>
              <w:rPr>
                <w:rFonts w:ascii="Arial" w:cs="Arial" w:eastAsia="Arial" w:hAnsi="Arial"/>
                <w:sz w:val="14"/>
                <w:szCs w:val="14"/>
                <w:b w:val="1"/>
                <w:bCs w:val="1"/>
                <w:color w:val="auto"/>
              </w:rPr>
              <w:t>For The Three Month Period Ended June 30,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center"/>
              <w:ind w:right="180"/>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5,887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7,733</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78"/>
              </w:rPr>
              <w:t>14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17</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(6,570)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(8,941)</w:t>
            </w:r>
          </w:p>
        </w:tc>
        <w:tc>
          <w:tcPr>
            <w:tcW w:w="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Prior service credit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86"/>
              </w:rPr>
              <w:t>227</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LCH post-retirement medical plan termination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center"/>
              <w:ind w:left="96"/>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(456)</w:t>
            </w:r>
          </w:p>
        </w:tc>
        <w:tc>
          <w:tcPr>
            <w:tcW w:w="108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78"/>
              </w:rPr>
              <w:t>14</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17</w:t>
            </w:r>
          </w:p>
        </w:tc>
        <w:tc>
          <w:tcPr>
            <w:tcW w:w="4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w w:val="84"/>
              </w:rPr>
              <w:t>Pension Plan</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357"/>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Supplement</w:t>
            </w:r>
          </w:p>
        </w:tc>
        <w:tc>
          <w:tcPr>
            <w:tcW w:w="1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Medical Plans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11"/>
          </w:tcPr>
          <w:p>
            <w:pPr>
              <w:ind w:left="140"/>
              <w:spacing w:after="0" w:line="142" w:lineRule="exact"/>
              <w:rPr>
                <w:sz w:val="20"/>
                <w:szCs w:val="20"/>
                <w:color w:val="auto"/>
              </w:rPr>
            </w:pPr>
            <w:r>
              <w:rPr>
                <w:rFonts w:ascii="Arial" w:cs="Arial" w:eastAsia="Arial" w:hAnsi="Arial"/>
                <w:sz w:val="14"/>
                <w:szCs w:val="14"/>
                <w:b w:val="1"/>
                <w:bCs w:val="1"/>
                <w:color w:val="auto"/>
              </w:rPr>
              <w:t>For The Six Month Period Ended June 30,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gridSpan w:val="3"/>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63"/>
              <w:spacing w:after="0"/>
              <w:rPr>
                <w:sz w:val="20"/>
                <w:szCs w:val="20"/>
                <w:color w:val="auto"/>
              </w:rPr>
            </w:pPr>
            <w:r>
              <w:rPr>
                <w:rFonts w:ascii="Arial" w:cs="Arial" w:eastAsia="Arial" w:hAnsi="Arial"/>
                <w:sz w:val="18"/>
                <w:szCs w:val="18"/>
                <w:color w:val="auto"/>
                <w:w w:val="79"/>
              </w:rPr>
              <w:t>$</w:t>
            </w:r>
          </w:p>
        </w:tc>
        <w:tc>
          <w:tcPr>
            <w:tcW w:w="18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11,390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15,505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30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w w:val="74"/>
              </w:rPr>
              <w:t>33</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155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880" w:type="dxa"/>
            <w:vAlign w:val="bottom"/>
            <w:gridSpan w:val="5"/>
          </w:tcPr>
          <w:p>
            <w:pPr>
              <w:jc w:val="right"/>
              <w:ind w:right="20"/>
              <w:spacing w:after="0"/>
              <w:rPr>
                <w:sz w:val="20"/>
                <w:szCs w:val="20"/>
                <w:color w:val="auto"/>
              </w:rPr>
            </w:pPr>
            <w:r>
              <w:rPr>
                <w:rFonts w:ascii="Arial" w:cs="Arial" w:eastAsia="Arial" w:hAnsi="Arial"/>
                <w:sz w:val="18"/>
                <w:szCs w:val="18"/>
                <w:color w:val="auto"/>
              </w:rPr>
              <w:t>(12,700)</w:t>
            </w:r>
          </w:p>
        </w:tc>
        <w:tc>
          <w:tcPr>
            <w:tcW w:w="36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(17,915)</w:t>
            </w:r>
          </w:p>
        </w:tc>
        <w:tc>
          <w:tcPr>
            <w:tcW w:w="8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Prior service credit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(691)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435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LCH post-retirement medical plan termination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center"/>
              <w:ind w:left="56"/>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ind w:left="118"/>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periodic benefit cost (credit)</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(875)</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30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w w:val="74"/>
              </w:rPr>
              <w:t>33</w:t>
            </w:r>
          </w:p>
        </w:tc>
        <w:tc>
          <w:tcPr>
            <w:tcW w:w="46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February 2009, the Company announced a restructuring plan to optimize its mix of personnel, which included certain staff reductions and realignments of personnel. In connection with such plan, the Company recorded an increase to the after-tax loss attributable to Lazard Ltd in the three month period ended March 31, 2009 of $35,074, as a result of a charge of $62,550 (principally consisting of compensation-related expenses, including the acceleration of unrecognized expense pertaining to RSUs previously granted to individuals who were terminated pursuant to the restructuring), with this charge partially offset by associated income tax and noncontrolling interest credits of $6,401 and $21,075, respectively.</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June 30, 2009, the remaining liability associated with the restructuring plan was approximately $21,700 and primarily relates to severance and benefit payments and other costs associated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restructuring. Such aggregate amount is reported within “accrued compensation and benefits” and “other liabilities” on the accompanying condensed consolidated statement of financial condition as of June 30, 2009.</w:t>
      </w:r>
    </w:p>
    <w:p>
      <w:pPr>
        <w:spacing w:after="0" w:line="11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Lazard Ltd is subject to U.S. federal income taxes on its portion of Lazard Group’s operating income. Lazard Group is subject to the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recorded income tax provisions of $13,519 and $9,344 for the three month and six month periods ended June 30, 2009, respectively,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$18,110 and $22,950 for the three month and six month periods ended June 30, 2008, respectively, representing effective tax rates of 23.7%, (27.6)%, 20.6%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21.7%, respectively. Excluding the income tax benefit of $6,401 related to the $62,550 restructuring charge in the first quarter of 2009, the Company had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of $15,745 in the six month period ended June 30, 2009.</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difference between the U.S. federal statutory rate of 35.0% and the effective tax rates described above principally relates to (i) foreign source income (loss) not subject to U.S. income taxes, (ii) Lazard Group’s income from U.S. operations attributable to the noncontrolling interest, (iii) the amortization associated with the tax basis step-up resulting from the Company’s separation and recapitalization that occurred in May 2005 and from the exchange of LAZ-MD Holdings exchangeable interests for shares of Class A common stock in connection with the 2006, 2008 and 2009 exchanges and secondary offerings, (iv) the 2009 loss for which a valuation allowance has been established and (v) U.S. state and local taxes, which are incremental to the U.S. federal statutory tax rate.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the exchanges of LAZ-MD Holdings exchangeable interests for shares of Class A common stock in 2006, 2008 and 2009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three month and six month periods ended June 30, 2009 and 2008. If any provision is required pursuant to the tax receivable agreement, such amount would be fully offset by a reduction in the Company’s income tax expense.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three month and six month periods ended June 30, 2009 and 2008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three month and six month periods ended June 30, 2009 and 2008,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net income (loss) associated with the inclusion of shares of Class A common stock issuable in connection with both the LAM Merger and business acquisitions, as described in Notes 5 and 6, respectively, of Notes to Condensed Consolidated Financial Statements.</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three month and six month periods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2009 and 2008, plus applicable adjustments to such shares associated with shares of Class A common stock issuable in connection with the LAM Merger and business acquisitions.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three month and six month periods ended June 30, 2009 and 2008 as in the basic</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(loss) per share calculation described above, plus, to the extent applicable and dilutive, (i) interest expense on convertible debt and equity security units (“ESUs”), (ii) changes in net income (loss) attributable to noncontrolling interests resulting from assumed share issuances in connection with DSUs, RSUs, ESUs, convertible debt, convertible preferred stock and, on an “as-if-exchanged” basis, amounts applicable to LAZ-MD Holdings exchangeable interests and (iii) income tax related to (i) and (ii) above.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three month and six month periods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2009 and 2008 as in the basic net income (loss) per share calculation described above, plus, to the extent dilutive, the incremental number of shares of Class A common stock to settle DSU and RSU awards, ESUs, convertible debt, convertible preferred stock and LAZ-MD Holdings exchangeable interests, using the treasury stock method, the “if converted” method or the “as-if-exchanged” method, as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(loss) per share and weighted average shares outstanding for the three month and six month periods ended June 30, 2009 and 2008 are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2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$28,187</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$34,317</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$(25,309)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9"/>
              </w:rPr>
              <w:t>Add — adjustment associated with Class A common stock issuable relating to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the LAM Merger and business acquisitions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(473)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34,625</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(25,782)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income relating to interest expense and changes in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income (loss) attributable to noncontrolling interests resulting from</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assumed share issuances in connection with DSUs, RSUs, ESUs,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convertible debt, convertible preferred stock and exchangeable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interests, net of tax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33,339</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 — diluted</w:t>
            </w: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$44,098</w:t>
            </w:r>
          </w:p>
        </w:tc>
        <w:tc>
          <w:tcPr>
            <w:tcW w:w="34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$67,964</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$(25,782)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shares of Class A common stock outstanding</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71,717,196</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55,231,567</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69,333,527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52,013,239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8"/>
              </w:rPr>
              <w:t>Add — adjustment for shares of Class A common Stock issuable relating to the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LAM Merger and business acquisitions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3,218,462</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1,185,283</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3,206,471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1,185,283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3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74,935,658</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56,416,850</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72,539,998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53,198,522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Weighted average number of incremental shares issuable from DSUs,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RSUs, ESUs, convertible debt, convertible preferred stock and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53,049,161</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70,294,946</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0" w:type="dxa"/>
            <w:vAlign w:val="bottom"/>
            <w:gridSpan w:val="2"/>
          </w:tcPr>
          <w:p>
            <w:pPr>
              <w:spacing w:after="0"/>
              <w:rPr>
                <w:sz w:val="20"/>
                <w:szCs w:val="20"/>
                <w:color w:val="auto"/>
              </w:rPr>
            </w:pPr>
            <w:r>
              <w:rPr>
                <w:rFonts w:ascii="Arial" w:cs="Arial" w:eastAsia="Arial" w:hAnsi="Arial"/>
                <w:sz w:val="18"/>
                <w:szCs w:val="18"/>
                <w:color w:val="auto"/>
                <w:w w:val="89"/>
              </w:rPr>
              <w:t>Weighted average number of shares of Class A common stock outstanding —</w:t>
            </w: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127,984,819</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126,711,796</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72,539,998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113,713,062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Net income (loss) attributable to Lazard Ltd per share of Class A common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1780" w:type="dxa"/>
            <w:vAlign w:val="bottom"/>
            <w:gridSpan w:val="3"/>
          </w:tcPr>
          <w:p>
            <w:pPr>
              <w:jc w:val="right"/>
              <w:ind w:right="340"/>
              <w:spacing w:after="0"/>
              <w:rPr>
                <w:sz w:val="20"/>
                <w:szCs w:val="20"/>
                <w:color w:val="auto"/>
              </w:rPr>
            </w:pPr>
            <w:r>
              <w:rPr>
                <w:rFonts w:ascii="Arial" w:cs="Arial" w:eastAsia="Arial" w:hAnsi="Arial"/>
                <w:sz w:val="18"/>
                <w:szCs w:val="18"/>
                <w:color w:val="auto"/>
              </w:rPr>
              <w:t>$0.61</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$(0.36)</w:t>
            </w:r>
          </w:p>
        </w:tc>
        <w:tc>
          <w:tcPr>
            <w:tcW w:w="112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vMerge w:val="restart"/>
          </w:tcPr>
          <w:p>
            <w:pPr>
              <w:jc w:val="right"/>
              <w:ind w:right="52"/>
              <w:spacing w:after="0"/>
              <w:rPr>
                <w:sz w:val="20"/>
                <w:szCs w:val="20"/>
                <w:color w:val="auto"/>
              </w:rPr>
            </w:pPr>
            <w:r>
              <w:rPr>
                <w:rFonts w:ascii="Arial" w:cs="Arial" w:eastAsia="Arial" w:hAnsi="Arial"/>
                <w:sz w:val="18"/>
                <w:szCs w:val="18"/>
                <w:color w:val="auto"/>
                <w:w w:val="89"/>
              </w:rPr>
              <w:t>35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June 30, 2009 and December 31, 2008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948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LFCM Holdings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$10,219</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10,377</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48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10,235</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w:t>
            </w:r>
          </w:p>
        </w:tc>
      </w:tr>
      <w:tr>
        <w:trPr>
          <w:trHeight w:val="20"/>
        </w:trPr>
        <w:tc>
          <w:tcPr>
            <w:tcW w:w="9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1"/>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LFCM Holdings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$20,943</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36,815</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2"/>
        </w:trPr>
        <w:tc>
          <w:tcPr>
            <w:tcW w:w="9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21,062</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37,211</w:t>
            </w:r>
          </w:p>
        </w:tc>
      </w:tr>
      <w:tr>
        <w:trPr>
          <w:trHeight w:val="20"/>
        </w:trPr>
        <w:tc>
          <w:tcPr>
            <w:tcW w:w="9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by Lazard Group (referred to as the “separated businesses”) in May 2005 and is owned by the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an insurance matters agreement and a license agreement that addressed various business matters associated with the separation, as well as employee benefits, administrative services, business alliance and lease indemnity agreements, all of which are described in the Company’s Form 10-K.</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the three month and six month periods ended June 30, 2009, amounts recorded by Lazard Group relating to administrative and support services under the administrative services agreement (the “administrative services agreement”) amounted to $1,035 and $2,492, respectively, and net referral fees for underwriting, private placement, M&amp;A and restructuring transactions under the business alliance agreement amounted to $6,431 and $6,588 respectively. For the three month and six month periods ended June 30, 2008, amounts recorded by Lazard Group relating to administrative and support services under the administrative services agreement amounted to $967 and $1,939, respectively, and net referral fees for underwriting and private placement transactions under the business alliance agreement amounted to $9,922 and $19,689, respectively. Amounts relating to administrative and support services under the administrative services agreement are reported as reductions to operating expenses. Net referral fees for underwriting transactions under the business alliance agreement are reported as reductions to “revenue – other”. Net referral fees for private placement, M&amp;A and restructuring transactions under the business alliance agreement are reported as reductions to advisory fee revenue.</w:t>
      </w:r>
    </w:p>
    <w:p>
      <w:pPr>
        <w:spacing w:after="0" w:line="10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respect to the lease indemnity agreement, the net present value of the receivable due from LFCM Holdings with respect to its indemnification for obligations relating to abandoned lease space in the U.K. at June 30, 2009 and December 31, 2008 was $2,609 and $4,085, respectively. The balance is due based on a schedule of periodic payments through May 10,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remaining receivables from LFCM Holdings and its subsidiaries as of June 30, 2009 and December 31, 2008 primarily include $1,313 and $4,949, respectively, related to administrative and support services and reimbursement of expenses incurred on behalf of LFCM Holdings and $5,528 and $1,087, respectively, related to referral fees for underwriting and private placement transactions. Payables to LFCM Holdings and its subsidiaries at June 30, 2009 and December 31, 2008 relate to obligations pursuant to the tax receivable agreement of $16,571 and $36,111, respectively (see Note 14 of Notes to Condensed Consolidated Financial Statements) and $4,372 and $704, respectively, principally relating to referral fees for Financial Advisory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2009 such charges amounted to $187 and $375, respectively. For the three month and six month periods ended June 30, 2008 such charges amounted to $187 and $375,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see Note 9 of Notes to Condensed Consolidated Financial Statements for information regarding CP II and the Sapphire IPO.</w:t>
      </w:r>
    </w:p>
    <w:p>
      <w:pPr>
        <w:spacing w:after="0" w:line="15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2009, LFNY’s regulatory net capital was $89,076, which exceeded the minimum requirement by $83,033.</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2009, the aggregate regulatory net capital of the U.K. Subsidiaries was $230,839, which exceeded the minimum requirement by $189,783.</w:t>
      </w:r>
    </w:p>
    <w:p>
      <w:pPr>
        <w:spacing w:after="0" w:line="127"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Commission Bancaire and the Comité des Etablissements de Crédit et des Entreprises d’Investissement for its banking activities conducted through its subsidiary, LFB. In addition, the investment services activities of the Paris group, exercised through LFB and other subsidiaries of CFLF, primarily LFG (asset management) and Fonds Partenaires Gestion (private equity), are subject to regulation and supervision by the Autorité des Marchés Financiers. At June 30, 2009, the consolidated regulatory net capital of CFLF was $187,947, which exceeded the minimum requirement set for regulatory capital levels by $84,521.</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2009, for those subsidiaries with regulatory capital requirements, their aggregate net capital was $75,520, which exceeded the minimum required capital by $54,988.</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2009, each of these subsidiaries individually was in compliance with its regulatory capital requirements.</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We believe that Lazard Ltd is the only institution currently subject to supervision by the SEC as a SIBHC. We are in discussions with the SEC regarding the scope and nature of Lazard Ltd’s reporting and other obligations under the SIBHC program.</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17, 2009, the U.S. Department of the Treasury, in coordination with the White House, released a white paper entitled “Financial Regulatory Reform A New Foundation: Rebuilding Financial Supervision and Regulation”. The paper sets forth a plan for comprehensive regulatory reform of the financial services industry. The plan includes, among other things, a significant expansion of the oversight powers of the Federal Reserve and the creation of a new Financial Services Oversight Council. The plan also includes a recommendation to eliminate the SIBHC program. We are monitoring developments regarding the regulatory reform plan and its possible effects on our business and operations.</w:t>
      </w:r>
    </w:p>
    <w:p>
      <w:pPr>
        <w:spacing w:after="0" w:line="10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advice on M&amp;A and strategic advisory matters, restructurings and capital structure advisory services, capital raising and other transactions),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2009 and 2008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 (loss).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(loss) and believes that the following information provides a reasonable representation of each segment’s contribution to operations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252,024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288,696</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415,001</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500,959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205,485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229,673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383,106</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404,433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31,895</w:t>
            </w: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80" w:type="dxa"/>
            <w:vAlign w:val="bottom"/>
            <w:gridSpan w:val="3"/>
          </w:tcPr>
          <w:p>
            <w:pPr>
              <w:spacing w:after="0"/>
              <w:rPr>
                <w:sz w:val="20"/>
                <w:szCs w:val="20"/>
                <w:color w:val="auto"/>
              </w:rPr>
            </w:pPr>
            <w:r>
              <w:rPr>
                <w:rFonts w:ascii="Arial" w:cs="Arial" w:eastAsia="Arial" w:hAnsi="Arial"/>
                <w:sz w:val="18"/>
                <w:szCs w:val="18"/>
                <w:color w:val="auto"/>
              </w:rPr>
              <w:t>Asset Management</w:t>
            </w:r>
          </w:p>
        </w:tc>
        <w:tc>
          <w:tcPr>
            <w:tcW w:w="4320" w:type="dxa"/>
            <w:vAlign w:val="bottom"/>
          </w:tcPr>
          <w:p>
            <w:pPr>
              <w:ind w:left="50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131,543</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180,372</w:t>
            </w:r>
          </w:p>
        </w:tc>
        <w:tc>
          <w:tcPr>
            <w:tcW w:w="3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233,066</w:t>
            </w:r>
          </w:p>
        </w:tc>
        <w:tc>
          <w:tcPr>
            <w:tcW w:w="8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345,403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103,973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142,292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194,413</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256,935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27,570</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38,080</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38,653</w:t>
            </w:r>
          </w:p>
        </w:tc>
        <w:tc>
          <w:tcPr>
            <w:tcW w:w="8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88,468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2"/>
              <w:spacing w:after="0"/>
              <w:rPr>
                <w:sz w:val="20"/>
                <w:szCs w:val="20"/>
                <w:color w:val="auto"/>
              </w:rPr>
            </w:pPr>
            <w:r>
              <w:rPr>
                <w:rFonts w:ascii="Arial" w:cs="Arial" w:eastAsia="Arial" w:hAnsi="Arial"/>
                <w:sz w:val="18"/>
                <w:szCs w:val="18"/>
                <w:color w:val="auto"/>
              </w:rPr>
              <w:t>(24,047)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80,324</w:t>
            </w:r>
          </w:p>
        </w:tc>
        <w:tc>
          <w:tcPr>
            <w:tcW w:w="800" w:type="dxa"/>
            <w:vAlign w:val="bottom"/>
          </w:tcPr>
          <w:p>
            <w:pPr>
              <w:jc w:val="right"/>
              <w:ind w:right="482"/>
              <w:spacing w:after="0"/>
              <w:rPr>
                <w:sz w:val="20"/>
                <w:szCs w:val="20"/>
                <w:color w:val="auto"/>
              </w:rPr>
            </w:pPr>
            <w:r>
              <w:rPr>
                <w:rFonts w:ascii="Arial" w:cs="Arial" w:eastAsia="Arial" w:hAnsi="Arial"/>
                <w:sz w:val="18"/>
                <w:szCs w:val="18"/>
                <w:color w:val="auto"/>
                <w:w w:val="99"/>
              </w:rPr>
              <w:t>(a)</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(17,163)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w w:val="88"/>
              </w:rPr>
              <w:t>(104,371)(a)</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(79,234)</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ind w:left="500"/>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375,625</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467,388</w:t>
            </w:r>
          </w:p>
        </w:tc>
        <w:tc>
          <w:tcPr>
            <w:tcW w:w="3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624,020</w:t>
            </w:r>
          </w:p>
        </w:tc>
        <w:tc>
          <w:tcPr>
            <w:tcW w:w="8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775,467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318,679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379,650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657,843</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669,707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56,946</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87,738</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2"/>
              <w:spacing w:after="0"/>
              <w:rPr>
                <w:sz w:val="20"/>
                <w:szCs w:val="20"/>
                <w:color w:val="auto"/>
              </w:rPr>
            </w:pPr>
            <w:r>
              <w:rPr>
                <w:rFonts w:ascii="Arial" w:cs="Arial" w:eastAsia="Arial" w:hAnsi="Arial"/>
                <w:sz w:val="18"/>
                <w:szCs w:val="18"/>
                <w:color w:val="auto"/>
              </w:rPr>
              <w:t>(33,823)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restructuring expense of $62,550 in the three month period ended March 31, 2009 (see Note 13 of Notes to Condensed Consolidated Financial Statements).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672,741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739,444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390,704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1,589,885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1,703,629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2,653,330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2,862,931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640" w:type="dxa"/>
            <w:vAlign w:val="bottom"/>
            <w:vMerge w:val="restart"/>
          </w:tcPr>
          <w:p>
            <w:pPr>
              <w:jc w:val="right"/>
              <w:ind w:right="3452"/>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SUBSEQUENT EVENT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July 15, 2009, the Company established a Chicago-based private equity business with The Edgewater Funds (“Edgewater”), a private equity firm based in Chicago, Illinois, through the acquisition of Edgewater’s management vehicles. Following such acquisition, Edgewater’s current leadership team retained a substantial economic interest. Edgewater primarily manages two middle market funds with approximately $700,000 of assets under management, Edgewater Growth Capital Partners, L.P. and Edgewater Growth Capital Partners II, L.P. The acquisition was structured as a purchase by Lazard Group of interests in a holding company that in turn owns interests in the general partner and management company entities of the current Edgewater private equity funds. The aggregate consideration paid to the sellers in the transaction consisted of (i) a one-time cash payment, (ii) 1,142,857 shares of Class A common stock (which shares are subject to restrictions and forfeiture) (the “Initial Shares”) and (iii) up to 1,142,857 additional shares of Class A common stock (which shares are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and paid only if certain performance thresholds for the next two Edgewater funds are met. The operating results relating to Edgewater will be included in the Company’s Asset Management segment.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has included in Parts I and II of this Form 10-Q, including in its Management’s Discussion and Analysis of Financial Condition and Results of Operations (the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Annual Report on Form 10-K for the year ended December 31, 2008 (the “Form 10-K”) under the caption “Risk Factors,” including the following:</w:t>
      </w:r>
    </w:p>
    <w:p>
      <w:pPr>
        <w:spacing w:after="0" w:line="25"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recruitment and retention of managing directors and employees,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tax 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 with respect to the economy, securities markets, the market for mergers, acquisitions and strategic advisory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its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www.lazard.com</w:t>
      </w:r>
      <w:r>
        <w:rPr>
          <w:rFonts w:ascii="Arial" w:cs="Arial" w:eastAsia="Arial" w:hAnsi="Arial"/>
          <w:sz w:val="16"/>
          <w:szCs w:val="16"/>
          <w:color w:val="auto"/>
        </w:rPr>
        <w:t>. Our websites and the information contained therein or connected thereto are not incorporated into this Form 10-Q.</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alternative investments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or “our bank”). The Company also allocates outstanding indebtedness to its Corporate segment.</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Paris House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25, 2008, pursuant to a definitive merger agreement dated August 14, 2008, the Company, LAM, and LAZ Sub I, LLC, a then newly formed subsidiary of Lazard Frères &amp; Co. LLC (“LFNY”), completed the merger of LAZ Sub I, LLC with and into LAM (the “LAM Merger”). See Note 5 of Notes to Condensed Consolidated Financial Statements for additional information relating to the LAM Merger.</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June, 2009, the Company formed a new wealth management subsidiary, Lazard Wealth Management LLC (“Lazard Wealth Management). Lazard Wealth Management will provide customized,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management and financial planning services to high net worth investors. Lazard Wealth Management expects to work with investors to construct, implement and monitor an asset allocation strategy designed to meet the individual client’s investment objectives, integrating tax planning, estate planning, philanthropic interests and legacy planning with investment and risk management services. Prior to the launch of this business, we intend to register Lazard Wealth Management as a registered investment adviser with the SEC.</w:t>
      </w:r>
    </w:p>
    <w:p>
      <w:pPr>
        <w:spacing w:after="0" w:line="13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See Note 9 of Notes to Condensed Consolidated Financial Statements for additional information regarding alternative investments.</w:t>
      </w:r>
    </w:p>
    <w:p>
      <w:pPr>
        <w:spacing w:after="0" w:line="10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Chicago-based private equity business with The Edgewater Funds, a Chicago-based private equity firm, through the acquisition of The Edgewater Funds’ management vehicles (see Note 19 of Notes to Condensed Consolidated Financial Statements). Also, consistent with our obligations to LFCM Holdings, we may explore discrete capital markets opportunities.</w:t>
      </w:r>
    </w:p>
    <w:p>
      <w:pPr>
        <w:spacing w:after="0" w:line="13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the three month and six month periods ended June 30, 2009 and 2008, the Company’s consolidated net revenue was derived from the following segments: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Economic and market conditions since early 2008 in the U.S. and global economies have been adversely impacted by factors including the contraction in worldwide credit markets and the related tightening of lending, volatility in currency and commodity markets and oil prices and write-downs within the financial sector. Overall, these economic and market conditions have negatively affected our financial performance in both our Financial Advisory and Asset Management businesses during the first half of 2009, albeit with improvement in the three month period ended June 30, 2009. While the market conditions described above have shown signs of recovery during the second quarter of 2009, the outlook for the second half of the year remains uncertain.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the Form 10-K. Furthermore, net income (loss)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M&amp;A activity for the three month and six month periods ended June 30, 2009 decreased substantially versus the corresponding periods in 2008 for global completed transactions as well as global and trans-atlantic announced transactions, while activity in financial restructuring accelerated during the 2009 periods driven by a significant increase in the number of corporate debt defaults. According to Moody’s Investors Service, Inc., in the six month period ended June 30, 2009, a total of 163 issuers defaulted as compared to 36 in the corresponding period in 2008. Moody’s is expecting further increases in the default rates throughout 2009. The following table sets forth industry statistics regarding the volume of M&amp;A transactions in the 2008 and 2009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5"/>
          </w:tcPr>
          <w:p>
            <w:pPr>
              <w:jc w:val="right"/>
              <w:ind w:right="1332"/>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Pr>
          <w:p>
            <w:pPr>
              <w:spacing w:after="0"/>
              <w:rPr>
                <w:sz w:val="14"/>
                <w:szCs w:val="14"/>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29"/>
        </w:trPr>
        <w:tc>
          <w:tcPr>
            <w:tcW w:w="43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332"/>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3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432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4"/>
                <w:szCs w:val="14"/>
                <w:b w:val="1"/>
                <w:bCs w:val="1"/>
                <w:color w:val="auto"/>
              </w:rPr>
              <w:t>Incr /(Decr)</w:t>
            </w: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 /(Decr)</w:t>
            </w:r>
          </w:p>
        </w:tc>
      </w:tr>
      <w:tr>
        <w:trPr>
          <w:trHeight w:val="142"/>
        </w:trPr>
        <w:tc>
          <w:tcPr>
            <w:tcW w:w="4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 in billions)</w:t>
            </w: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Global</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  246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607</w:t>
            </w:r>
          </w:p>
        </w:tc>
        <w:tc>
          <w:tcPr>
            <w:tcW w:w="2220" w:type="dxa"/>
            <w:vAlign w:val="bottom"/>
            <w:gridSpan w:val="3"/>
          </w:tcPr>
          <w:p>
            <w:pPr>
              <w:jc w:val="right"/>
              <w:ind w:right="472"/>
              <w:spacing w:after="0"/>
              <w:rPr>
                <w:sz w:val="20"/>
                <w:szCs w:val="20"/>
                <w:color w:val="auto"/>
              </w:rPr>
            </w:pPr>
            <w:r>
              <w:rPr>
                <w:rFonts w:ascii="Arial" w:cs="Arial" w:eastAsia="Arial" w:hAnsi="Arial"/>
                <w:sz w:val="18"/>
                <w:szCs w:val="18"/>
                <w:color w:val="auto"/>
              </w:rPr>
              <w:t>(59)%</w:t>
            </w:r>
          </w:p>
        </w:tc>
        <w:tc>
          <w:tcPr>
            <w:tcW w:w="540" w:type="dxa"/>
            <w:vAlign w:val="bottom"/>
          </w:tcPr>
          <w:p>
            <w:pPr>
              <w:jc w:val="right"/>
              <w:spacing w:after="0"/>
              <w:rPr>
                <w:sz w:val="20"/>
                <w:szCs w:val="20"/>
                <w:color w:val="auto"/>
              </w:rPr>
            </w:pPr>
            <w:r>
              <w:rPr>
                <w:rFonts w:ascii="Arial" w:cs="Arial" w:eastAsia="Arial" w:hAnsi="Arial"/>
                <w:sz w:val="18"/>
                <w:szCs w:val="18"/>
                <w:color w:val="auto"/>
              </w:rPr>
              <w:t>$  732</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$ 1,405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82"/>
        </w:trPr>
        <w:tc>
          <w:tcPr>
            <w:tcW w:w="43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1,349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Trans-Atlantic</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220" w:type="dxa"/>
            <w:vAlign w:val="bottom"/>
            <w:gridSpan w:val="3"/>
          </w:tcPr>
          <w:p>
            <w:pPr>
              <w:jc w:val="right"/>
              <w:ind w:right="472"/>
              <w:spacing w:after="0"/>
              <w:rPr>
                <w:sz w:val="20"/>
                <w:szCs w:val="20"/>
                <w:color w:val="auto"/>
              </w:rPr>
            </w:pPr>
            <w:r>
              <w:rPr>
                <w:rFonts w:ascii="Arial" w:cs="Arial" w:eastAsia="Arial" w:hAnsi="Arial"/>
                <w:sz w:val="18"/>
                <w:szCs w:val="18"/>
                <w:color w:val="auto"/>
              </w:rPr>
              <w:t>(84)%</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color w:val="auto"/>
              </w:rPr>
              <w:t>185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July 10, 200</w:t>
      </w:r>
      <w:r>
        <w:rPr>
          <w:rFonts w:ascii="Arial" w:cs="Arial" w:eastAsia="Arial" w:hAnsi="Arial"/>
          <w:sz w:val="18"/>
          <w:szCs w:val="18"/>
          <w:color w:val="auto"/>
        </w:rPr>
        <w:t>9</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overall M&amp;A industry statistics regarding the number and size of announced transactions continued to decline in the first six months of 2009 and the industry outlook for the remainder of 2009 remains uncertain, we believe that even in the current environment we are relatively well positioned, due to the expertise and insights of our bankers, the investments we have made in our business and the diversity of our products. Nevertheless, we expect 2009 to continue to be a challenging year. Generally, during such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expect that our Financial Restructuring practice should continue to benefit over the next several years from the significant acceleration in the level of corporate defaults, as well as from advising companies during this period of volatility on matters relating to debt and financing restructuring and other on- and off-balance sheet assignments. Our Financial Restructuring assignments normally are executed over a six- to eighteen-month period.</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in other jurisdictions and by the SEC. Our Private Fund Advisory Group, which is part of our Financial Advisory segment, acts as placement agent for investment funds, including investment funds that have historically received capital from certain of these affected public pension funds. We are continuing to evaluate the potential impact of these restrictions on our Private Fund Advisory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June 30, 2009 varied by region as compared to such indices at December 31, 2008, and were significantly lower across all regions as compared to June 30,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Percentage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3"/>
              </w:rPr>
              <w:t>June 30, 2009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400" w:type="dxa"/>
            <w:vAlign w:val="bottom"/>
          </w:tcPr>
          <w:p>
            <w:pPr>
              <w:spacing w:after="0"/>
              <w:rPr>
                <w:sz w:val="11"/>
                <w:szCs w:val="11"/>
                <w:color w:val="auto"/>
              </w:rPr>
            </w:pPr>
          </w:p>
        </w:tc>
        <w:tc>
          <w:tcPr>
            <w:tcW w:w="10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March 31,</w:t>
            </w:r>
          </w:p>
        </w:tc>
        <w:tc>
          <w:tcPr>
            <w:tcW w:w="480" w:type="dxa"/>
            <w:vAlign w:val="bottom"/>
          </w:tcPr>
          <w:p>
            <w:pPr>
              <w:spacing w:after="0"/>
              <w:rPr>
                <w:sz w:val="11"/>
                <w:szCs w:val="11"/>
                <w:color w:val="auto"/>
              </w:rPr>
            </w:pPr>
          </w:p>
        </w:tc>
        <w:tc>
          <w:tcPr>
            <w:tcW w:w="178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7400" w:type="dxa"/>
            <w:vAlign w:val="bottom"/>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98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CAC 40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FTSE 100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NASDAQ</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Because the fees that we receive for providing investment management and advisory services are primarily driven by the level of AUM, market downturns or volatility in foreign currencies that reduce the level of our AUM reduce the revenues we receive from our Asset Management business. Market appreciation (depreciation) reflected in the changes in Lazard’s AUM during the three and six month periods ended June 30, 2009 generally corresponded to the changes in global market indices. While somewhat improved during the second quarter of 2009 as compared to the first quarter of 2009, our management fee revenues were adversely impacted by the continuing effects of significant market depreciation experienced in the second half of 2008 through March 31, 2009 and may be impacted further should there be additional market downturns.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 of Financial Advisory net revenue is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Lazard’s Financial Advisory segment also earns revenue from public and private securities offerings in the form of referral fees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These fluctuations arise because a significant portion of Financial Advisory net revenue is earned upon the successful completion of a transaction, financial restructuring or capital raising activity, the timing of which is uncertain and is not subject to Lazard’s control.</w:t>
      </w:r>
    </w:p>
    <w:p>
      <w:pPr>
        <w:spacing w:after="0" w:line="11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(“LFG”) and FPG.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 Incentive fees earned on our private equity funds are generally not recorded until potential uncertainties regarding the ultimate realizable amounts have been determined. For most of our alternative investment strategies, the determination date is at year-end (unless an account terminates during the year), and therefore such incentive fees are recorded in the fourth quarter of Lazard’s fiscal year.</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LAM-managed equity funds and principal investments in equities and alternative investment funds managed by LAI and FPG and on debt securities at our bank. Interest expense is also included in Corporate net revenue. Corporate net revenue can fluctuate due to changes in the fair value of investments classified as “trading”, and with respect to “available-for-sale”, when realized, or when a decline is determined to be other than temporary, as well as due to changes in interest and currency exchange rates and in the levels of cash, investments and indebtedness.</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Effective July 1, 2008, as permitted by Statement of Financial Accounting Standards (“SFAS”) No. 115, </w:t>
      </w:r>
      <w:r>
        <w:rPr>
          <w:rFonts w:ascii="Arial" w:cs="Arial" w:eastAsia="Arial" w:hAnsi="Arial"/>
          <w:sz w:val="16"/>
          <w:szCs w:val="16"/>
          <w:i w:val="1"/>
          <w:iCs w:val="1"/>
          <w:color w:val="auto"/>
        </w:rPr>
        <w:t>“Accounting for Certain Investments in Debt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Securities” </w:t>
      </w:r>
      <w:r>
        <w:rPr>
          <w:rFonts w:ascii="Arial" w:cs="Arial" w:eastAsia="Arial" w:hAnsi="Arial"/>
          <w:sz w:val="16"/>
          <w:szCs w:val="16"/>
          <w:color w:val="auto"/>
        </w:rPr>
        <w:t>(“SFAS No. 115”), the portion of our bank’s corporate debt portfolio that had been previously designated as “trading” was re-designated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“available-for-sale”. During the three month and six month periods ended June 30, 2009, the Company recorded mark-ups of $29 and $16 million, respectively, in “accumulated other comprehensive income (loss), net of tax” (“AOCI”) related to such re-designated debt securities.</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Although Corporate segment net revenue during the six month period ended June 30, 2009 represented (4)% of Lazard’s net revenue, total assets in Corporate represented 60% of Lazard’s consolidated total assets as of June 30, 2009, principally attributable to the level of assets associated with LFB, and, to a lesser extent, investments in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majority of Lazard’s operating expenses relate to compensation and benefits for employees and managing directors. We have a policy that targets our ongoing compensation and benefits expense in our traditional businesses, excluding special items, to not exceed 57.5% of operating revenue each year, including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compensation and benefits payable to our managing directors and amortization of the relevant portion of the restricted stock unit awards (“RSUs”) under the Lazard Ltd 2005 Equity Incentive Plan, the Lazard Ltd 2008 Incentive Compensation Plan and the related deferred cash component of such incentive awards, with such amortization determined on a straight-line basis over the vesting periods and not on the basis of revenue recognition (see Note 11 of Notes to Condensed Consolidated Financial Statements). As discussed in our Form 10-K, there can be no guarantee that this target ratio will continue to be achieved in future periods or that our policy may not change in the future, including to adapt to changes in the economic environment, or that a change may not be necessitated by lower operating revenues or to fund a major expansion. Increased competition for senior professionals, continued turmoil and volatility in the financial markets generally or other factors could prevent us from continuing to maintain this target ratio.</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compensation expense-to-operating revenue ratio for the six month period ended June 30, 2009 (excluding the restructuring charge incurred in the three month period ended March 31, 2009) was 65.9% as compared to 56.7% in the six month period ended June 30, 2008, and for the three month period ended June 30, 2009 was 60.0% as compared to 56.7% for the three month period ended June 30, 2008. As a result of the challenging market conditions in the 2009 period described above, and the resulting decline in operating revenue, the ratios in the 2009 periods exceeded our target ratio. Our compensation ratio for the first half of 2009 is not necessarily representative of the ratio for the full year. The timing of our actual operating revenue during the year will impact the compensation ratio for each quarter. The ratio may also be impacted in the short term by our accelerated global senior-level hiring initiative and competitive considerations to meet our employee retention objectives. Our plan is for compensation expense to usually be below 57.5% of operating revenue in any year and to average below 57.5% over time in our existing businesses. As in the first half of 2009, this ratio may rise above 57.5% during periods of significant revenue decline.</w:t>
      </w:r>
    </w:p>
    <w:p>
      <w:pPr>
        <w:spacing w:after="0" w:line="10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Lazard’s operating expenses also include “non-compensation expense” and, in the first quarter of 2009, “restructuring expense”. Non-compensation expense includes costs for occupancy and equipment, marketing and business development, technology and information services, professional services, fund administration and outsourced services, and other expenses. Restructuring expense relates to the reduction of headcount in the first quarter of 2009, and includes severance and related benefits expense, the acceleration of unrecognized expense pertaining to RSUs previously granted to individuals who were terminated and certain other costs related to this initiative.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individual partners. Outside the U.S., Lazard Group operates principally through corporations and is subject to local income taxes. Income taxes shown on Lazard’s consolidated statements of operations are attributable to taxes in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records a charge (credit) attributable to the noncontrolling interests relating to LAZ-MD Holdings’ common membership interest in Lazard Group. During the six month periods ended June 30, 2009 and 2008 such charge (credit) amounted to $15 million and $(17) million for the three month and six month periods ended June 30, 2009, respectively, and $34 million and $42 million for the three month and six month periods ended June 30, 2008, respectively. Also included in noncontrolling interests in our consolidated financial statements are noncontrolling interests in various LAM-related general partnerships (“GPs”) held directly by certain of our LAM managing directors.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information regarding noncontrolling interests.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discussion of the Company’s consolidated results of operations for the three month and six month periods ended June 30, 2009 and 2008 is set forth below, followed by a more detailed discussion of business segment results.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w w:val="82"/>
              </w:rPr>
              <w:t>June 30,</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jc w:val="right"/>
              <w:ind w:right="478"/>
              <w:spacing w:after="0" w:line="155" w:lineRule="exact"/>
              <w:rPr>
                <w:sz w:val="20"/>
                <w:szCs w:val="20"/>
                <w:color w:val="auto"/>
              </w:rPr>
            </w:pPr>
            <w:r>
              <w:rPr>
                <w:rFonts w:ascii="Arial" w:cs="Arial" w:eastAsia="Arial" w:hAnsi="Arial"/>
                <w:sz w:val="14"/>
                <w:szCs w:val="14"/>
                <w:b w:val="1"/>
                <w:bCs w:val="1"/>
                <w:color w:val="auto"/>
              </w:rPr>
              <w:t>($ 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Investment banking and other advisory fees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236,387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279,431</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397,789</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476,155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management fees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120,301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165,699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219,244</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5,847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13,312</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48,240</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402,733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505,645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678,585</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852,496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54,565</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revenue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375,625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467,388</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624,020</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775,467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239,279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280,021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442,811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473,582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Non-compensation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152,482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196,125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318,679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379,650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657,843</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669,707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56,946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87,738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739"/>
              <w:spacing w:after="0"/>
              <w:rPr>
                <w:sz w:val="20"/>
                <w:szCs w:val="20"/>
                <w:color w:val="auto"/>
              </w:rPr>
            </w:pPr>
            <w:r>
              <w:rPr>
                <w:rFonts w:ascii="Arial" w:cs="Arial" w:eastAsia="Arial" w:hAnsi="Arial"/>
                <w:sz w:val="18"/>
                <w:szCs w:val="18"/>
                <w:color w:val="auto"/>
                <w:w w:val="92"/>
              </w:rPr>
              <w:t>(33,823)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105,760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43,427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69,628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739"/>
              <w:spacing w:after="0"/>
              <w:rPr>
                <w:sz w:val="20"/>
                <w:szCs w:val="20"/>
                <w:color w:val="auto"/>
              </w:rPr>
            </w:pPr>
            <w:r>
              <w:rPr>
                <w:rFonts w:ascii="Arial" w:cs="Arial" w:eastAsia="Arial" w:hAnsi="Arial"/>
                <w:sz w:val="18"/>
                <w:szCs w:val="18"/>
                <w:color w:val="auto"/>
                <w:w w:val="92"/>
              </w:rPr>
              <w:t>(43,167)</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6"/>
              </w:rPr>
              <w:t>Less—Net Income (Loss) Attributable to 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39"/>
              <w:spacing w:after="0"/>
              <w:rPr>
                <w:sz w:val="20"/>
                <w:szCs w:val="20"/>
                <w:color w:val="auto"/>
              </w:rPr>
            </w:pPr>
            <w:r>
              <w:rPr>
                <w:rFonts w:ascii="Arial" w:cs="Arial" w:eastAsia="Arial" w:hAnsi="Arial"/>
                <w:sz w:val="18"/>
                <w:szCs w:val="18"/>
                <w:color w:val="auto"/>
                <w:w w:val="93"/>
              </w:rPr>
              <w:t>(17,858)(c)</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40,694</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7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28,187</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34,317</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(25,309</w:t>
            </w:r>
          </w:p>
        </w:tc>
        <w:tc>
          <w:tcPr>
            <w:tcW w:w="880" w:type="dxa"/>
            <w:vAlign w:val="bottom"/>
            <w:gridSpan w:val="2"/>
          </w:tcPr>
          <w:p>
            <w:pPr>
              <w:jc w:val="right"/>
              <w:ind w:right="739"/>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9"/>
              </w:rPr>
              <w:t>Net Income Attributable to Lazard Ltd, Excluding Restructuring</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Expense(d)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34,317</w:t>
            </w:r>
          </w:p>
        </w:tc>
        <w:tc>
          <w:tcPr>
            <w:tcW w:w="4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42,116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 % of Net Revenue:</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9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Operating Income (Loss), Excluding Restructuring Expense</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0" w:right="2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Relates to costs recorded in the first quarter of 2009 associated with staff reductions and realignments. See Note 13 of Notes to Condensed Consolidated Financial Statements.</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benefit of $6,401 relating to the restructuring expense recorded in the first quarter of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credit of $21,075 relating to the restructuring expense recorded in the first quarter of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non-GAAP measure that management believes provides the most meaningful comparison between historical, present and future periods.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4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 June</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4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20" w:type="dxa"/>
            <w:vAlign w:val="bottom"/>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w w:val="79"/>
              </w:rPr>
              <w:t>thousands)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$402,733</w:t>
            </w:r>
          </w:p>
        </w:tc>
        <w:tc>
          <w:tcPr>
            <w:tcW w:w="320" w:type="dxa"/>
            <w:vAlign w:val="bottom"/>
          </w:tcPr>
          <w:p>
            <w:pPr>
              <w:spacing w:after="0"/>
              <w:rPr>
                <w:sz w:val="18"/>
                <w:szCs w:val="18"/>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$505,645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$678,585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$852,496</w:t>
            </w:r>
          </w:p>
        </w:tc>
        <w:tc>
          <w:tcPr>
            <w:tcW w:w="12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ind w:left="440"/>
              <w:spacing w:after="0"/>
              <w:rPr>
                <w:sz w:val="20"/>
                <w:szCs w:val="20"/>
                <w:color w:val="auto"/>
              </w:rPr>
            </w:pPr>
            <w:r>
              <w:rPr>
                <w:rFonts w:ascii="Arial" w:cs="Arial" w:eastAsia="Arial" w:hAnsi="Arial"/>
                <w:sz w:val="18"/>
                <w:szCs w:val="18"/>
                <w:color w:val="auto"/>
              </w:rPr>
              <w:t>LFB interest expense(a)</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(3,629)</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(9,963)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(7,646)</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(18,864)</w:t>
            </w: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Impact of consolidation of LAM GPs(b)</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(1,643)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18"/>
                <w:szCs w:val="18"/>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398,847</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494,039</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671,752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835,242</w:t>
            </w:r>
          </w:p>
        </w:tc>
        <w:tc>
          <w:tcPr>
            <w:tcW w:w="1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18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related to the consolidation of LAM GPs is excluded because we do not deem such amount as operating in nature and the Company has no economic interest in such amount. Further, such LAM GP results are directly offset by a charge or credit to noncontrolling interests for the corresponding amount.</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Certain key ratios, statistics and headcount information for the three month and six month periods ended June 30, 2009 and 2008 are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76"/>
              </w:rPr>
              <w:t>2009</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1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80" w:type="dxa"/>
            <w:vAlign w:val="bottom"/>
          </w:tcPr>
          <w:p>
            <w:pPr>
              <w:ind w:left="440"/>
              <w:spacing w:after="0"/>
              <w:rPr>
                <w:sz w:val="20"/>
                <w:szCs w:val="20"/>
                <w:color w:val="auto"/>
              </w:rPr>
            </w:pPr>
            <w:r>
              <w:rPr>
                <w:rFonts w:ascii="Arial" w:cs="Arial" w:eastAsia="Arial" w:hAnsi="Arial"/>
                <w:sz w:val="18"/>
                <w:szCs w:val="18"/>
                <w:color w:val="auto"/>
              </w:rPr>
              <w:t>Limited Managing Directors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first six months of 2009, we continued to hire key professionals on a selective basis, and to redeploy employees into areas where we saw potential for growth. As described above, to further optimize our mix of personnel we have reduced staff in other areas, including the back office. Headcount as of June 30, 2009 reflects substantially all of the headcount reductions related to the restructuring expense recorded in the first quarter of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80" w:firstLine="456"/>
        <w:spacing w:after="0" w:line="339" w:lineRule="auto"/>
        <w:rPr>
          <w:sz w:val="20"/>
          <w:szCs w:val="20"/>
          <w:color w:val="auto"/>
        </w:rPr>
      </w:pPr>
      <w:r>
        <w:rPr>
          <w:rFonts w:ascii="Arial" w:cs="Arial" w:eastAsia="Arial" w:hAnsi="Arial"/>
          <w:sz w:val="15"/>
          <w:szCs w:val="15"/>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2009 versus June 30, 2008</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reported net income attributable to Lazard Ltd of $28 million for the three month period ended June 30, 2009, a decline of $6 million as compared to net income of $34 million in the corresponding period in 2008, due to a 13% decline in Financial Advisory net revenue which has been impacted by both a slowdown in global M&amp;A activity and by an increase in restructuring activity, and a 27% decline in Asset Management net revenue as a result of the decline in equity markets. In aggregate, the impact on net income of the decline in revenue was partially offset by lower amounts relating to compensation and non-compensation expense, income taxes and net income attributable to noncontrolling interests.</w:t>
      </w:r>
    </w:p>
    <w:p>
      <w:pPr>
        <w:spacing w:after="0" w:line="10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decreased $92 million, or 20%, for the three month period ended June 30, 2009, as compared to the corresponding period in 2008, and operating revenue decreased $95 million, or 19%, as compared to the prior year period. Fees from investment banking and other advisory activities decreased $43 million, or 15%, as compared to the 2008 period principally reflecting a change in the mix of advisory activities as a $90 million, or 40%, decline in M&amp;A and Strategic Advisory revenue was partially offset by a $61 million, or 185%, increase in Financial Restructuring revenue. Our investment banking fees reflect fees from M&amp;A and Strategic Advisory, Restructuring and Corporate Finance assignments encompassing general strategic and transaction-specific advice to public and private companies, governments and other parties, and includes various corporate finance services. Some of our assignments and, therefore, related revenue, are not reflected in or correlated to publicly available statistical information and, therefore, may not correlate to global industry statistics. Money management fees, including incentive fees, in the 2009 period decreased $45 million, or 27%, as compared to the corresponding period in 2008 due to a $45 billion, or 33%, decline in average AUM for the three month period ended June 30, 2009 versus the corresponding period in 2008, primarily the result of market and foreign exchange depreciation, partially offset by increased incentive fees earned in 2009. Interest income in the 2009 period decreased $15 million, or 72%, due to a lower interest rate environment as well as lower average cash balances and receivables from banks. Other revenue was unchanged in the three month period ended June 30, 2009 as compared to the 2008 period. Other revenue for the 2009 period included increased referral fees earned from underwriting activities with LFCM Holdings and Natixis, but was offset by lower investment gains from the Company’s investment portfolio. Interest expense for the three month period ended June 30, 2009 decreased $11 million, or 29%, which resulted principally from the Company’s May 2008 repurchase of $437 million aggregate principal amount of its 6.12% senior notes in connection with the remarketing of such notes, the partial repurchases of other senior notes, as well as lower interest paid on LFB’s customer deposits.</w:t>
      </w:r>
    </w:p>
    <w:p>
      <w:pPr>
        <w:spacing w:after="0" w:line="11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Compensation and benefits expense for the three month period ended June 30, 2009 decreased by $41 million, reflecting lower salaries and benefits due to the impact of the staff reductions associated with the restructuring program implemented during the first quarter of 2009, the strengthening of the U.S. dollar versus foreign currencies and lower discretionary bonuses as a result of lower operating revenue, partially offset by $31 million of additional amortization of an increased amount of RSUs and deferred cash incentive awards granted. Compensation and benefits expense was 60.0% of operating revenue in the three month period ended June 30, 2009, as compared to 56.7% in the 2008 period.</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Non-compensation expense for the three month period ended June 30, 2009 decreased by $20 million, or 20%. Factors contributing to the decrease include lower spending on travel and other business development activities, lower consulting and recruiting fees and the strengthening of the U.S. dollar versus foreign currencies. The ratio of non-compensation expense to operating revenue was 19.9% for the three month period ended June 30, 2009, as compared to 20.2% of operating revenue for the 2008 period.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Operating income for the three month period ended June 30, 2009 was $57 million, a decrease of $31 million as compared to operating income of $88 million in the 2008 period. As a percentage of net revenue, operating income in the 2009 period was 15% as compared to 19% in the corresponding period in 2008.</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income taxes for the three month period ended June 30, 2009 decreased $5 million, principally due to lower operating income in the 2009 period as compared to the 2008 period, and the geographic mix of operating income.</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Net income attributable to noncontrolling interests for the three month period ended June 30, 2009 decreased by $20 million as compared to the 2008 period, principally reflecting the lower level of Lazard Group net income in the 2009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2009 versus June 30, 2008</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reported a net loss attributable to Lazard Ltd of $25 million for the six month period ended June 30, 2009, a decline of $67 million, as compared to net income of $42 million in the corresponding period in 2008. This decrease was primarily due to the after-tax impact of the restructuring expense recorded in the first quarter of 2009 which served to increase the net loss attributable to Lazard Ltd by $35 million, as well as a 17% decline in Financial Advisory net revenue, which was impacted by both a slowdown in global M&amp;A activity and by an increase in restructuring activity, and a 33% decline in Asset Management net revenue as a result of the decline in equity markets. In aggregate, the impact on net income of the decline in revenue was partially offset by lower amounts relating to compensation and non-compensation expense, income taxes and net income attributable to noncontrolling interests. Excluding the after-tax impact of the restructuring expense, net income attributable to Lazard Ltd in the six month period ended June 30, 2009 was $10 million, a decrease of $32 million as compared to the corresponding period in 2008.</w:t>
      </w:r>
    </w:p>
    <w:p>
      <w:pPr>
        <w:spacing w:after="0" w:line="10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Net revenue decreased $151 million, or 20%, for the six month period ended June 30, 2009, as compared to the corresponding period in 2008, with operating revenue decreasing $163 million, or 20%, compared to the prior year period. Fees from investment banking and other advisory activities decreased $78 million, or 16%, as compared to the 2008 period principally reflecting a change in the mix of advisory activities as a $160 million, or 41%, decline in M&amp;A and Strategic Advisory revenue, was partially offset by a $106 million, or 220%, increase in Financial Restructuring revenue. Money management fees, including incentive fees, in the 2009 period decreased $105 million, or 32%, as compared to the corresponding period in 2008 due to a $47 billion, or 34%, decline in average AUM for the six month period ended June 30, 2009 versus the corresponding period in 2008, primarily as the result of market and foreign exchange depreciation, partially offset by higher incentive fees earned in 2009. Interest income decreased $31 million, or 70%, due to a lower interest rate environment as well as lower average cash balances and receivables from banks. Other revenue increased by $40 million in the six month period ended June 30, 2009 as compared to the 2008 period. Other revenue in the 2008 period was negatively impacted by investment related losses of $41 million in aggregate in our bank’s corporate debt portfolio (redesignated as available-for-sale effective July 1, 2008) and the Company’s net investment in corporate equities to seed Asset Management products. With respect to the latter, during the 2009 period, the Company had in place a hedging strategy to minimize its risks associated with volatility in the equity markets. Interest expense for the six month period ended June 30, 2009 decreased $22 million, or 29%, primarily related to the Company’s May 2008 repurchase of $437 million aggregate principal amount of its 6.12% senior notes in connection with the remarketing of such notes, the partial repurchases of other senior notes, as well as lower interest paid on LFB’s customer deposits.</w:t>
      </w:r>
    </w:p>
    <w:p>
      <w:pPr>
        <w:spacing w:after="0" w:line="11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Compensation and benefits expense for the six month period ended June 30, 2009 decreased by $31 million, reflecting lower salaries and benefits due to the impact of the staff reductions associated with the restructuring program implemented during the first quarter of 2009, the strengthening of the U.S. dollar versus foreign currencies, lower discretionary bonuses as a result of lower operating revenue, partially offset by $58 million of additional amortization of an increased amount of RSUs and deferred cash awards granted. Compensation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benefits expense was 65.9% of operating revenue in the six month period ended June 30, 2009, as compared to 56.7% in the 2008 period. As described above, our compensation ratio for the first six months of 2009 is not necessarily representative of the ratio for the full year.</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Non-compensation expense for the six month period ended June 30, 2009 decreased by $44 million, or 22%. Factors contributing to the decrease include lower spending on travel and other business development activities, lower consulting and recruiting fees and the strengthening of the U.S. dollar versus foreign currencies. In addition, the 2008 period included a $5 million provision for costs related to leases on abandoned space. The ratio of non-compensation expense to operating revenue was 22.7% for the six month period ended June 30, 2009, as compared to 23.5% of operating revenue for the 2008 period.</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first six months of 2009, we continued to redeploy our banking professionals into growth areas and reduced staffing in other areas to further optimize our mix of personnel. As a result, a pre-tax charge of $63 million was recorded in the first quarter of 2009 in connection with severance and benefit payments, the acceleration of unrecognized expense pertaining to RSUs previously granted to individuals who were terminated and certain other costs related to the restructuring initiative.</w:t>
      </w:r>
    </w:p>
    <w:p>
      <w:pPr>
        <w:spacing w:after="0" w:line="13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Including the pre-tax impact of the restructuring expense, operating loss for the six month period ended June 30, 2009 was $34 million, a decrease of $140 million as compared to operating income of $106 million in the 2008 period. As a percentage of net revenue, the operating loss in the 2009 period was (5)% as compared to 14% in the corresponding period in 2008. When excluding the restructuring expense in the 2009 period, operating income was $29 million, a decrease of $77 million as compared to the corresponding period in 2008, and was 5% of net revenue in the 2009 period as compared to 14% in the 2008 period.</w:t>
      </w:r>
    </w:p>
    <w:p>
      <w:pPr>
        <w:spacing w:after="0" w:line="8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provision for income taxes for the six month period ended June 30, 2009 decreased $14 million, principally due to the decline in operating income in the 2009 period as compared to the corresponding period in 2008, as well as a tax benefit of $6 million related to the restructuring expense in the first quarter of 2009.</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income attributable to noncontrolling interests for the six month period ended June 30, 2008 decreased by $59 million as compared to the 2008 period, principally reflecting the lower level of Lazard Group net income in the 2009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is a discussion of net revenue and operating income (loss) for the Company’s business segments - Financial Advisory, Asset Management and Corporate. Each segment’s operating expenses include (i) compensation and benefits expense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For the six month period ended June 30, 2009, restructuring expense was recorded in the Corporate segment.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June 30,</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134,854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2"/>
              </w:rPr>
              <w:t>225,108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231,329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391,092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Financial Restructuring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93,231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98"/>
              </w:rPr>
              <w:t>32,666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154,160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48,204</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Corporate Finance and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98"/>
              </w:rPr>
              <w:t>30,922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61,663</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252,024</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82"/>
              </w:rPr>
              <w:t>288,696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415,001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500,959</w:t>
            </w: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205,485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w w:val="82"/>
              </w:rPr>
              <w:t>229,673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383,106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404,433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46,539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98"/>
              <w:spacing w:after="0"/>
              <w:rPr>
                <w:sz w:val="20"/>
                <w:szCs w:val="20"/>
                <w:color w:val="auto"/>
              </w:rPr>
            </w:pPr>
            <w:r>
              <w:rPr>
                <w:rFonts w:ascii="Arial" w:cs="Arial" w:eastAsia="Arial" w:hAnsi="Arial"/>
                <w:sz w:val="18"/>
                <w:szCs w:val="18"/>
                <w:color w:val="auto"/>
                <w:w w:val="98"/>
              </w:rPr>
              <w:t>59,023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31,895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96,526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 Net Revenue</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1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2"/>
              </w:rPr>
              <w:t>As of June 30,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646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r>
      <w:tr>
        <w:trPr>
          <w:trHeight w:val="223"/>
        </w:trPr>
        <w:tc>
          <w:tcPr>
            <w:tcW w:w="646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1,046</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Financial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6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8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2009</w:t>
            </w:r>
          </w:p>
        </w:tc>
        <w:tc>
          <w:tcPr>
            <w:tcW w:w="13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Number of Clients:</w:t>
            </w: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370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1840" w:type="dxa"/>
            <w:vAlign w:val="bottom"/>
            <w:gridSpan w:val="2"/>
          </w:tcPr>
          <w:p>
            <w:pPr>
              <w:jc w:val="right"/>
              <w:ind w:right="1300"/>
              <w:spacing w:after="0"/>
              <w:rPr>
                <w:sz w:val="20"/>
                <w:szCs w:val="20"/>
                <w:color w:val="auto"/>
              </w:rPr>
            </w:pPr>
            <w:r>
              <w:rPr>
                <w:rFonts w:ascii="Arial" w:cs="Arial" w:eastAsia="Arial" w:hAnsi="Arial"/>
                <w:sz w:val="18"/>
                <w:szCs w:val="18"/>
                <w:color w:val="auto"/>
              </w:rPr>
              <w:t>119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8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1840" w:type="dxa"/>
            <w:vAlign w:val="bottom"/>
            <w:gridSpan w:val="2"/>
          </w:tcPr>
          <w:p>
            <w:pPr>
              <w:jc w:val="right"/>
              <w:ind w:right="130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Source: Thomson Financial as of July 10,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2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5"/>
              </w:rPr>
              <w:t>Ended June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financial restructuring transactions, depending on clients’ needs. This flexibility allows Lazard to better match its professionals with the counter-cyclical business cycles of mergers and acquisitions and financial restructurings. While Lazard measures revenue by practice area, Lazard does not separately measure the costs or profitability of M&amp;A and strategic advisory services as compared to financial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2009 versus June 30, 2008</w:t>
      </w:r>
    </w:p>
    <w:p>
      <w:pPr>
        <w:spacing w:after="0" w:line="77"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For the three month period ended June 30, 2009, Financial Advisory net revenue decreased $37 million, or 13%, as compared to the corresponding period in 2008, reflecting a change in the mix of advisory activities as M&amp;A and Strategic Advisory revenue decreased $90 million, or 40%, and Corporate Finance and Other net revenue decreased $8 million, or 23%, with such decreases partially offset by Financial Restructuring revenue which increased $61 million, or 185%.</w:t>
      </w:r>
    </w:p>
    <w:p>
      <w:pPr>
        <w:spacing w:after="0" w:line="7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decrease in M&amp;A and Strategic Advisory revenue for the three month period ended June 30, 2009 was principally due to the continued adverse economic and market conditions related to M&amp;A activity described above, which resulted in lower number of transactions and lower average fees per transaction. Our major clients, which in the aggregate represented a significant portion of our M&amp;A and Strategic Advisory revenue for the 2009 period, included Biovail, Ciba Specialty Chemicals, Debenhams, GMAC, Haas Trusts, IBM, Republic of Ecuador, TATA Teleservices, TM International and Transatlantic Holdings.</w:t>
      </w:r>
    </w:p>
    <w:p>
      <w:pPr>
        <w:spacing w:after="0" w:line="8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Financial Restructuring revenue is derived from various activities including bankruptcy assignments, global debt and financing restructurings and advice on complex on- and off-balance sheet assignments, such as retiree health care obligations. Financial Restructuring revenue during the 2009 period increased significantly as compared to the 2008 period due to the significant increases in defaults and in-court and out-of-court restructurings. Notable assignments completed in the second quarter of 2009 included Cresa Patrimonial S.L, Hellenic Republic, Lehman Brothers, R.H. Donnelly and the UAW. Recently announced Financial Restructuring assignments that we are currently involved with include in-court Chapter 11 bankruptcies and restructuring and debt advisory assignments relating to major industry groups such as Professional and Financial Services, Real Estate and Property Development, Technology and Media, Gaming, Entertainment and Hospitality, among others.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decrease in Corporate Finance and Other net revenue reflected decreases, particularly during the first quarter of 2009, in the value of fund closings by our Private Fund Advisory Group and private placements by our Capital Markets Group, as well as declines in Equity Capital Markets transactions, all of which have been impacted by the continued deterioration of the financial markets during the second quarter of 2009. Equity Capital Markets transaction assignments in the second quarter of 2009 included advising Callaway on its cumulative perpetual convertible preferred stock offering, Transatlantic Holdings on its follow-on capital markets transactions and Danone and Pernod Ricard on their rights offerings. In addition, our Alternative Capital Finance Group advised on Registered Direct (“RD”) Offerings for Globalstar and Savient Pharmaceuticals.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Operating expenses for the three month period ended June 30, 2009 decreased $24 million, or 11%, as compared to the 2008 period, primarily due to lower salaries and benefits due to the impact of the staff reductions associated with the restructuring program implemented during the first quarter of 2009, the strengthening of the U.S. dollar versus foreign currencies, lower discretionary bonuses as a result of lower operating revenue, partially offset by additional amortization of an increased amount of RSUs and deferred cash awards granted. Other factors contributing to the decrease were lower travel expenses, other business development expenses and support group charges.</w:t>
      </w:r>
    </w:p>
    <w:p>
      <w:pPr>
        <w:spacing w:after="0" w:line="129"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Financial Advisory operating income for the second quarter of 2009 was $47 million, a decrease of $12 million as compared to the 2008 period, and represented 18% of segment net revenues for the 2009 period, as compared to 20% in the 2008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2009 versus June 30, 2008</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For the six month period ended June 30, 2009, Financial Advisory net revenue decreased $86 million, or 17%, as compared to the corresponding period in 2008, reflecting a change in the mix of advisory activities as M&amp;A and Strategic Advisory revenue decreased $160 million, or 41%, and Corporate Finance and Other net revenue decreased $32 million, or 52%, with such decreases partially offset by Financial Restructuring revenue which increased $106 million, or 220%.</w:t>
      </w:r>
    </w:p>
    <w:p>
      <w:pPr>
        <w:spacing w:after="0" w:line="7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decrease in M&amp;A and Strategic Advisory revenue for the six month period ended June 30, 2009 was principally due to the adverse economic and market conditions described above, which resulted in lower average fees per transaction for clients generating fee revenues greater than $1 million.</w:t>
      </w:r>
    </w:p>
    <w:p>
      <w:pPr>
        <w:spacing w:after="0" w:line="7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Operating expenses for the six month period ended June 30, 2009 decreased $21 million, or 5%, as compared to the 2008 period, primarily due to lower salaries and benefits due to the impact of the staff reductions associated with the restructuring program implemented during the first quarter of 2009, the strengthening of the U.S. dollar versus foreign currencies, lower discretionary bonuses as a result of lower operating revenue, partially offset by additional amortization of an increased amount of RSUs and deferred cash incentive awards granted.</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Financial Advisory operating income for the first six months of 2009 was $32 million, a decrease of $65 million as compared to the 2008 period, and represented 8% of segment net revenues for the 2009 period, as compared to 19% in the 2008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5"/>
              </w:rPr>
              <w:t>As of</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International Equities</w:t>
            </w:r>
          </w:p>
        </w:tc>
        <w:tc>
          <w:tcPr>
            <w:tcW w:w="3980" w:type="dxa"/>
            <w:vAlign w:val="bottom"/>
            <w:gridSpan w:val="3"/>
          </w:tcPr>
          <w:p>
            <w:pPr>
              <w:jc w:val="right"/>
              <w:ind w:right="52"/>
              <w:spacing w:after="0"/>
              <w:rPr>
                <w:sz w:val="20"/>
                <w:szCs w:val="20"/>
                <w:color w:val="auto"/>
              </w:rPr>
            </w:pPr>
            <w:r>
              <w:rPr>
                <w:rFonts w:ascii="Arial" w:cs="Arial" w:eastAsia="Arial" w:hAnsi="Arial"/>
                <w:sz w:val="18"/>
                <w:szCs w:val="18"/>
                <w:color w:val="auto"/>
              </w:rPr>
              <w:t>$24,257</w:t>
            </w:r>
          </w:p>
        </w:tc>
        <w:tc>
          <w:tcPr>
            <w:tcW w:w="6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40,456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31,553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13,177</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69,730</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European and International Fixed Income</w:t>
            </w:r>
          </w:p>
        </w:tc>
        <w:tc>
          <w:tcPr>
            <w:tcW w:w="3980" w:type="dxa"/>
            <w:vAlign w:val="bottom"/>
            <w:gridSpan w:val="3"/>
          </w:tcPr>
          <w:p>
            <w:pPr>
              <w:jc w:val="right"/>
              <w:ind w:right="52"/>
              <w:spacing w:after="0"/>
              <w:rPr>
                <w:sz w:val="20"/>
                <w:szCs w:val="20"/>
                <w:color w:val="auto"/>
              </w:rPr>
            </w:pPr>
            <w:r>
              <w:rPr>
                <w:rFonts w:ascii="Arial" w:cs="Arial" w:eastAsia="Arial" w:hAnsi="Arial"/>
                <w:sz w:val="18"/>
                <w:szCs w:val="18"/>
                <w:color w:val="auto"/>
              </w:rPr>
              <w:t>13,242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12,690</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1,544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15,824</w:t>
            </w:r>
          </w:p>
        </w:tc>
        <w:tc>
          <w:tcPr>
            <w:tcW w:w="20" w:type="dxa"/>
            <w:vAlign w:val="bottom"/>
          </w:tcPr>
          <w:p>
            <w:pPr>
              <w:spacing w:after="0"/>
              <w:rPr>
                <w:sz w:val="18"/>
                <w:szCs w:val="18"/>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Alternative Investments</w:t>
            </w:r>
          </w:p>
        </w:tc>
        <w:tc>
          <w:tcPr>
            <w:tcW w:w="3980" w:type="dxa"/>
            <w:vAlign w:val="bottom"/>
            <w:gridSpan w:val="3"/>
          </w:tcPr>
          <w:p>
            <w:pPr>
              <w:jc w:val="right"/>
              <w:ind w:right="52"/>
              <w:spacing w:after="0"/>
              <w:rPr>
                <w:sz w:val="20"/>
                <w:szCs w:val="20"/>
                <w:color w:val="auto"/>
              </w:rPr>
            </w:pPr>
            <w:r>
              <w:rPr>
                <w:rFonts w:ascii="Arial" w:cs="Arial" w:eastAsia="Arial" w:hAnsi="Arial"/>
                <w:sz w:val="18"/>
                <w:szCs w:val="18"/>
                <w:color w:val="auto"/>
              </w:rPr>
              <w:t>2,950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3,196</w:t>
            </w:r>
          </w:p>
        </w:tc>
      </w:tr>
      <w:tr>
        <w:trPr>
          <w:trHeight w:val="218"/>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Equity(a)</w:t>
            </w:r>
          </w:p>
        </w:tc>
        <w:tc>
          <w:tcPr>
            <w:tcW w:w="3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1,592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9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98,020</w:t>
            </w:r>
          </w:p>
        </w:tc>
        <w:tc>
          <w:tcPr>
            <w:tcW w:w="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91,109</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5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$1.3 billion as of June 30, 2009 and $1.2 billion as of December 31, 2008 held by investment companies for which Lazard may earn carried interest.</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2009 and 2008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140" w:type="dxa"/>
            <w:vAlign w:val="bottom"/>
            <w:gridSpan w:val="3"/>
          </w:tcPr>
          <w:p>
            <w:pPr>
              <w:jc w:val="center"/>
              <w:ind w:left="507"/>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4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$ 89,551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$ 134,166</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$ 90,071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136,582</w:t>
            </w:r>
          </w:p>
        </w:tc>
      </w:tr>
      <w:tr>
        <w:trPr>
          <w:trHeight w:val="20"/>
        </w:trPr>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AUM at June 30, 2009 increased $7 billion, or 8%, as compared to that at December 31, 2008, with average AUM for the three month and six month periods ended June 30, 2009 decreasing 33% and 34%, respectively, as compared to the average AUM for the corresponding 2008 periods. International, Global and U.S. equities represented 25%, 41% and 12% of total AUM at June 30, 2009, respectively, versus 27%, 35% and 14% of total AUM at December 31, 2008, respectively.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June 30, 2009 and 2008, approximately 87% and 85%, respectively, of our AUM was managed on behalf of institutional clients, including corporations, labor unions, public pension funds, insurance companies and banks, and through sub-advisory relationships, mutual fund sponsors, broker-dealers and registered advisors, and 13% and 15%, respectively, of our AUM was managed on behalf of individual clients, which are principally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three month and six month periods ended June 30, 2009, and 2008.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8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$81,084</w:t>
            </w:r>
          </w:p>
        </w:tc>
        <w:tc>
          <w:tcPr>
            <w:tcW w:w="12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$134,193</w:t>
            </w:r>
          </w:p>
        </w:tc>
        <w:tc>
          <w:tcPr>
            <w:tcW w:w="10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$91,109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Flows(a)</w:t>
            </w: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260" w:type="dxa"/>
            <w:vAlign w:val="bottom"/>
            <w:gridSpan w:val="3"/>
          </w:tcPr>
          <w:p>
            <w:pPr>
              <w:jc w:val="right"/>
              <w:ind w:right="192"/>
              <w:spacing w:after="0"/>
              <w:rPr>
                <w:sz w:val="20"/>
                <w:szCs w:val="20"/>
                <w:color w:val="auto"/>
              </w:rPr>
            </w:pPr>
            <w:r>
              <w:rPr>
                <w:rFonts w:ascii="Arial" w:cs="Arial" w:eastAsia="Arial" w:hAnsi="Arial"/>
                <w:sz w:val="18"/>
                <w:szCs w:val="18"/>
                <w:color w:val="auto"/>
              </w:rPr>
              <w:t>2,550</w:t>
            </w:r>
          </w:p>
        </w:tc>
        <w:tc>
          <w:tcPr>
            <w:tcW w:w="1020" w:type="dxa"/>
            <w:vAlign w:val="bottom"/>
            <w:gridSpan w:val="3"/>
          </w:tcPr>
          <w:p>
            <w:pPr>
              <w:jc w:val="right"/>
              <w:ind w:right="132"/>
              <w:spacing w:after="0"/>
              <w:rPr>
                <w:sz w:val="20"/>
                <w:szCs w:val="20"/>
                <w:color w:val="auto"/>
              </w:rPr>
            </w:pPr>
            <w:r>
              <w:rPr>
                <w:rFonts w:ascii="Arial" w:cs="Arial" w:eastAsia="Arial" w:hAnsi="Arial"/>
                <w:sz w:val="18"/>
                <w:szCs w:val="18"/>
                <w:color w:val="auto"/>
              </w:rPr>
              <w:t>(2,093)</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(2,604)</w:t>
            </w:r>
          </w:p>
        </w:tc>
        <w:tc>
          <w:tcPr>
            <w:tcW w:w="10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9,004</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(11,539)</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AUM—End of Period</w:t>
            </w: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98,020</w:t>
            </w:r>
          </w:p>
        </w:tc>
        <w:tc>
          <w:tcPr>
            <w:tcW w:w="320" w:type="dxa"/>
            <w:vAlign w:val="bottom"/>
          </w:tcPr>
          <w:p>
            <w:pPr>
              <w:spacing w:after="0"/>
              <w:rPr>
                <w:sz w:val="19"/>
                <w:szCs w:val="19"/>
                <w:color w:val="auto"/>
              </w:rPr>
            </w:pPr>
          </w:p>
        </w:tc>
        <w:tc>
          <w:tcPr>
            <w:tcW w:w="940" w:type="dxa"/>
            <w:vAlign w:val="bottom"/>
            <w:gridSpan w:val="2"/>
          </w:tcPr>
          <w:p>
            <w:pPr>
              <w:jc w:val="right"/>
              <w:ind w:right="19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134,139</w:t>
            </w:r>
          </w:p>
        </w:tc>
        <w:tc>
          <w:tcPr>
            <w:tcW w:w="1020" w:type="dxa"/>
            <w:vAlign w:val="bottom"/>
            <w:gridSpan w:val="3"/>
          </w:tcPr>
          <w:p>
            <w:pPr>
              <w:jc w:val="right"/>
              <w:ind w:right="1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98,020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134,139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240" w:hanging="452"/>
        <w:spacing w:after="0" w:line="370"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Includes inflows of $5,748 and $9,289 and outflows of $5,395 and $11,382 for the three month and six month periods ended June 30, 2009, respectively, and inflows of $8,055 and $15,805 and outflows of $5,505 and $11,540 for the three month and six month periods ended June 30, 2008, respectively.</w:t>
      </w:r>
    </w:p>
    <w:p>
      <w:pPr>
        <w:spacing w:after="0" w:line="4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Inflows during the six month period ended June 30, 2009 occurred primarily in Emerging Markets and Global Thematic Equity products due to increased investments in existing accounts as well as new accounts gained. Outflows occurred most significantly in U.S. Mid Cap and Small Cap Equity and European and U.K. Equity products as well as European and International Fixed Income products due to withdrawals primarily by clients who were repositioning their portfolios.</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Consistent with the industry as a whole, we experienced market and foreign exchange appreciation in the second quarter and first half of 2009, with these factors being the principal contributors to the increase in AUM. During the six month period ended June 30, 2009, equity products experienced the most significant market appreciation, with such increase slightly better than the global market indices previously described. As of June 30, 2009, AUM denominated in foreign currencies represented approximately 46% of our total AUM. Foreign denominated AUM declines in value with the strengthening of the U.S. dollar and increases in value as the U.S. dollar weakens.</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July 27, 2009, AUM, excluding private equity, was approximately $104.2 billion, a $7.7 billion increase since June 30, 2009. The change in AUM was due to market appreciation and net inflows of $5.4 billion and $2.3 billion, respectively.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summarizes the operating results of the Asset Management segment for the three month and six month periods ended June 30,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852"/>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812"/>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4"/>
          </w:tcPr>
          <w:p>
            <w:pPr>
              <w:jc w:val="right"/>
              <w:ind w:right="417"/>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107,123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w w:val="86"/>
              </w:rPr>
              <w:t>157,108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200,623</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315,117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13,170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8,429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18,605</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10,993</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13,192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14,651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131,286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6"/>
              </w:rPr>
              <w:t>178,729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233,879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420"/>
              <w:spacing w:after="0"/>
              <w:rPr>
                <w:sz w:val="20"/>
                <w:szCs w:val="20"/>
                <w:color w:val="auto"/>
              </w:rPr>
            </w:pPr>
            <w:r>
              <w:rPr>
                <w:rFonts w:ascii="Arial" w:cs="Arial" w:eastAsia="Arial" w:hAnsi="Arial"/>
                <w:sz w:val="18"/>
                <w:szCs w:val="18"/>
                <w:color w:val="auto"/>
              </w:rPr>
              <w:t>LAM GP-Related</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131,543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6"/>
              </w:rPr>
              <w:t>180,372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233,066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103,973</w:t>
            </w:r>
          </w:p>
        </w:tc>
        <w:tc>
          <w:tcPr>
            <w:tcW w:w="1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w w:val="86"/>
              </w:rPr>
              <w:t>142,292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194,413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256,935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38,080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88,468</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1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Headcount(a):</w:t>
            </w: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Limited Managing Directors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10020" w:type="dxa"/>
            <w:vAlign w:val="bottom"/>
            <w:gridSpan w:val="2"/>
          </w:tcPr>
          <w:p>
            <w:pPr>
              <w:ind w:left="440"/>
              <w:spacing w:after="0"/>
              <w:rPr>
                <w:sz w:val="20"/>
                <w:szCs w:val="20"/>
                <w:color w:val="auto"/>
              </w:rPr>
            </w:pPr>
            <w:r>
              <w:rPr>
                <w:rFonts w:ascii="Arial" w:cs="Arial" w:eastAsia="Arial" w:hAnsi="Arial"/>
                <w:sz w:val="18"/>
                <w:szCs w:val="18"/>
                <w:color w:val="auto"/>
              </w:rPr>
              <w:t>Other Employees: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Business segment professionals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r>
      <w:tr>
        <w:trPr>
          <w:trHeight w:val="223"/>
        </w:trPr>
        <w:tc>
          <w:tcPr>
            <w:tcW w:w="10020" w:type="dxa"/>
            <w:vAlign w:val="bottom"/>
            <w:gridSpan w:val="2"/>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r>
      <w:tr>
        <w:trPr>
          <w:trHeight w:val="216"/>
        </w:trPr>
        <w:tc>
          <w:tcPr>
            <w:tcW w:w="10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540" w:hanging="452"/>
        <w:spacing w:after="0" w:line="472" w:lineRule="auto"/>
        <w:tabs>
          <w:tab w:leader="none" w:pos="4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6820" w:type="dxa"/>
            <w:vAlign w:val="bottom"/>
          </w:tcPr>
          <w:p>
            <w:pPr>
              <w:spacing w:after="0"/>
              <w:rPr>
                <w:sz w:val="13"/>
                <w:szCs w:val="13"/>
                <w:color w:val="auto"/>
              </w:rPr>
            </w:pPr>
          </w:p>
        </w:tc>
        <w:tc>
          <w:tcPr>
            <w:tcW w:w="2740" w:type="dxa"/>
            <w:vAlign w:val="bottom"/>
            <w:gridSpan w:val="5"/>
          </w:tcPr>
          <w:p>
            <w:pPr>
              <w:jc w:val="right"/>
              <w:ind w:right="1180"/>
              <w:spacing w:after="0" w:line="150"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5"/>
          </w:tcPr>
          <w:p>
            <w:pPr>
              <w:jc w:val="right"/>
              <w:ind w:right="500"/>
              <w:spacing w:after="0" w:line="150"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8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960" w:firstLine="456"/>
        <w:spacing w:after="0" w:line="339"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2009 versus June 30, 2008</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Asset Management net revenue in the three month period ended June 30, 2009 declined $49 million, or 27%, as compared to the corresponding period in 2008. Management fees for the 2009 period decreased $50 million, or 32%, as compared to the 2008 period driven by a 33% decrease in average AUM due largely to the decline in equity markets as well as the impact of a change in the mix of investment products and levels of management fees on certain products. Incentive fees increased $5 million in the 2009 period, substantially all of which related to traditional long-only investment strategies. Other revenue decreased $4 million, or 24%, as compared to 2008, principally due to lower interest income and lower GP-related revenue.</w:t>
      </w:r>
    </w:p>
    <w:p>
      <w:pPr>
        <w:spacing w:after="0" w:line="10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Operating expenses for the 2009 period decreased by $38 million, or 27%, as compared to the 2008 period, due to decreased compensation related to lower headcount, lower discretionary bonuses related to lower operating revenue and declines in business development expenses for travel and market-related data and support group charges.</w:t>
      </w:r>
    </w:p>
    <w:p>
      <w:pPr>
        <w:spacing w:after="0" w:line="12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Asset Management had operating income of $28 million for the three month period ended June 30, 2009, a decline of $11 million, or 28%, as compared the 2008 period, and represented 21% of segment net revenue for both the 2009 and 2008 periods.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2009 versus June 30, 2008</w:t>
      </w:r>
    </w:p>
    <w:p>
      <w:pPr>
        <w:spacing w:after="0" w:line="77" w:lineRule="exact"/>
        <w:rPr>
          <w:sz w:val="20"/>
          <w:szCs w:val="20"/>
          <w:color w:val="auto"/>
        </w:rPr>
      </w:pPr>
    </w:p>
    <w:p>
      <w:pPr>
        <w:jc w:val="both"/>
        <w:ind w:right="220" w:firstLine="456"/>
        <w:spacing w:after="0" w:line="318" w:lineRule="auto"/>
        <w:rPr>
          <w:sz w:val="20"/>
          <w:szCs w:val="20"/>
          <w:color w:val="auto"/>
        </w:rPr>
      </w:pPr>
      <w:r>
        <w:rPr>
          <w:rFonts w:ascii="Arial" w:cs="Arial" w:eastAsia="Arial" w:hAnsi="Arial"/>
          <w:sz w:val="15"/>
          <w:szCs w:val="15"/>
          <w:color w:val="auto"/>
        </w:rPr>
        <w:t>Asset Management net revenue in the six month period ended June 30, 2009 declined $112 million, or 33%, as compared to the corresponding period in 2008. Management fees for the 2009 period decreased $114 million, or 36%, as compared to the 2008 period driven by a 34% decrease in average AUM. This decrease was due largely to the decline in equity markets as well as the impact of a change in the mix of investment products and levels of management fees on certain products. Incentive fees increased $10 million in the 2009 period, substantially all of which related to traditional long-only investment strategies. Other revenue decreased $8 million, or 37%, as compared to 2008, principally as a result of lower interest income and foreign exchange remeasurement gains.</w:t>
      </w:r>
    </w:p>
    <w:p>
      <w:pPr>
        <w:spacing w:after="0" w:line="8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Operating expenses for the 2009 period decreased by $63 million, or 24%, as compared to the 2008 period, due to decreased compensation related to reduced headcount, lower discretionary bonuses related to lower operating revenue and declines in business development expenses for travel and market-related data and support group charges.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Management operating income of $39 million for the six month period ended June 30, 2009, declined $50 million, or 56%, as compared to the 2008 period, and represented 17% of segment net revenue, as compared to 26% for the corresponding period in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6"/>
          </w:tcPr>
          <w:p>
            <w:pPr>
              <w:jc w:val="right"/>
              <w:ind w:right="952"/>
              <w:spacing w:after="0" w:line="142"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4,433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1"/>
              </w:rPr>
              <w:t>$ 17,691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10,197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(25,771)</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(37,786)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(52,357)</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(76,390)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Revenue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(21,338)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(42,160)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13,396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18,415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532"/>
              <w:spacing w:after="0"/>
              <w:rPr>
                <w:sz w:val="20"/>
                <w:szCs w:val="20"/>
                <w:color w:val="auto"/>
              </w:rPr>
            </w:pPr>
            <w:r>
              <w:rPr>
                <w:rFonts w:ascii="Arial" w:cs="Arial" w:eastAsia="Arial" w:hAnsi="Arial"/>
                <w:sz w:val="18"/>
                <w:szCs w:val="18"/>
                <w:color w:val="auto"/>
              </w:rPr>
              <w:t>18,113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(28,242)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(7,942)</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(24,047)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7,685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32"/>
              <w:spacing w:after="0"/>
              <w:rPr>
                <w:sz w:val="20"/>
                <w:szCs w:val="20"/>
                <w:color w:val="auto"/>
              </w:rPr>
            </w:pPr>
            <w:r>
              <w:rPr>
                <w:rFonts w:ascii="Arial" w:cs="Arial" w:eastAsia="Arial" w:hAnsi="Arial"/>
                <w:sz w:val="18"/>
                <w:szCs w:val="18"/>
                <w:color w:val="auto"/>
              </w:rPr>
              <w:t>80,324(a)</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6"/>
              </w:rPr>
              <w:t>(17,163)</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 (9,365)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8"/>
              </w:rPr>
              <w:t>(104,371)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(79,234)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restructuring expense of $62,550 recorded in the first quarter of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5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89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(a):</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Limited Managing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tcPr>
          <w:p>
            <w:pPr>
              <w:ind w:left="420"/>
              <w:spacing w:after="0"/>
              <w:rPr>
                <w:sz w:val="20"/>
                <w:szCs w:val="20"/>
                <w:color w:val="auto"/>
              </w:rPr>
            </w:pPr>
            <w:r>
              <w:rPr>
                <w:rFonts w:ascii="Arial" w:cs="Arial" w:eastAsia="Arial" w:hAnsi="Arial"/>
                <w:sz w:val="18"/>
                <w:szCs w:val="18"/>
                <w:color w:val="auto"/>
              </w:rPr>
              <w:t>Other Employees: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Business segment professionals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00" w:type="dxa"/>
            <w:vAlign w:val="bottom"/>
            <w:gridSpan w:val="2"/>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2009 versus June 30, 2008</w:t>
      </w:r>
    </w:p>
    <w:p>
      <w:pPr>
        <w:spacing w:after="0" w:line="7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Net interest expense in the three month period ended June 30, 2009 increased $1 million, or 6%, as compared to the corresponding period in 2008. Lower interest income in the 2009 period of $13 million was due to a lower interest rate environment and lower average cash balances and receivables from banks. Average cash decreased as a result of the share repurchases of Lazard Ltd’s Class A common stock (“Class A common stock”) as well as the repurchase of a portion of the Company’s outstanding 6.85% and 7.125% senior notes. Interest expense in the 2009 period decreased $12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lower interest paid on LFB’s customer deposits.</w:t>
      </w:r>
    </w:p>
    <w:p>
      <w:pPr>
        <w:spacing w:after="0" w:line="9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Other revenue in the 2009 period decreased by $5 million as compared to the prior year period principally due to lower investment gains from the Company’s investment portfolio.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2009 versus June 30, 2008</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interest expense in the six month period ended June 30, 2009 was unchanged, as compared to the corresponding period in 2008. Lower interest income in the 2009 period of $24 million was due to a lower interest rate environment and lower average cash balances and receivables from banks. Average cash decreased as a result of the share repurchases of Class A common stock as well as the repurchase of a portion of the Company’s outstanding 6.85% and 7.125% senior notes. Interest expense in the 2009 period was also lower by $24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lower interest paid on LFB’s customer deposits.</w:t>
      </w:r>
    </w:p>
    <w:p>
      <w:pPr>
        <w:spacing w:after="0" w:line="107"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Other revenue in the 2009 period increased by $46 million as compared to the prior year period, principally due to the 2008 period being impacted by investment related losses of $41 million in aggregate in our bank’s corporate debt portfolio (redesignated as available-for-sale effective July 1, 2008) and the Company’s net investment in corporate equities to seed Asset Management products, while in the 2009 period there were investment gains. During the 2009 period, the Company had in place a hedging strategy to minimize its risks associated with volatility in the equity markets.</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Operating expenses for the 2009 period increased by $72 million compared to the 2008 period principally due to the restructuring expense of $63 million in the three month period ended March 31,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gridSpan w:val="6"/>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in millions)</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8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w w:val="92"/>
              </w:rPr>
              <w:t>$  (43.2)</w:t>
            </w: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8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(74.4)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800" w:type="dxa"/>
            <w:vAlign w:val="bottom"/>
            <w:gridSpan w:val="3"/>
          </w:tcPr>
          <w:p>
            <w:pPr>
              <w:jc w:val="right"/>
              <w:ind w:right="92"/>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gridSpan w:val="2"/>
            <w:vMerge w:val="continue"/>
          </w:tcPr>
          <w:p>
            <w:pPr>
              <w:spacing w:after="0"/>
              <w:rPr>
                <w:sz w:val="19"/>
                <w:szCs w:val="19"/>
                <w:color w:val="auto"/>
              </w:rPr>
            </w:pPr>
          </w:p>
        </w:tc>
        <w:tc>
          <w:tcPr>
            <w:tcW w:w="800" w:type="dxa"/>
            <w:vAlign w:val="bottom"/>
            <w:gridSpan w:val="3"/>
          </w:tcPr>
          <w:p>
            <w:pPr>
              <w:jc w:val="right"/>
              <w:ind w:right="92"/>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909.7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5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956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 and intangibles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159.0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extinguishment of debt</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60" w:hanging="452"/>
        <w:spacing w:after="0" w:line="283"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relating to increases and decreases between periods in both the “deposits and other payables” and “receivables-net” captions on the statements of cash flows and relate primarily to activities of LFB. Included within the “receivables-net” caption on the statements of cash flows are amounts related to LFB’s short-term inter-bank deposits, which represent substantially all of the separately identified amount recorded as “receivables—net: banks” on the Company’s statements of financial condition. The level of these inter-bank deposits is primarily driven by the level of LFB customer-related interest-bearing time and demand deposits and short-term inter-bank deposits held at LFB, which can fluctuate significantly on a daily basis. As the amount of deposits change, there is generally a corresponding, but indirect, impact on the level of short-term inter-bank deposits.</w:t>
      </w:r>
    </w:p>
    <w:p>
      <w:pPr>
        <w:spacing w:after="0" w:line="1" w:lineRule="exact"/>
        <w:rPr>
          <w:rFonts w:ascii="Arial" w:cs="Arial" w:eastAsia="Arial" w:hAnsi="Arial"/>
          <w:sz w:val="16"/>
          <w:szCs w:val="16"/>
          <w:color w:val="auto"/>
        </w:rPr>
      </w:pPr>
    </w:p>
    <w:p>
      <w:pPr>
        <w:ind w:left="460" w:hanging="452"/>
        <w:spacing w:after="0" w:line="300"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Principally relates to the acquisition of our equity method investment in Sapphire Industrials Corp. (“Sapphire”) (see Note 9 of Notes to Condensed Consolidated Financial Statements), purchases of “available-for-sale” securities by LFB and our equity method investment in Merchant Bankers Asociados.</w:t>
      </w:r>
    </w:p>
    <w:p>
      <w:pPr>
        <w:ind w:left="460" w:right="40" w:hanging="452"/>
        <w:spacing w:after="0" w:line="29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Primarily includes distributions to noncontrolling interest holders, Class A common stock dividends, repurchases of common membership interests from LAZ-MD Holdings and shares of Class A common stock and activity related to borrowings, including, in the 2008 period, the Company’s purchase of $437 million aggregate principal amount of its 6.12% senior notes in connection with the remarketing and the concurrent settlement of the purchase contract component of the equity security units (“ESUs”), which resulted in Lazard Ltd issuing 14,582,750 shares of Class A common stock for aggregate proceeds of $437 million, as well as the repurchase of a portion of the Company’s other outstanding senior notes.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In addition, a portion of the February 2009 incentive compensation awards contains a deferred cash component, which is payable over the four-year period ending February 2013, subject to the employee meeting applicable vesting requirements, with a significant payment due to be made in November 2009. See Notes 10 and 11 of Notes to Condensed Consolidated Financial Statements.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June 30, 2009, Lazard had $969 million of cash and liquid securities, including $73 million of temporary seed investments in marketable equity securities and public and private asset management funds. We maintain lines of credit in excess of anticipated liquidity requirements. As of June 30, 2009, Lazard had approximately $215 million in unused lines of credit available to it, including a $150 million senior revolving credit facility with a group of lenders that expires in May, 2010 (the “Credit Facility”) and $43 million of unused lines of credit available to LFB. In addition, LFB has access to the Eurosystem covered bond purchase program of the Banque de France.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or in our Form 10-K. The table below sets forth our corporate indebtedness as of June 30, 2009 and December 31, 2008.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r>
      <w:tr>
        <w:trPr>
          <w:trHeight w:val="161"/>
        </w:trPr>
        <w:tc>
          <w:tcPr>
            <w:tcW w:w="11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60" w:type="dxa"/>
            <w:vAlign w:val="bottom"/>
            <w:gridSpan w:val="4"/>
          </w:tcPr>
          <w:p>
            <w:pPr>
              <w:jc w:val="right"/>
              <w:ind w:right="459"/>
              <w:spacing w:after="0" w:line="155" w:lineRule="exact"/>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ind w:left="440"/>
              <w:spacing w:after="0"/>
              <w:rPr>
                <w:sz w:val="20"/>
                <w:szCs w:val="20"/>
                <w:color w:val="auto"/>
              </w:rPr>
            </w:pPr>
            <w:r>
              <w:rPr>
                <w:rFonts w:ascii="Arial" w:cs="Arial" w:eastAsia="Arial" w:hAnsi="Arial"/>
                <w:sz w:val="18"/>
                <w:szCs w:val="18"/>
                <w:color w:val="auto"/>
              </w:rPr>
              <w:t>7.125%(a)</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538.5</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538.5</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(0.9)</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3.25%(b)</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2016</w:t>
            </w: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1,236.9</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1,237.8</w:t>
            </w:r>
          </w:p>
        </w:tc>
        <w:tc>
          <w:tcPr>
            <w:tcW w:w="6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1"/>
              </w:rPr>
              <w:t>(0.9)</w:t>
            </w:r>
          </w:p>
        </w:tc>
      </w:tr>
      <w:tr>
        <w:trPr>
          <w:trHeight w:val="20"/>
        </w:trPr>
        <w:tc>
          <w:tcPr>
            <w:tcW w:w="11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78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six months ended June 30, 2009, the Company repurchased $0.9 million principal amount of its 6.85% Senior Notes due in 2017, and recognized an aggregate gain of $0.3 million in “other revenue”.</w:t>
      </w:r>
    </w:p>
    <w:p>
      <w:pPr>
        <w:jc w:val="both"/>
        <w:ind w:left="460" w:right="220" w:hanging="452"/>
        <w:spacing w:after="0" w:line="30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July 1, 2008, an additional one third in principal amount became convertible on and after July 1, 2009, and a final one third in principal amount will become convertible on and after July 1, 2010, with no principal amounts convertible after June 30, 2011.</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described above as needed, should be sufficient for us to fund our current obligations for the next 12 months and beyond.</w:t>
      </w:r>
    </w:p>
    <w:p>
      <w:pPr>
        <w:spacing w:after="0" w:line="12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2009, Lazard Group was in compliance with such ratios, with its Consolidated Leverage Ratio being 2.05 to 1.00 and its Consolidated Interest Coverage Ratio being 8.80 to 1.00. Notwithstanding such compliance, no amounts were outstanding under the Credit Facility as of June 30, 2009.</w:t>
      </w:r>
    </w:p>
    <w:p>
      <w:pPr>
        <w:spacing w:after="0" w:line="134"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June 30, 2009,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right="1360" w:firstLine="456"/>
        <w:spacing w:after="0" w:line="375" w:lineRule="auto"/>
        <w:rPr>
          <w:sz w:val="20"/>
          <w:szCs w:val="20"/>
          <w:color w:val="auto"/>
        </w:rPr>
      </w:pPr>
      <w:r>
        <w:rPr>
          <w:rFonts w:ascii="Arial" w:cs="Arial" w:eastAsia="Arial" w:hAnsi="Arial"/>
          <w:sz w:val="18"/>
          <w:szCs w:val="18"/>
          <w:color w:val="auto"/>
        </w:rPr>
        <w:t xml:space="preserve">See Note 8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June 30, 2009, total stockholders’ equity was $376 million as compared to $312 million at December 31, 2008, including $52 million and $61 million of noncontrolling interest at the respective dates. The increase in stockholders’ equity of $64 million in the six month period ended June 30, 2009 was principally due to increases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AOCI (including noncontrolling interests’ portion thereof) of $59 million and the current period amortization of RSUs and deferred stock units amounting to $154 million, with these items partially offset by a net loss of $43 million, distributions to noncontrolling interests of $41 million, purchases of Class A common stock of $50 million, the delivery of Class A common stock in connection with the settlement of vested RSUs of $11 million and Class A common stock dividends of $13 million. The increases in AOCI described above are due primarily to (i) net positive foreign currency translation adjustments of $48 million and (ii) net mark-ups of $10 million related to securities designated as “available-for-sale”.</w:t>
      </w:r>
    </w:p>
    <w:p>
      <w:pPr>
        <w:spacing w:after="0" w:line="102"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During the six month period ended June 30, 2009, the Company repurchased 1,967,419 shares of Class A common stock and 69,623 Lazard Group common membership interests for an aggregate cost of approximately $52 million, resulting in its remaining share repurchase authorization at June 30, 2009 being approximately $75 million (see Note 10 of Notes to Condensed Consolidated Financial Statements for information regarding the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3"/>
          </w:tcPr>
          <w:p>
            <w:pPr>
              <w:jc w:val="right"/>
              <w:ind w:right="100"/>
              <w:spacing w:after="0"/>
              <w:rPr>
                <w:sz w:val="20"/>
                <w:szCs w:val="20"/>
                <w:color w:val="auto"/>
              </w:rPr>
            </w:pPr>
            <w:r>
              <w:rPr>
                <w:rFonts w:ascii="Arial" w:cs="Arial" w:eastAsia="Arial" w:hAnsi="Arial"/>
                <w:sz w:val="14"/>
                <w:szCs w:val="14"/>
                <w:b w:val="1"/>
                <w:bCs w:val="1"/>
                <w:color w:val="auto"/>
              </w:rPr>
              <w:t>Contractual Obligations Payments Due by Period</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9"/>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1 Year</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1-3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3-5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1,804,118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161,610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1,400,093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$48,139 of sublease income) (b)</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455,140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108,932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33,130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Deferred cash incentive awards, including interest (d)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158,300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75,974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2,555,291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444,144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262,410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1,632,423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8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9, 12 and 14 of Notes to Condensed Consolidated Financial Statements regarding information in connection with commitments, employee benefit plans and Lazard’s uncertain tax positions.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accounting principles generally accepted in the United States of America.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earns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bad debts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June 30, 2009 and December 31, 2008, the Company had approximately $16 million and $18 million, respectively, of receivables past due or deemed uncollectible, and its allowance for doubtful accounts was $15 million and $16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 Lazard’s consolidated financial position and results of operations.</w:t>
      </w:r>
    </w:p>
    <w:p>
      <w:pPr>
        <w:spacing w:after="0" w:line="11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January 1, 2007, the Company adopted Financial Accounting Standards Board (“FASB”) Interpretation No. 48, “</w:t>
      </w:r>
      <w:r>
        <w:rPr>
          <w:rFonts w:ascii="Arial" w:cs="Arial" w:eastAsia="Arial" w:hAnsi="Arial"/>
          <w:sz w:val="16"/>
          <w:szCs w:val="16"/>
          <w:i w:val="1"/>
          <w:iCs w:val="1"/>
          <w:color w:val="auto"/>
        </w:rPr>
        <w:t>Accounting for Uncertainty in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(“FIN No. 48”) which clarifies the more likely than not criteria included in FASB Statement No. 109,</w:t>
      </w:r>
      <w:r>
        <w:rPr>
          <w:rFonts w:ascii="Arial" w:cs="Arial" w:eastAsia="Arial" w:hAnsi="Arial"/>
          <w:sz w:val="16"/>
          <w:szCs w:val="16"/>
          <w:i w:val="1"/>
          <w:iCs w:val="1"/>
          <w:color w:val="auto"/>
        </w:rPr>
        <w:t xml:space="preserve"> “Accounting for Income Taxes”</w:t>
      </w:r>
      <w:r>
        <w:rPr>
          <w:rFonts w:ascii="Arial" w:cs="Arial" w:eastAsia="Arial" w:hAnsi="Arial"/>
          <w:sz w:val="16"/>
          <w:szCs w:val="16"/>
          <w:color w:val="auto"/>
        </w:rPr>
        <w:t>, that must be met</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recognition of the financial statement benefit of a tax position taken or expected to be taken in a tax return. FIN No. 48 also requires the recognition of a liability for differences between tax positions taken in a tax return and amounts recognized in the financial statements. Management applies the more likely than not criteria included in FIN No. 48 when estimating its income taxes in each of the jurisdictions in which it operates.</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investments are carried at fair value on the consolidated statements of financial condition, with any increases or decreases in fair value reflected (i) in earnings, to the extent held by our broker-dealer subsidiaries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when designated as “trading” securities under SFAS No. 115, within our non-broker-dealer subsidiaries, and (ii) in AOCI, to the extent designated as “available-for-sale” securities under SFAS No. 115 until such time they are realized and reclassified to earnings. Any declines in the fair value of “available-for-sale” securities that are determined to be other than temporary are charged to earnings. As described in Note 6 of Notes to Consolidated Financial Statements in our Form 10-K, effective July 1, 2008, as permitted under SFAS No. 115, certain debt securities held by LFB, which were previously designated as “trading” securities, were re-designated as “available-for-sale” securities.</w:t>
      </w:r>
    </w:p>
    <w:p>
      <w:pPr>
        <w:spacing w:after="0" w:line="1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June 30, 2009, $431 million, or 80%, of the $538 million of investments (excluding equity method investments and net of securities sold not yet purchased of $4 million) represented (i) investments in debt securities typically held long-term by LFB as part of its asset-liability management program and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 These investment portfolios are monitored daily by management.</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Included in the amount above was $321 million of debt securities (representing approximately 74% of investments subject to market risk) that primarily consist of fixed and floating rate European corporate bonds and French government debt securities. At June 30, 2009, of the $321 million of debt securities, 32%, 29%, 11%, 18% and 10% of such debt securities were invested in the financial, industrial, communications, consumer, government and other sectors, respectively. Approximately 89% of the corporate bonds held investment grade ratings at June 30, 2009. At June 30, 2009, there was approximately $48 million of pre-tax unrealized losses included in AOCI related to our bank’s investments in corporate bonds.</w:t>
      </w:r>
    </w:p>
    <w:p>
      <w:pPr>
        <w:spacing w:after="0" w:line="10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At June 30, 2009, of the $73 million in equities, 49% represents the Company’s investment in marketable equity securities, of which 27%, 22%, 8%, 7% and 36% were invested in the financial, consumer, industrial, communications and other sectors, respectively. Asset management fund investments represent the remaining 51%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 xml:space="preserve">The remaining 20% of the $538 million of investments at June 30, 2009 represent private equity investments that are generally not subject to short-term market fluctuations and interests in LAM alternative asset management funds principally representing GP interests in LAM-managed hedge funds which do not subject Lazard to market or credit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 Approximately $13 million at June 30, 2009 of the GP interests represent interests held directly by certain of our LAM managing directors or employees of the Company, and, as such, are deemed to be controlled by, and therefore consolidated by, the Company. Pursuant to SFAS No. 160, </w:t>
      </w:r>
      <w:r>
        <w:rPr>
          <w:rFonts w:ascii="Arial" w:cs="Arial" w:eastAsia="Arial" w:hAnsi="Arial"/>
          <w:sz w:val="16"/>
          <w:szCs w:val="16"/>
          <w:i w:val="1"/>
          <w:iCs w:val="1"/>
          <w:color w:val="auto"/>
        </w:rPr>
        <w:t>“Noncontrolling Interests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Consolidated Financial Statements—an amendment of ARB No. 51” </w:t>
      </w:r>
      <w:r>
        <w:rPr>
          <w:rFonts w:ascii="Arial" w:cs="Arial" w:eastAsia="Arial" w:hAnsi="Arial"/>
          <w:sz w:val="16"/>
          <w:szCs w:val="16"/>
          <w:color w:val="auto"/>
        </w:rPr>
        <w:t>(“SFAS No. 160”), the applicable noncontrolling interests are presented within</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equity” on the condensed consolidated statements of financial condition.</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Private Equity investments represent approximately 3.5% of total assets at June 30, 2009 and are comprised of investments in private equity funds and direct private equity interests. Private equity investments primarily include (i) a mezzanine fund, which invests in mezzanine debt of a diversified selection of small to mid-cap European companies; (ii) Corporate Partners II Limited,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At December 31, 2008, $433 million, or 81%, of the approximate $537 million of investments (excluding equity method investments and net of securities sold, not yet purchased of $7 million) represented (i) investments in debt securities held by LFB, (ii) Corporate investments in equities that principally represent investments in marketable equity securities of large-, mid- and small-cap domestic, international and global companies to seed new Asset Management products, including investments in public and private asset management funds managed both by LAM and third party asset managers, that, in the aggregate, subject Lazard to market or credit risk.</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Included in the amount above was $333 million of debt securities (representing approximately 77% of investments subject to market risk) that primarily consist of fixed and floating rate European corporate bonds and French government debt securities. At December 31, 2008, of the $333 million of debt securities, 37%, 26%, 10%, 15%, and 12% of such debt securities were invested in the financial, industrial, communications, consumer, government and other sectors, respectively. Approximately 92% of the corporate bonds held investment grade ratings at December 31, 2008. At December 31, 2008, there was approximately $62 million of pre-tax unrealized losses included in AOCI related to our bank’s investments in corporate bonds.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At December 31, 2008, of the $71 million in equities, 53% represents the Company’s investment in marketable equity securities, of which 32%, 24%, 10%, 7% and 27% were invested in the consumer, financial, industrial, communications and other sectors, respectively. Asset management fund investments represent the remaining 47% of total equities. The Company’s asset management fund investments are diversified and may incorporate particular strategies; however, there are no investments in funds with single sector specific strategies.</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remaining 19% of the investments at December 31, 2008 represent private equity investments and interests in LAM alternative asset management funds as discussed above. Approximately $21 million at December 31, 2008 of the GP interests represents interests held directly by certain of our LAM managing directors or employees of the Company. Private Equity investments represent approximately 2.9% of total assets at December 31, 2008 and were comprised of investments in private equity funds and direct private equity interests as described above.</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Investments in debt, equities and other investments, including equity method investments, at June 30, 2009 and December 31, 2008 aggregated $618 million and $620 million, respectively. The decrease of $2 million in the 2009 period related to maturities in the corporate bond portfolio, offset by additional investments in corporate equities to seed Asset Management products.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On January 1, 2008, the Company adopted the required provisions of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among other things, defines fair value, establishes a framework for measuring fair value and enhances disclosure requirements about fair value measurements with respect to its financial assets and financial liabilities. Pursuant to SFAS No. 157, Lazard categorizes its investments and certain other assets and liabilities recorded at fair value into a three-level fair value hierarchy as follows:</w:t>
      </w:r>
    </w:p>
    <w:p>
      <w:pPr>
        <w:spacing w:after="0" w:line="49"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Principally all of the Company’s investments in corporate bonds are considered Level 2 investments with such fair value based on observable data, principally broker quotes as provided by external pricing services.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See Note 4 of Notes to Condensed Consolidated Financial Statements for additional information regarding investments and certain other assets and liabilities measured at fair value, including the levels of fair value within which such measurements of fair value fall, pursuant to the disclosure requirements of SFAS No. 157.</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7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0" w:lineRule="exact"/>
        <w:rPr>
          <w:sz w:val="20"/>
          <w:szCs w:val="20"/>
          <w:color w:val="auto"/>
        </w:rPr>
      </w:pPr>
    </w:p>
    <w:p>
      <w:pPr>
        <w:ind w:left="1260" w:right="240" w:hanging="455"/>
        <w:spacing w:after="0" w:line="275" w:lineRule="auto"/>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Voting Interest Entities. </w:t>
      </w:r>
      <w:r>
        <w:rPr>
          <w:rFonts w:ascii="Arial" w:cs="Arial" w:eastAsia="Arial" w:hAnsi="Arial"/>
          <w:sz w:val="18"/>
          <w:szCs w:val="18"/>
          <w:color w:val="auto"/>
        </w:rPr>
        <w:t>Voting interest entities are entities in which (i) the total equity investment at risk is sufficient to enable the entity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itself independently and (ii) the equity holders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40"/>
        <w:spacing w:after="0" w:line="330" w:lineRule="auto"/>
        <w:rPr>
          <w:sz w:val="20"/>
          <w:szCs w:val="20"/>
          <w:color w:val="auto"/>
        </w:rPr>
      </w:pPr>
      <w:r>
        <w:rPr>
          <w:rFonts w:ascii="Arial" w:cs="Arial" w:eastAsia="Arial" w:hAnsi="Arial"/>
          <w:sz w:val="16"/>
          <w:szCs w:val="16"/>
          <w:color w:val="auto"/>
        </w:rPr>
        <w:t>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1" w:lineRule="exact"/>
        <w:rPr>
          <w:sz w:val="20"/>
          <w:szCs w:val="20"/>
          <w:color w:val="auto"/>
        </w:rPr>
      </w:pPr>
    </w:p>
    <w:p>
      <w:pPr>
        <w:jc w:val="both"/>
        <w:ind w:left="1260" w:right="400" w:hanging="455"/>
        <w:spacing w:after="0" w:line="262"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VIEs are entities that lack one or more of the characteristics of a voting interest entity. If Lazard has a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a combination of variable interests, in a VIE and it will absorb a majority of the VIE’s expected losses, receive a majority of the VIE’s expected residual returns, or both, it is required to consolidate such VIE.</w:t>
      </w:r>
    </w:p>
    <w:p>
      <w:pPr>
        <w:spacing w:after="0" w:line="1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FASB Interpretation No.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June 30, 2009 and December 31, 2008, derivative contracts related primarily to interest rate swaps and equity and foreign currency exchange rate contracts and are recorded at fair value. Derivative assets amounted to $8 million and $5 million at June 30, 2009 and December 31, 2008, respectively, with derivative liabilities amounting to $28 million and $44 million, at such respective dates. The decrease in derivative liabilities at June 30, 2009, as compared to December 31, 2008, related to the Company’s equity and foreign currency exchange contracts, partially offset by an increase in amounts pertaining to interest rate hedging activities.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such risks and to examine behavior under significant adverse market conditions, such as those we are currently experiencing. The following sensitivity metrics provide the resultant effects on the Company’s operating income for the six month period ended June 30, 2009:</w:t>
      </w:r>
    </w:p>
    <w:p>
      <w:pPr>
        <w:spacing w:after="0" w:line="3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$(13) million and $14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approximately $93 thousand.</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$6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an allowance for bad debts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June 30, 2009, total receivables amounted to $529 million, net of an allowance for bad debts of $15 million. As of that date, inter-bank deposits, financial advisory and asset management fee, customer and related party receivables comprised 17%, 62%, 19% and 2% of total receivables, respectively. At December 31, 2008, total receivables amounted to $713 million, net of an allowance for bad debts of $16 million. As of that date, inter-bank deposits, financial advisory and asset management fee, customer and related party receivables comprised 32%, 55%, 12% and 1%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Receivables from banks represent those related to LFB’s short-term inter-bank deposits. The level of these inter-bank deposits is primarily driven by the level of LFB customer-related interest-bearing time and demand deposits and short-term inter-bank deposits from banks held at LFB, which can fluctuate significantly on a daily basis. As the amount of deposits held at LFB changes, there is generally a corresponding, but indirect, impact on the level of short-term inter-bank deposits with banks. While historically the risk of loss associated with such inter-bank deposits was extremely low, with the unprecedented disruption and volatility in the financial markets beginning during 2008, a number of financial institutions have disclosed liquidity and credit quality issues. LFB executes such deposit agreements with leading French financial institutions and the Company closely monitors the creditworthiness of such counterparties to minimize its exposure to loss in such market conditions. Based on its review of its receivables from banks at June 30, 2009 and December 31, 2008, LFB has determined that an allowance for doubtful accounts related to such receivables from banks was not required.</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Customers and other receivables at June 30, 2009 and December 31, 2008 include a $7.8 million and $16.4 million receivable, respectively, pertaining to a receivable from the Reserve Primary Fund (the “Primary Fund”), a money market fund based in New York that is engaged in the liquidation of its assets for distribution to investors under the supervision of the SEC. In September 2008, the Primary Fund, which held certain securities issued by Lehman Brothers Holdings, Inc., temporarily suspended the payment of redemption proceeds to investors. Through June 30, 2009, the Company had recovered partial distributions from the Primary Fund aggregating $69.9 million of its $77.7 million investments in the Primary Fund as of September 15, 2008. Following the events of September 2008, various investors in the Primary Fund commenced litigations against the Primary Fund, certain officers and trustees of the Primary Fund and certain related entities. On February 26, 2009, the Primary Fund announced that it would set aside a “special reserve” of $3.5 billion of its assets to cover damages and expenses claimed in actual and potential litigations against it by Primary Fund investors. On May 5, 2009, the SEC asked the Court overseeing the Reserve Fund-related litigation to enjoin the Primary Fund’s plan to set aside a special reserve and to compel the Primary Fund to make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of its assets to the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Fund’s remaining investors. The Court is scheduled to consider the SEC’s proposal, and any objections to that proposal, at a hearing on September 23, 2009. The Company expects to receive an amount approximating the carrying value of its receivable relating to its investment in the Primary Fund, but it is possible that the process of liquidating the Primary Fund may ultimately result in some diminution in value of the Company’s investment position. The Company is closely monitoring the situation and reserving all of its rights.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June 30, 2009, LFB had no exposure to an individual counterparty that exceeded $35 million, in the aggregate, excluding deposits with inter-bank counterparties.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respect to activities outside LFB, as of June 30, 2009, the Company’s largest individual counterparty exposure was a Financial Advisory-related fee receivable of $7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 significant portion of the Company’s liabilities has fixed interest rates, while its cash and short-term investments generally have floating interest rates. Based on account balances as of June 30, 2009, Lazard estimates that operating income relating to cash and short-term investments and corporate indebtedness would change by approximately $9 million, on an annual basis, in the event interest rates were to increase or decrease by 1%.</w:t>
      </w:r>
    </w:p>
    <w:p>
      <w:pPr>
        <w:spacing w:after="0" w:line="9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As of June 30, 2009, the Company’s cash and cash equivalents totaled $896 million. Approximately 34%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that have announced that they are participating in the U.S. Treasury Department’s Temporary Guarantee Program for Money Market Funds. On a regular basis, management reviews and updates its list of approved depositor banks as well as deposit and investment thresholds.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in accordance with Statement of Financial Accounting Standards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described in Note 10 of Notes to Condensed Consolidated Financial Statements, on May 11, 2009, Lazard Ltd issued 6,832,773 shares of Class A common stock in reliance on Section 4(2) of the Securities Act of 1933 in connection with the exchange of 6,832,773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Total 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Publicly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4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4"/>
              </w:rPr>
              <w:t>Paid per</w:t>
            </w:r>
          </w:p>
        </w:tc>
        <w:tc>
          <w:tcPr>
            <w:tcW w:w="4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61"/>
        </w:trPr>
        <w:tc>
          <w:tcPr>
            <w:tcW w:w="65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Programs(1)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Programs(1)(2)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 2009 – April 30, 2009</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May 1, 2009 – May 31, 2009</w:t>
            </w:r>
          </w:p>
        </w:tc>
        <w:tc>
          <w:tcPr>
            <w:tcW w:w="720" w:type="dxa"/>
            <w:vAlign w:val="bottom"/>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 2009 – June 30, 2009</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1,700,000</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million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4"/>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1,700,000</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1,700,000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the inception of our share repurchase program in February 2006, the Board of Directors of Lazard Ltd has authorized, on a cumulative basis, the repurchase of up to $500 million in aggregate cost of Lazard Ltd Class A common stock and Lazard Group common membership interests through December 31, 2009. The share repurchase program will be used primarily to offset a portion of the shares to be issued under Lazard Ltd’s 2005 Equity Incentive Plan and 2008 Incentive Compensation Plan. Purchases under the share repurchase program may be made in the open market or through privately negotiated transactions.</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shown herein include repurchases of both Class A common stock and Lazard Group common membership interests.</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28, 2009, Lazard Ltd held its Annual General Meeting of Shareholders at which the shareholders voted upon (i) the re-election of Steven J. Heyer, Sylvia Jay, and Vernon E. Jordan, Jr., to the Board of Directors as Class III directors, each for a three year term and (ii) the ratification of the appointment of Deloitte &amp; Touche LLP as Lazard’s independent registered public accounting firm for 2009 and authorization of Lazard’s Board of Directors, acting by its Audit Committee, to set their remuneration.</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shareholders re-elected all three directors and approved the ratification of the appointment of Deloitte &amp; Touche LLP as Lazard’s independent registered public accounting firm for 2009. On each matter voted upon, the Class A common stock and Class B common stock voted together as a single class. The number of votes cast for, against or withheld and the number of abstentions with respect to each matter voted upon, as applicable, is set forth below.</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8260"/>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14605</wp:posOffset>
            </wp:positionV>
            <wp:extent cx="5060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Against/</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5715</wp:posOffset>
            </wp:positionV>
            <wp:extent cx="4457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Abstain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Broker</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Non-</w:t>
      </w:r>
    </w:p>
    <w:p>
      <w:pPr>
        <w:jc w:val="center"/>
        <w:ind w:right="40"/>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-8255</wp:posOffset>
            </wp:positionV>
            <wp:extent cx="3086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4">
            <w:col w:w="8460" w:space="720"/>
            <w:col w:w="540" w:space="420"/>
            <w:col w:w="460" w:space="380"/>
            <w:col w:w="440"/>
          </w:cols>
          <w:pgMar w:left="240" w:top="459" w:right="239" w:bottom="1440" w:gutter="0" w:footer="0" w:header="0"/>
          <w:type w:val="continuous"/>
        </w:sectPr>
      </w:pPr>
    </w:p>
    <w:p>
      <w:pPr>
        <w:ind w:left="560" w:hanging="552"/>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5000" w:type="dxa"/>
            <w:vAlign w:val="bottom"/>
          </w:tcPr>
          <w:p>
            <w:pPr>
              <w:ind w:left="560"/>
              <w:spacing w:after="0"/>
              <w:rPr>
                <w:sz w:val="20"/>
                <w:szCs w:val="20"/>
                <w:color w:val="auto"/>
              </w:rPr>
            </w:pPr>
            <w:r>
              <w:rPr>
                <w:rFonts w:ascii="Arial" w:cs="Arial" w:eastAsia="Arial" w:hAnsi="Arial"/>
                <w:sz w:val="18"/>
                <w:szCs w:val="18"/>
                <w:color w:val="auto"/>
              </w:rPr>
              <w:t>Steven J. Heyer</w:t>
            </w:r>
          </w:p>
        </w:tc>
        <w:tc>
          <w:tcPr>
            <w:tcW w:w="3920" w:type="dxa"/>
            <w:vAlign w:val="bottom"/>
          </w:tcPr>
          <w:p>
            <w:pPr>
              <w:jc w:val="right"/>
              <w:ind w:right="72"/>
              <w:spacing w:after="0"/>
              <w:rPr>
                <w:sz w:val="20"/>
                <w:szCs w:val="20"/>
                <w:color w:val="auto"/>
              </w:rPr>
            </w:pPr>
            <w:r>
              <w:rPr>
                <w:rFonts w:ascii="Arial" w:cs="Arial" w:eastAsia="Arial" w:hAnsi="Arial"/>
                <w:sz w:val="18"/>
                <w:szCs w:val="18"/>
                <w:color w:val="auto"/>
              </w:rPr>
              <w:t>87,757,969</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6,270,844</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Sylvia Jay</w:t>
            </w:r>
          </w:p>
        </w:tc>
        <w:tc>
          <w:tcPr>
            <w:tcW w:w="3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86,681,543</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6,690,874</w:t>
            </w: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00" w:type="dxa"/>
            <w:vAlign w:val="bottom"/>
          </w:tcPr>
          <w:p>
            <w:pPr>
              <w:ind w:left="560"/>
              <w:spacing w:after="0"/>
              <w:rPr>
                <w:sz w:val="20"/>
                <w:szCs w:val="20"/>
                <w:color w:val="auto"/>
              </w:rPr>
            </w:pPr>
            <w:r>
              <w:rPr>
                <w:rFonts w:ascii="Arial" w:cs="Arial" w:eastAsia="Arial" w:hAnsi="Arial"/>
                <w:sz w:val="18"/>
                <w:szCs w:val="18"/>
                <w:color w:val="auto"/>
              </w:rPr>
              <w:t>Vernon E. Jordan, Jr.</w:t>
            </w:r>
          </w:p>
        </w:tc>
        <w:tc>
          <w:tcPr>
            <w:tcW w:w="3920" w:type="dxa"/>
            <w:vAlign w:val="bottom"/>
          </w:tcPr>
          <w:p>
            <w:pPr>
              <w:jc w:val="right"/>
              <w:ind w:right="72"/>
              <w:spacing w:after="0"/>
              <w:rPr>
                <w:sz w:val="20"/>
                <w:szCs w:val="20"/>
                <w:color w:val="auto"/>
              </w:rPr>
            </w:pPr>
            <w:r>
              <w:rPr>
                <w:rFonts w:ascii="Arial" w:cs="Arial" w:eastAsia="Arial" w:hAnsi="Arial"/>
                <w:sz w:val="18"/>
                <w:szCs w:val="18"/>
                <w:color w:val="auto"/>
              </w:rPr>
              <w:t>92,387,515</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984,902</w:t>
            </w:r>
          </w:p>
        </w:tc>
        <w:tc>
          <w:tcPr>
            <w:tcW w:w="8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560" w:right="3800" w:hanging="552"/>
        <w:spacing w:after="0" w:line="276" w:lineRule="auto"/>
        <w:tabs>
          <w:tab w:leader="none" w:pos="5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Ratification of the appointment of Deloitte &amp; Touche LLP as Lazard’s independent registered public accounting firm for 2009 and authorization of Lazard’s Board of Directors, acting by its Audit</w:t>
      </w:r>
    </w:p>
    <w:p>
      <w:pPr>
        <w:spacing w:after="0" w:line="1" w:lineRule="exact"/>
        <w:rPr>
          <w:sz w:val="20"/>
          <w:szCs w:val="20"/>
          <w:color w:val="auto"/>
        </w:rPr>
      </w:pPr>
    </w:p>
    <w:p>
      <w:pPr>
        <w:ind w:left="560"/>
        <w:spacing w:after="0"/>
        <w:tabs>
          <w:tab w:leader="none" w:pos="7940" w:val="left"/>
          <w:tab w:leader="none" w:pos="9080" w:val="left"/>
          <w:tab w:leader="none" w:pos="10180" w:val="left"/>
          <w:tab w:leader="none" w:pos="11320" w:val="left"/>
        </w:tabs>
        <w:rPr>
          <w:sz w:val="20"/>
          <w:szCs w:val="20"/>
          <w:color w:val="auto"/>
        </w:rPr>
      </w:pPr>
      <w:r>
        <w:rPr>
          <w:rFonts w:ascii="Arial" w:cs="Arial" w:eastAsia="Arial" w:hAnsi="Arial"/>
          <w:sz w:val="18"/>
          <w:szCs w:val="18"/>
          <w:color w:val="auto"/>
        </w:rPr>
        <w:t>Committee, to set their remuneration</w:t>
      </w:r>
      <w:r>
        <w:rPr>
          <w:sz w:val="20"/>
          <w:szCs w:val="20"/>
          <w:color w:val="auto"/>
        </w:rPr>
        <w:tab/>
      </w:r>
      <w:r>
        <w:rPr>
          <w:rFonts w:ascii="Arial" w:cs="Arial" w:eastAsia="Arial" w:hAnsi="Arial"/>
          <w:sz w:val="18"/>
          <w:szCs w:val="18"/>
          <w:color w:val="auto"/>
        </w:rPr>
        <w:t>90,979,236</w:t>
      </w:r>
      <w:r>
        <w:rPr>
          <w:sz w:val="20"/>
          <w:szCs w:val="20"/>
          <w:color w:val="auto"/>
        </w:rPr>
        <w:tab/>
      </w:r>
      <w:r>
        <w:rPr>
          <w:rFonts w:ascii="Arial" w:cs="Arial" w:eastAsia="Arial" w:hAnsi="Arial"/>
          <w:sz w:val="18"/>
          <w:szCs w:val="18"/>
          <w:color w:val="auto"/>
        </w:rPr>
        <w:t>2,385,786</w:t>
      </w:r>
      <w:r>
        <w:rPr>
          <w:sz w:val="20"/>
          <w:szCs w:val="20"/>
          <w:color w:val="auto"/>
        </w:rPr>
        <w:tab/>
      </w:r>
      <w:r>
        <w:rPr>
          <w:rFonts w:ascii="Arial" w:cs="Arial" w:eastAsia="Arial" w:hAnsi="Arial"/>
          <w:sz w:val="18"/>
          <w:szCs w:val="18"/>
          <w:color w:val="auto"/>
        </w:rPr>
        <w:t>7,385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2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r>
      <w:tr>
        <w:trPr>
          <w:trHeight w:val="284"/>
        </w:trPr>
        <w:tc>
          <w:tcPr>
            <w:tcW w:w="900" w:type="dxa"/>
            <w:vAlign w:val="bottom"/>
          </w:tcPr>
          <w:p>
            <w:pPr>
              <w:ind w:left="460"/>
              <w:spacing w:after="0"/>
              <w:rPr>
                <w:sz w:val="20"/>
                <w:szCs w:val="20"/>
                <w:color w:val="auto"/>
              </w:rPr>
            </w:pPr>
            <w:r>
              <w:rPr>
                <w:rFonts w:ascii="Arial" w:cs="Arial" w:eastAsia="Arial" w:hAnsi="Arial"/>
                <w:sz w:val="18"/>
                <w:szCs w:val="18"/>
                <w:color w:val="auto"/>
                <w:w w:val="87"/>
              </w:rPr>
              <w:t>None.</w:t>
            </w:r>
          </w:p>
        </w:tc>
        <w:tc>
          <w:tcPr>
            <w:tcW w:w="10520" w:type="dxa"/>
            <w:vAlign w:val="bottom"/>
          </w:tcPr>
          <w:p>
            <w:pPr>
              <w:spacing w:after="0"/>
              <w:rPr>
                <w:sz w:val="24"/>
                <w:szCs w:val="24"/>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277"/>
        </w:trPr>
        <w:tc>
          <w:tcPr>
            <w:tcW w:w="900" w:type="dxa"/>
            <w:vAlign w:val="bottom"/>
          </w:tcPr>
          <w:p>
            <w:pPr>
              <w:ind w:left="40"/>
              <w:spacing w:after="0"/>
              <w:rPr>
                <w:sz w:val="20"/>
                <w:szCs w:val="20"/>
                <w:color w:val="auto"/>
              </w:rPr>
            </w:pPr>
            <w:r>
              <w:rPr>
                <w:rFonts w:ascii="Arial" w:cs="Arial" w:eastAsia="Arial" w:hAnsi="Arial"/>
                <w:sz w:val="18"/>
                <w:szCs w:val="18"/>
                <w:color w:val="auto"/>
              </w:rPr>
              <w:t>2.1</w:t>
            </w:r>
          </w:p>
        </w:tc>
        <w:tc>
          <w:tcPr>
            <w:tcW w:w="10520" w:type="dxa"/>
            <w:vAlign w:val="bottom"/>
          </w:tcPr>
          <w:p>
            <w:pPr>
              <w:ind w:left="20"/>
              <w:spacing w:after="0"/>
              <w:rPr>
                <w:sz w:val="20"/>
                <w:szCs w:val="20"/>
                <w:color w:val="auto"/>
              </w:rPr>
            </w:pPr>
            <w:r>
              <w:rPr>
                <w:rFonts w:ascii="Arial" w:cs="Arial" w:eastAsia="Arial" w:hAnsi="Arial"/>
                <w:sz w:val="18"/>
                <w:szCs w:val="18"/>
                <w:color w:val="auto"/>
                <w:w w:val="92"/>
              </w:rPr>
              <w:t>Master Separation Agreement, dated as of May 10, 2005, by and among the Registrant, Lazard Group LLC, LAZ-MD Holdings LLC and LFCM</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Holdings LLC (incorporated by reference to Exhibit 2.1 to the Registrant’s Quarterly Report (File No. 001-32492) on Form 10-Q filed on June 16,</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2.2</w:t>
            </w:r>
          </w:p>
        </w:tc>
        <w:tc>
          <w:tcPr>
            <w:tcW w:w="10520" w:type="dxa"/>
            <w:vAlign w:val="bottom"/>
          </w:tcPr>
          <w:p>
            <w:pPr>
              <w:ind w:left="2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dated as of May 10, 2005, by and among the Registrant, Lazard Group LLC and LAZ-MD Holdings LLC (incorporated by reference to Exhibit 2.2</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to the Registrant’s Quarterly Report (File No. 001-32492) on Form 10-Q filed on November 7, 2006).</w:t>
            </w:r>
          </w:p>
        </w:tc>
      </w:tr>
      <w:tr>
        <w:trPr>
          <w:trHeight w:val="331"/>
        </w:trPr>
        <w:tc>
          <w:tcPr>
            <w:tcW w:w="900" w:type="dxa"/>
            <w:vAlign w:val="bottom"/>
          </w:tcPr>
          <w:p>
            <w:pPr>
              <w:ind w:left="40"/>
              <w:spacing w:after="0"/>
              <w:rPr>
                <w:sz w:val="20"/>
                <w:szCs w:val="20"/>
                <w:color w:val="auto"/>
              </w:rPr>
            </w:pPr>
            <w:r>
              <w:rPr>
                <w:rFonts w:ascii="Arial" w:cs="Arial" w:eastAsia="Arial" w:hAnsi="Arial"/>
                <w:sz w:val="18"/>
                <w:szCs w:val="18"/>
                <w:color w:val="auto"/>
              </w:rPr>
              <w:t>2.3</w:t>
            </w:r>
          </w:p>
        </w:tc>
        <w:tc>
          <w:tcPr>
            <w:tcW w:w="10520" w:type="dxa"/>
            <w:vAlign w:val="bottom"/>
          </w:tcPr>
          <w:p>
            <w:pPr>
              <w:ind w:left="2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Lazard Ltd,</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w w:val="97"/>
              </w:rPr>
              <w:t>Lazard Group LLC and LAZ-MD Holdings LLC (incorporated by reference to Exhibit 2.1 to the Registrant’s Current Report on Form 8-K</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(File No. 001-32492) filed on May 8, 2008).</w:t>
            </w: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2.4</w:t>
            </w:r>
          </w:p>
        </w:tc>
        <w:tc>
          <w:tcPr>
            <w:tcW w:w="10520" w:type="dxa"/>
            <w:vAlign w:val="bottom"/>
          </w:tcPr>
          <w:p>
            <w:pPr>
              <w:ind w:left="2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 (File</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10520" w:type="dxa"/>
            <w:vAlign w:val="bottom"/>
          </w:tcPr>
          <w:p>
            <w:pPr>
              <w:ind w:left="20"/>
              <w:spacing w:after="0"/>
              <w:rPr>
                <w:sz w:val="20"/>
                <w:szCs w:val="20"/>
                <w:color w:val="auto"/>
              </w:rPr>
            </w:pPr>
            <w:r>
              <w:rPr>
                <w:rFonts w:ascii="Arial" w:cs="Arial" w:eastAsia="Arial" w:hAnsi="Arial"/>
                <w:sz w:val="18"/>
                <w:szCs w:val="18"/>
                <w:color w:val="auto"/>
                <w:w w:val="96"/>
              </w:rPr>
              <w:t>Certificate of Incorporation and Memorandum of Association of the Registrant (incorporated by reference to Exhibit 3.1 to the Registrant’s</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0520" w:type="dxa"/>
            <w:vAlign w:val="bottom"/>
          </w:tcPr>
          <w:p>
            <w:pPr>
              <w:ind w:left="20"/>
              <w:spacing w:after="0"/>
              <w:rPr>
                <w:sz w:val="20"/>
                <w:szCs w:val="20"/>
                <w:color w:val="auto"/>
              </w:rPr>
            </w:pPr>
            <w:r>
              <w:rPr>
                <w:rFonts w:ascii="Arial" w:cs="Arial" w:eastAsia="Arial" w:hAnsi="Arial"/>
                <w:sz w:val="18"/>
                <w:szCs w:val="18"/>
                <w:color w:val="auto"/>
                <w:w w:val="89"/>
              </w:rPr>
              <w:t>Certificate of Incorporation in Change of Name of the Registrant (incorporated by reference to Exhibit 3.2 to the Registrant’s Registration Statement</w:t>
            </w:r>
          </w:p>
        </w:tc>
      </w:tr>
      <w:tr>
        <w:trPr>
          <w:trHeight w:val="222"/>
        </w:trPr>
        <w:tc>
          <w:tcPr>
            <w:tcW w:w="900" w:type="dxa"/>
            <w:vAlign w:val="bottom"/>
          </w:tcPr>
          <w:p>
            <w:pPr>
              <w:spacing w:after="0"/>
              <w:rPr>
                <w:sz w:val="19"/>
                <w:szCs w:val="19"/>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(File No. 333-121407) on Form S-1/A filed on March 21, 2005).</w:t>
            </w:r>
          </w:p>
        </w:tc>
      </w:tr>
      <w:tr>
        <w:trPr>
          <w:trHeight w:val="365"/>
        </w:trPr>
        <w:tc>
          <w:tcPr>
            <w:tcW w:w="90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20"/>
          </w:cols>
          <w:pgMar w:left="240" w:top="459" w:right="2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Amended and Restated Bye-Laws of Lazard Ltd (incorporated by reference to Exhibit 3.3 to the Registrant’s Quarterly Report (File No. 001-32492)</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on Form 10-Q filed on June 16,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First Amendment to Amended and Restated Bye-Laws of Lazard Ltd (incorporated by reference to Exhibit 3.4 to the Registrant’s Quarterly Report</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(File No. 001-32492) on Form 10-Q filed on May 9, 2008).</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 (File</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No. 333-121407) on Form S-1/A filed on April 11,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Indenture, dated as of May 10, 2005, by and between Lazard Group LLC and The Bank of New York, as Trustee (incorporated by reference to</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4.3</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Amended and Restated Third Supplemental Indenture, dated as of May 15, 2008, by and among Lazard Group LLC and The Bank of New York, as</w:t>
            </w:r>
          </w:p>
        </w:tc>
      </w:tr>
      <w:tr>
        <w:trPr>
          <w:trHeight w:val="216"/>
        </w:trPr>
        <w:tc>
          <w:tcPr>
            <w:tcW w:w="6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trustee (and incorporated by reference to Exhibit 4.1 to the Registrants’ Current Report on Form 8-K (Commission File No. 333-126751) filed on</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May 16, 2008).</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4.4</w:t>
            </w: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Fourth Supplemental Indenture, dated as of June 21, 2007, between Lazard Group LLC and The Bank of New York, as trustee (incorporated by</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rPr>
              <w:t>4.5</w:t>
            </w:r>
          </w:p>
        </w:tc>
        <w:tc>
          <w:tcPr>
            <w:tcW w:w="10740" w:type="dxa"/>
            <w:vAlign w:val="bottom"/>
          </w:tcPr>
          <w:p>
            <w:pPr>
              <w:ind w:left="30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10.1</w:t>
            </w:r>
          </w:p>
        </w:tc>
        <w:tc>
          <w:tcPr>
            <w:tcW w:w="10740" w:type="dxa"/>
            <w:vAlign w:val="bottom"/>
          </w:tcPr>
          <w:p>
            <w:pPr>
              <w:ind w:left="300"/>
              <w:spacing w:after="0"/>
              <w:rPr>
                <w:sz w:val="20"/>
                <w:szCs w:val="20"/>
                <w:color w:val="auto"/>
              </w:rPr>
            </w:pPr>
            <w:r>
              <w:rPr>
                <w:rFonts w:ascii="Arial" w:cs="Arial" w:eastAsia="Arial" w:hAnsi="Arial"/>
                <w:sz w:val="18"/>
                <w:szCs w:val="18"/>
                <w:color w:val="auto"/>
                <w:w w:val="88"/>
              </w:rPr>
              <w:t>Amended and Restated Stockholders’ Agreement, dated as of November 6, 2006, by and among LAZ-MD Holdings LLC, the Registrant and certain</w:t>
            </w:r>
          </w:p>
        </w:tc>
      </w:tr>
      <w:tr>
        <w:trPr>
          <w:trHeight w:val="216"/>
        </w:trPr>
        <w:tc>
          <w:tcPr>
            <w:tcW w:w="6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members of LAZ-MD Holdings LLC (incorporated by reference to Exhibit 10.1 to the Registrant’s Quarterly Report (File No. 001-32492) on</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10.2</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 LAZ-</w:t>
            </w:r>
          </w:p>
        </w:tc>
      </w:tr>
      <w:tr>
        <w:trPr>
          <w:trHeight w:val="216"/>
        </w:trPr>
        <w:tc>
          <w:tcPr>
            <w:tcW w:w="6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MD Holdings LLC and Lazard Ltd. (incorporated by reference to Exhibit 10.2 to the Registrant’s Quarterly Report (File No. 001-32492) on Form</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10-Q filed on May 9, 2008).</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10.3</w:t>
            </w: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the Registrant’s Quarterly</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10.4</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10.5</w:t>
            </w:r>
          </w:p>
        </w:tc>
        <w:tc>
          <w:tcPr>
            <w:tcW w:w="10740" w:type="dxa"/>
            <w:vAlign w:val="bottom"/>
          </w:tcPr>
          <w:p>
            <w:pPr>
              <w:ind w:left="30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10.6</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Tax Receivable Agreement, dated as of May 10, 2005, by and among Ltd Sub A, Ltd Sub B and LFCM Holdings LLC (incorporated by reference to</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Exhibit 10.3 to the Registrant’s Quarterly Report (File No. 001-32492) on Form 10-Q filed on June 16, 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10.7</w:t>
            </w: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Employee Benefits Agreement, dated as of May 10, 2005, by and among the Registrant, Lazard Group LLC, LAZ-MD Holdings LLC and LFCM</w:t>
            </w:r>
          </w:p>
        </w:tc>
      </w:tr>
      <w:tr>
        <w:trPr>
          <w:trHeight w:val="216"/>
        </w:trPr>
        <w:tc>
          <w:tcPr>
            <w:tcW w:w="620" w:type="dxa"/>
            <w:vAlign w:val="bottom"/>
          </w:tcPr>
          <w:p>
            <w:pPr>
              <w:spacing w:after="0"/>
              <w:rPr>
                <w:sz w:val="18"/>
                <w:szCs w:val="18"/>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0"/>
              </w:rPr>
              <w:t>Holdings LLC (incorporated by reference to Exhibit 10.4 to the Registrant’s Quarterly Report (File No. 001-32492) on Form 10-Q filed on June 16,</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2005).</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10.8</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6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to Exhibit 10.5 to the Registrant’s Quarterly Report (File No. 001-32492) on Form 10-Q filed on June 16, 2005).</w:t>
            </w:r>
          </w:p>
        </w:tc>
      </w:tr>
      <w:tr>
        <w:trPr>
          <w:trHeight w:val="365"/>
        </w:trPr>
        <w:tc>
          <w:tcPr>
            <w:tcW w:w="620" w:type="dxa"/>
            <w:vAlign w:val="bottom"/>
          </w:tcPr>
          <w:p>
            <w:pPr>
              <w:spacing w:after="0"/>
              <w:rPr>
                <w:sz w:val="24"/>
                <w:szCs w:val="24"/>
                <w:color w:val="auto"/>
              </w:rPr>
            </w:pPr>
          </w:p>
        </w:tc>
        <w:tc>
          <w:tcPr>
            <w:tcW w:w="10740" w:type="dxa"/>
            <w:vAlign w:val="bottom"/>
          </w:tcPr>
          <w:p>
            <w:pPr>
              <w:ind w:left="500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Frères S.A.S., Lazard &amp; Co. Holdings Limited and LFCM Holdings LLC (incorporated by reference to Exhibit 10.6 to the Registrant’s Quarterly</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Administrative Services Agreement, dated as of May 10, 2005, by and among LAZ-MD Holdings LLC, LFCM Holdings LLC and Lazard Group</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LLC (incorporated by reference to Exhibit 10.7 to the Registrant’s Quarterly Report (File No. 001-32492) on Form 10-Q filed on June 16,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Business Alliance Agreement, dated as of May 10, 2005, by and between Lazard Group LLC and LFCM Holdings LLC (incorporated by reference</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to Exhibit 10.8 to the Registrant’s Quarterly Report (File No. 001-32492) on Form 10-Q filed on June 16,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Amendment and Consent, dated February 9, 2009, to the Business Alliance Agreement, dated as of May 10, 2005, by and between Lazard Group</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LLC and LFCM Holdings LLC (incorporated by reference to Exhibit 10.12 to Registrant’s Annual Report (File No. 001-32492) on Form 10-K filed</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on March 2, 2009).</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20"/>
              <w:spacing w:after="0"/>
              <w:rPr>
                <w:sz w:val="20"/>
                <w:szCs w:val="20"/>
                <w:color w:val="auto"/>
              </w:rPr>
            </w:pPr>
            <w:r>
              <w:rPr>
                <w:rFonts w:ascii="Arial" w:cs="Arial" w:eastAsia="Arial" w:hAnsi="Arial"/>
                <w:sz w:val="18"/>
                <w:szCs w:val="18"/>
                <w:color w:val="auto"/>
                <w:w w:val="93"/>
              </w:rPr>
              <w:t>Amended and Restated Operating Agreement of Lazard Strategic Coordination Company LLC, dated as of January 1, 2002 (incorporated by</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7"/>
              </w:rPr>
              <w:t>reference to Exhibit 10.16 to the Registrant’s Registration Statement (File No. 333-121407) on Form S-1/A filed on February 11,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Lease, dated as of January 27, 1994, by and between Rockefeller Center Properties and Lazard Frères &amp; Co. LLC (incorporated by reference to</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20"/>
              <w:spacing w:after="0"/>
              <w:rPr>
                <w:sz w:val="20"/>
                <w:szCs w:val="20"/>
                <w:color w:val="auto"/>
              </w:rPr>
            </w:pPr>
            <w:r>
              <w:rPr>
                <w:rFonts w:ascii="Arial" w:cs="Arial" w:eastAsia="Arial" w:hAnsi="Arial"/>
                <w:sz w:val="18"/>
                <w:szCs w:val="18"/>
                <w:color w:val="auto"/>
                <w:w w:val="87"/>
              </w:rPr>
              <w:t>Lease with an Option to Purchase, dated as of July 11, 1990, by and between Sicomibail and Finabail and SCI du 121 Boulevard Hausmann (English</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translation) (incorporated by reference to Exhibit 10.20 to the Registrant’s Registration Statement (File No. 333-121407) on Form S-1/A filed on</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February 11,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Occupational Lease, dated as of August 9, 2002, Burford (Stratton) Nominee 1 Limited, Burford (Stratton) Nominee 2 Limited, Burford (Stratton)</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Limited, Lazard &amp; Co., Limited and Lazard LLC (incorporated by reference to Exhibit 10.21 to the Registrant’s Registration Statement (File No.</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333-121407) on Form S-1/A filed on February 11,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2005 Equity Incentive Plan (incorporated by reference to Exhibit 10.21 to the Registrant’s Registration Statement (File No. 333-121407) on Form S-</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1/A filed on May 2,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the Registrant’s Definitive Proxy Statement on Schedule</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2005 Bonus Plan (incorporated by reference to Exhibit 10.23 to the Registrant’s Registration Statement (File No. 333-121407) on Form S-1/A filed</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on March 21,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20"/>
              <w:spacing w:after="0"/>
              <w:rPr>
                <w:sz w:val="20"/>
                <w:szCs w:val="20"/>
                <w:color w:val="auto"/>
              </w:rPr>
            </w:pPr>
            <w:r>
              <w:rPr>
                <w:rFonts w:ascii="Arial" w:cs="Arial" w:eastAsia="Arial" w:hAnsi="Arial"/>
                <w:sz w:val="18"/>
                <w:szCs w:val="18"/>
                <w:color w:val="auto"/>
                <w:w w:val="89"/>
              </w:rPr>
              <w:t>Amended and Restated Agreement Relating to Retention and Noncompetition and Other Covenants, dated as of January 29, 2008, by and among</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Lazard Ltd, Lazard Group LLC and Bruce Wasserstein (incorporated by reference to Exhibit 10.1 to the Registrant’s Current Report (File No. 001-</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32492) on Form 8-K filed on February 1, 2008).</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20"/>
              <w:spacing w:after="0"/>
              <w:rPr>
                <w:sz w:val="20"/>
                <w:szCs w:val="20"/>
                <w:color w:val="auto"/>
              </w:rPr>
            </w:pPr>
            <w:r>
              <w:rPr>
                <w:rFonts w:ascii="Arial" w:cs="Arial" w:eastAsia="Arial" w:hAnsi="Arial"/>
                <w:sz w:val="18"/>
                <w:szCs w:val="18"/>
                <w:color w:val="auto"/>
                <w:w w:val="91"/>
              </w:rPr>
              <w:t>Agreement Relating to Reorganization of Lazard, dated as of May 10, 2005, by and among Lazard LLC and Bruce Wasserstein (incorporated by</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reference to Exhibit 10.24 to the Registrant’s Quarterly Report (File No. 001-32492) on Form 10-Q filed on June 16, 2005).</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tcPr>
          <w:p>
            <w:pPr>
              <w:ind w:left="220"/>
              <w:spacing w:after="0"/>
              <w:rPr>
                <w:sz w:val="20"/>
                <w:szCs w:val="20"/>
                <w:color w:val="auto"/>
              </w:rPr>
            </w:pPr>
            <w:r>
              <w:rPr>
                <w:rFonts w:ascii="Arial" w:cs="Arial" w:eastAsia="Arial" w:hAnsi="Arial"/>
                <w:sz w:val="18"/>
                <w:szCs w:val="18"/>
                <w:color w:val="auto"/>
                <w:w w:val="90"/>
              </w:rPr>
              <w:t>Amended and Restated Agreement Relating to Retention and Noncompetition and Other Covenants, dated as of May 7, 2008, by and among the</w:t>
            </w:r>
          </w:p>
        </w:tc>
      </w:tr>
      <w:tr>
        <w:trPr>
          <w:trHeight w:val="216"/>
        </w:trPr>
        <w:tc>
          <w:tcPr>
            <w:tcW w:w="700" w:type="dxa"/>
            <w:vAlign w:val="bottom"/>
          </w:tcPr>
          <w:p>
            <w:pPr>
              <w:spacing w:after="0"/>
              <w:rPr>
                <w:sz w:val="18"/>
                <w:szCs w:val="18"/>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w w:val="92"/>
              </w:rPr>
              <w:t>Registrant, Lazard Group LLC and Steven J. Golub (incorporated by reference to Exhibit 10.1 to the Registrant’s Current Report (File No. 001-</w:t>
            </w:r>
          </w:p>
        </w:tc>
      </w:tr>
      <w:tr>
        <w:trPr>
          <w:trHeight w:val="222"/>
        </w:trPr>
        <w:tc>
          <w:tcPr>
            <w:tcW w:w="700" w:type="dxa"/>
            <w:vAlign w:val="bottom"/>
          </w:tcPr>
          <w:p>
            <w:pPr>
              <w:spacing w:after="0"/>
              <w:rPr>
                <w:sz w:val="19"/>
                <w:szCs w:val="19"/>
                <w:color w:val="auto"/>
              </w:rPr>
            </w:pPr>
          </w:p>
        </w:tc>
        <w:tc>
          <w:tcPr>
            <w:tcW w:w="10680" w:type="dxa"/>
            <w:vAlign w:val="bottom"/>
          </w:tcPr>
          <w:p>
            <w:pPr>
              <w:ind w:left="220"/>
              <w:spacing w:after="0"/>
              <w:rPr>
                <w:sz w:val="20"/>
                <w:szCs w:val="20"/>
                <w:color w:val="auto"/>
              </w:rPr>
            </w:pPr>
            <w:r>
              <w:rPr>
                <w:rFonts w:ascii="Arial" w:cs="Arial" w:eastAsia="Arial" w:hAnsi="Arial"/>
                <w:sz w:val="18"/>
                <w:szCs w:val="18"/>
                <w:color w:val="auto"/>
              </w:rPr>
              <w:t>32492) on Form 8-K filed on May 8, 2008).</w:t>
            </w:r>
          </w:p>
        </w:tc>
      </w:tr>
      <w:tr>
        <w:trPr>
          <w:trHeight w:val="365"/>
        </w:trPr>
        <w:tc>
          <w:tcPr>
            <w:tcW w:w="70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hanging="917"/>
        <w:spacing w:after="0" w:line="30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1, dated as of February 26, 2009, to the Amended and Restated Agreement Relating to Retention and Noncompetition and Other Covenants, dated as of May 7, 2008, by and among Lazard Ltd, Lazard Group LLC and Steven J. Golub (incorporated by reference to Exhibit 10.23 to Registrant’s Annual Report (File No. 001-32492) on Form 10-K filed on March 2, 2009).</w:t>
      </w:r>
    </w:p>
    <w:p>
      <w:pPr>
        <w:spacing w:after="0" w:line="53" w:lineRule="exact"/>
        <w:rPr>
          <w:sz w:val="20"/>
          <w:szCs w:val="20"/>
          <w:color w:val="auto"/>
        </w:rPr>
      </w:pPr>
    </w:p>
    <w:p>
      <w:pPr>
        <w:ind w:left="920" w:right="120" w:hanging="917"/>
        <w:spacing w:after="0" w:line="259"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Agreement Relating to Retention and Noncompetition and Other Covenants, dated as of May 4, 2005, applicable to, and related Schedule I for, each of Michael J. Castellano, Scott D. Hoffman and Charles G. Ward III (incorporated by reference to Exhibit 10.26 to the Registrant’s Quarterly Report (File No. 001-32492) on Form 10-Q filed on June 16, 2005).</w:t>
      </w:r>
    </w:p>
    <w:p>
      <w:pPr>
        <w:spacing w:after="0" w:line="86" w:lineRule="exact"/>
        <w:rPr>
          <w:sz w:val="20"/>
          <w:szCs w:val="20"/>
          <w:color w:val="auto"/>
        </w:rPr>
      </w:pPr>
    </w:p>
    <w:p>
      <w:pPr>
        <w:jc w:val="both"/>
        <w:ind w:left="920" w:right="40" w:hanging="917"/>
        <w:spacing w:after="0" w:line="25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First Amendment, dated as of May 7, 2008, to Agreement Relating to Retention and Noncompetition and Other Covenants, dated as of May 4, 2005, for each of Michael J. Castellano, Scott D. Hoffman and Charles G. Ward, III (incorporated by reference to Exhibit 10.2 to the Registrant’s Current Report on Form 8-K (File No. 001-32492) filed on May 8, 2008).</w:t>
      </w:r>
    </w:p>
    <w:p>
      <w:pPr>
        <w:spacing w:after="0" w:line="86" w:lineRule="exact"/>
        <w:rPr>
          <w:sz w:val="20"/>
          <w:szCs w:val="20"/>
          <w:color w:val="auto"/>
        </w:rPr>
      </w:pPr>
    </w:p>
    <w:p>
      <w:pPr>
        <w:jc w:val="both"/>
        <w:ind w:left="920" w:right="180" w:hanging="917"/>
        <w:spacing w:after="0" w:line="259"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Second Amendment, dated as of February 26, 2009, to the Agreement Relating to Retention and Noncompetition and Other Covenants, dated as of May 4, 2005 (as amended from time to time), for Michael J. Castellano (incorporated by reference to Exhibit 10.26 to Registrant’s Annual Report (File No. 001-32492) on Form 10-K filed on March 2, 2009).</w:t>
      </w:r>
    </w:p>
    <w:p>
      <w:pPr>
        <w:spacing w:after="0" w:line="86" w:lineRule="exact"/>
        <w:rPr>
          <w:sz w:val="20"/>
          <w:szCs w:val="20"/>
          <w:color w:val="auto"/>
        </w:rPr>
      </w:pPr>
    </w:p>
    <w:p>
      <w:pPr>
        <w:ind w:left="920" w:right="60" w:hanging="917"/>
        <w:spacing w:after="0" w:line="268"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Agreements Relating to Retention and Noncompetition and Other Covenants (incorporated by reference to Exhibit 10.27 to the Registrant’s Registration Statement (File No. 333-121407) on Form S-1/A filed on April 11, 2005).</w:t>
      </w:r>
    </w:p>
    <w:p>
      <w:pPr>
        <w:spacing w:after="0" w:line="78"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Agreement Relating to Retention and Noncompetition and Other Covenants, dated as of October 4, 2004, by and between Lazard Group LLC and Alexander F. Stern (incorporated by reference to Exhibit 10.28 to Registrant’s Annual Report (File No. 001-32492) on Form 10-K filed on March 2, 2009).</w:t>
      </w:r>
    </w:p>
    <w:p>
      <w:pPr>
        <w:spacing w:after="0" w:line="86" w:lineRule="exact"/>
        <w:rPr>
          <w:sz w:val="20"/>
          <w:szCs w:val="20"/>
          <w:color w:val="auto"/>
        </w:rPr>
      </w:pPr>
    </w:p>
    <w:p>
      <w:pPr>
        <w:ind w:left="920" w:hanging="917"/>
        <w:spacing w:after="0" w:line="332"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Amended and Restated Letter Agreement, effective as of January 1, 2004, between Vernon E. Jordan, Jr. and Lazard Frères &amp; Co. LLC (incorporated by reference to Exhibit 10.28 to the Registrant’s Quarterly Report (File No. 001-32492) on Form 10-Q filed on June 16, 2005).</w:t>
      </w:r>
    </w:p>
    <w:p>
      <w:pPr>
        <w:spacing w:after="0" w:line="31" w:lineRule="exact"/>
        <w:rPr>
          <w:sz w:val="20"/>
          <w:szCs w:val="20"/>
          <w:color w:val="auto"/>
        </w:rPr>
      </w:pPr>
    </w:p>
    <w:p>
      <w:pPr>
        <w:ind w:left="920" w:hanging="917"/>
        <w:spacing w:after="0" w:line="306"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Acknowledgement Letter, dated as of November 6, 2006 from Lazard Group LLC to certain managing directors of Lazard Group LLC modifying the terms of the retention agreements of persons party to the Amended and Restated Stockholders’ Agreement, dated as of November 6, 2006 (incorporated by reference to Exhibit 10.23 to the Registrant’s Quarterly Report (File No. 001-32492) on Form 10-Q filed on November 7, 2006).</w:t>
      </w:r>
    </w:p>
    <w:p>
      <w:pPr>
        <w:spacing w:after="0" w:line="53" w:lineRule="exact"/>
        <w:rPr>
          <w:sz w:val="20"/>
          <w:szCs w:val="20"/>
          <w:color w:val="auto"/>
        </w:rPr>
      </w:pPr>
    </w:p>
    <w:p>
      <w:pPr>
        <w:ind w:left="920" w:right="40" w:hanging="917"/>
        <w:spacing w:after="0" w:line="332"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Letter Agreement, dated as of March 15, 2005, from IXIS Corporate and Investment Bank to Lazard LLC and Lazard Ltd (incorporated by reference to Exhibit 10.27 to the Registrant’s Registration Statement (File No. 333-121407) on Form S-1/A filed on March 21, 2005).</w:t>
      </w:r>
    </w:p>
    <w:p>
      <w:pPr>
        <w:spacing w:after="0" w:line="31" w:lineRule="exact"/>
        <w:rPr>
          <w:sz w:val="20"/>
          <w:szCs w:val="20"/>
          <w:color w:val="auto"/>
        </w:rPr>
      </w:pPr>
    </w:p>
    <w:p>
      <w:pPr>
        <w:ind w:left="920" w:right="20" w:hanging="917"/>
        <w:spacing w:after="0" w:line="259"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Registration Rights Agreement, dated as of May 10, 2005, by and among Lazard Group Finance LLC, the Registrant, Lazard Group LLC and IXIS Corporate and Investment Bank (incorporated by reference to Exhibit 10.30 to the Registrant’s Quarterly Report (File No. 001-32492) on Form 10-Q filed on June 16, 2005).</w:t>
      </w:r>
    </w:p>
    <w:p>
      <w:pPr>
        <w:spacing w:after="0" w:line="86" w:lineRule="exact"/>
        <w:rPr>
          <w:sz w:val="20"/>
          <w:szCs w:val="20"/>
          <w:color w:val="auto"/>
        </w:rPr>
      </w:pPr>
    </w:p>
    <w:p>
      <w:pPr>
        <w:ind w:left="920" w:right="300" w:hanging="917"/>
        <w:spacing w:after="0" w:line="268"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Letter Agreement, dated as of May 10, 2005, with Bruce Wasserstein family trusts (incorporated by reference to Exhibit 10.31 to the Registrant’s Quarterly Report (File No. 001-32492) on Form 10-Q filed on June 16, 2005).</w:t>
      </w:r>
    </w:p>
    <w:p>
      <w:pPr>
        <w:spacing w:after="0" w:line="78" w:lineRule="exact"/>
        <w:rPr>
          <w:sz w:val="20"/>
          <w:szCs w:val="20"/>
          <w:color w:val="auto"/>
        </w:rPr>
      </w:pPr>
    </w:p>
    <w:p>
      <w:pPr>
        <w:ind w:left="920" w:right="280" w:hanging="917"/>
        <w:spacing w:after="0" w:line="306"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10.32 to the Registrant’s Quarterly Report (File No. 001-32492) on Form 10-Q filed on June 16, 2005).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hanging="917"/>
        <w:spacing w:after="0" w:line="256"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First Amendment, dated as of March 28,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10.34 to Registrant’s Quarterly Report (File No. 001-32492) on Form 10-Q filed on May 11, 2006).</w:t>
      </w:r>
    </w:p>
    <w:p>
      <w:pPr>
        <w:spacing w:after="0" w:line="89" w:lineRule="exact"/>
        <w:rPr>
          <w:sz w:val="20"/>
          <w:szCs w:val="20"/>
          <w:color w:val="auto"/>
        </w:rPr>
      </w:pPr>
    </w:p>
    <w:p>
      <w:pPr>
        <w:ind w:left="920" w:right="20" w:hanging="917"/>
        <w:spacing w:after="0" w:line="256"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Amendment, dated as of May 17, 2006,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 K (File No. 001-32492) filed on May 17, 2006).</w:t>
      </w:r>
    </w:p>
    <w:p>
      <w:pPr>
        <w:spacing w:after="0" w:line="89" w:lineRule="exact"/>
        <w:rPr>
          <w:sz w:val="20"/>
          <w:szCs w:val="20"/>
          <w:color w:val="auto"/>
        </w:rPr>
      </w:pPr>
    </w:p>
    <w:p>
      <w:pPr>
        <w:ind w:left="920" w:right="120" w:hanging="917"/>
        <w:spacing w:after="0" w:line="256"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Third Amendment, dated as of June 18, 2007, to the Senior Revolving Credit Agreement, dated as of May 10, 2005, among Lazard Group LLC, the Banks from time to time parties thereto, Citibank, N.A., The Bank of New York, New York Branch, JP Morgan Chase Bank, N.A. and JP Morgan Chase Bank, N.A., as Administrative Agent (incorporated by reference to Exhibit 10.1 to the Registrant’s Current Report on Form 8-K (File No. 001-32492) filed on June 22, 2007).</w:t>
      </w:r>
    </w:p>
    <w:p>
      <w:pPr>
        <w:spacing w:after="0" w:line="8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Description of Non-Executive Director Compensation (incorporated by reference to Exhibit 10.33 to the Registrant’s Quarterly Report (File No. 001-</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32492) on Form 10-Q for the quarter ended June 30, 2005).</w:t>
      </w:r>
    </w:p>
    <w:p>
      <w:pPr>
        <w:spacing w:after="0" w:line="111" w:lineRule="exact"/>
        <w:rPr>
          <w:sz w:val="20"/>
          <w:szCs w:val="20"/>
          <w:color w:val="auto"/>
        </w:rPr>
      </w:pPr>
    </w:p>
    <w:p>
      <w:pPr>
        <w:ind w:left="920" w:right="560" w:hanging="917"/>
        <w:spacing w:after="0" w:line="268" w:lineRule="auto"/>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Award Letter for Annual Grant of Deferred Stock Units to Non-Executive Directors (incorporated by reference to Exhibit 99.1 to the Registrant’s Current Report on Form 8-K (File No. 001-32492) filed on September 8, 2005).</w:t>
      </w:r>
    </w:p>
    <w:p>
      <w:pPr>
        <w:spacing w:after="0" w:line="78" w:lineRule="exact"/>
        <w:rPr>
          <w:sz w:val="20"/>
          <w:szCs w:val="20"/>
          <w:color w:val="auto"/>
        </w:rPr>
      </w:pPr>
    </w:p>
    <w:p>
      <w:pPr>
        <w:ind w:left="920" w:right="400" w:hanging="917"/>
        <w:spacing w:after="0" w:line="332" w:lineRule="auto"/>
        <w:tabs>
          <w:tab w:leader="none" w:pos="9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Agreement evidencing a grant of Restricted Stock Units to Executive Officers under the Lazard Equity Incentive Plan (incorporated by reference to Exhibit 10.1 to the Registrant’s Current Report on Form 8-K (File No. 001-32492 filed on January 26, 2006).</w:t>
      </w:r>
    </w:p>
    <w:p>
      <w:pPr>
        <w:spacing w:after="0" w:line="31" w:lineRule="exact"/>
        <w:rPr>
          <w:sz w:val="20"/>
          <w:szCs w:val="20"/>
          <w:color w:val="auto"/>
        </w:rPr>
      </w:pPr>
    </w:p>
    <w:p>
      <w:pPr>
        <w:ind w:left="920" w:right="200" w:hanging="917"/>
        <w:spacing w:after="0" w:line="332" w:lineRule="auto"/>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Agreement evidencing a grant of Restricted Stock Units to Executive Officers under the 2008 Incentive Compensation Plan (incorporated by reference to Exhibit 10.41 to Registrant’s Annual Report (File No. 001-32492) on Form 10-K filed on March 2, 2009).</w:t>
      </w:r>
    </w:p>
    <w:p>
      <w:pPr>
        <w:spacing w:after="0" w:line="31" w:lineRule="exact"/>
        <w:rPr>
          <w:sz w:val="20"/>
          <w:szCs w:val="20"/>
          <w:color w:val="auto"/>
        </w:rPr>
      </w:pPr>
    </w:p>
    <w:p>
      <w:pPr>
        <w:ind w:left="920" w:right="40" w:hanging="917"/>
        <w:spacing w:after="0" w:line="332" w:lineRule="auto"/>
        <w:tabs>
          <w:tab w:leader="none" w:pos="9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Agreement evidencing a grant of Deferred Cash Award to Executive Officers under the 2008 Incentive Compensation Plan (incorporated by reference to Exhibit 10.42 to Registrant’s Annual Report (File No. 001-32492) on Form 10-K filed on March 2, 2009).</w:t>
      </w:r>
    </w:p>
    <w:p>
      <w:pPr>
        <w:spacing w:after="0" w:line="31" w:lineRule="exact"/>
        <w:rPr>
          <w:sz w:val="20"/>
          <w:szCs w:val="20"/>
          <w:color w:val="auto"/>
        </w:rPr>
      </w:pPr>
    </w:p>
    <w:p>
      <w:pPr>
        <w:ind w:left="920" w:right="140" w:hanging="917"/>
        <w:spacing w:after="0" w:line="332" w:lineRule="auto"/>
        <w:tabs>
          <w:tab w:leader="none" w:pos="9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Termination Agreement, dated as of March 31, 2006, by and among Banca Intesa S.p.A., Lazard Group LLC, and Lazard &amp; Co. S.r.l. (incorporated by reference to Exhibit 10.1 to the Registrant’s Current Report on Form 8-K (File No. 001-32492) filed on April 4, 2006).</w:t>
      </w:r>
    </w:p>
    <w:p>
      <w:pPr>
        <w:spacing w:after="0" w:line="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Amended and Restated $150 Million Subordinated Convertible Promissory Note due 2018, issued by Lazard Funding LLC to Banca Intesa S.p.A.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(incorporated by reference to Exhibit 10.3 to the Registrant’s Current Report on Form 8-K (File No. 001-32492) filed on May 17, 2006).</w:t>
      </w:r>
    </w:p>
    <w:p>
      <w:pPr>
        <w:spacing w:after="0" w:line="134" w:lineRule="exact"/>
        <w:rPr>
          <w:sz w:val="20"/>
          <w:szCs w:val="20"/>
          <w:color w:val="auto"/>
        </w:rPr>
      </w:pPr>
    </w:p>
    <w:p>
      <w:pPr>
        <w:ind w:left="920" w:right="100" w:hanging="917"/>
        <w:spacing w:after="0" w:line="268" w:lineRule="auto"/>
        <w:tabs>
          <w:tab w:leader="none" w:pos="9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Amended and Restated Guaranty of Lazard Group LLC to Banca Intesa S.p.A., dated as of May 15, 2006 (incorporated by reference to Exhibit 10.4 to the Registrant’s Current Report on Form 8-K (File No. 001-32492) filed on May 17, 2006).</w:t>
      </w:r>
    </w:p>
    <w:p>
      <w:pPr>
        <w:spacing w:after="0" w:line="78" w:lineRule="exact"/>
        <w:rPr>
          <w:sz w:val="20"/>
          <w:szCs w:val="20"/>
          <w:color w:val="auto"/>
        </w:rPr>
      </w:pPr>
    </w:p>
    <w:p>
      <w:pPr>
        <w:ind w:left="920" w:right="160" w:hanging="917"/>
        <w:spacing w:after="0" w:line="268" w:lineRule="auto"/>
        <w:tabs>
          <w:tab w:leader="none" w:pos="9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Directors’ Fee Deferral Unit Plan (incorporated by reference to Exhibit 10.39 to Registrant’s Quarterly Report (File No. 001-32492) on Form 10-Q filed on May 11, 2006).</w:t>
      </w:r>
    </w:p>
    <w:p>
      <w:pPr>
        <w:spacing w:after="0" w:line="78" w:lineRule="exact"/>
        <w:rPr>
          <w:sz w:val="20"/>
          <w:szCs w:val="20"/>
          <w:color w:val="auto"/>
        </w:rPr>
      </w:pPr>
    </w:p>
    <w:p>
      <w:pPr>
        <w:ind w:left="920" w:right="160" w:hanging="917"/>
        <w:spacing w:after="0" w:line="332" w:lineRule="auto"/>
        <w:tabs>
          <w:tab w:leader="none" w:pos="90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First amended Form of Agreement evidencing a grant of Restricted Stock Units to Executive Officers under the Lazard 2005 Equity Incentive Plan (incorporated by reference to Exhibit 10.43 to Registrant’s Annual Report (File No. 001-32492) on Form 10-K filed on March 1, 2007).</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10.48</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 Lazard</w:t>
            </w:r>
          </w:p>
        </w:tc>
      </w:tr>
      <w:tr>
        <w:trPr>
          <w:trHeight w:val="216"/>
        </w:trPr>
        <w:tc>
          <w:tcPr>
            <w:tcW w:w="660" w:type="dxa"/>
            <w:vAlign w:val="bottom"/>
          </w:tcPr>
          <w:p>
            <w:pPr>
              <w:spacing w:after="0"/>
              <w:rPr>
                <w:sz w:val="18"/>
                <w:szCs w:val="18"/>
                <w:color w:val="auto"/>
              </w:rPr>
            </w:pP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 on</w:t>
            </w:r>
          </w:p>
        </w:tc>
      </w:tr>
      <w:tr>
        <w:trPr>
          <w:trHeight w:val="222"/>
        </w:trPr>
        <w:tc>
          <w:tcPr>
            <w:tcW w:w="660" w:type="dxa"/>
            <w:vAlign w:val="bottom"/>
          </w:tcPr>
          <w:p>
            <w:pPr>
              <w:spacing w:after="0"/>
              <w:rPr>
                <w:sz w:val="19"/>
                <w:szCs w:val="19"/>
                <w:color w:val="auto"/>
              </w:rPr>
            </w:pP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August 15, 2008).</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Bruce Wasserstein.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2"/>
          </w:tcPr>
          <w:p>
            <w:pPr>
              <w:ind w:left="26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220" w:type="dxa"/>
            <w:vAlign w:val="bottom"/>
          </w:tcPr>
          <w:p>
            <w:pPr>
              <w:ind w:left="260"/>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for Bruce Wasserstein.</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220" w:type="dxa"/>
            <w:vAlign w:val="bottom"/>
          </w:tcPr>
          <w:p>
            <w:pPr>
              <w:ind w:left="260"/>
              <w:spacing w:after="0"/>
              <w:rPr>
                <w:sz w:val="20"/>
                <w:szCs w:val="20"/>
                <w:color w:val="auto"/>
              </w:rPr>
            </w:pPr>
            <w:r>
              <w:rPr>
                <w:rFonts w:ascii="Arial" w:cs="Arial" w:eastAsia="Arial" w:hAnsi="Arial"/>
                <w:sz w:val="18"/>
                <w:szCs w:val="18"/>
                <w:color w:val="auto"/>
                <w:w w:val="89"/>
              </w:rPr>
              <w:t>Section 1350</w:t>
            </w:r>
          </w:p>
        </w:tc>
        <w:tc>
          <w:tcPr>
            <w:tcW w:w="9420" w:type="dxa"/>
            <w:vAlign w:val="bottom"/>
          </w:tcPr>
          <w:p>
            <w:pPr>
              <w:ind w:left="20"/>
              <w:spacing w:after="0"/>
              <w:rPr>
                <w:sz w:val="20"/>
                <w:szCs w:val="20"/>
                <w:color w:val="auto"/>
              </w:rPr>
            </w:pPr>
            <w:r>
              <w:rPr>
                <w:rFonts w:ascii="Arial" w:cs="Arial" w:eastAsia="Arial" w:hAnsi="Arial"/>
                <w:sz w:val="18"/>
                <w:szCs w:val="18"/>
                <w:color w:val="auto"/>
              </w:rPr>
              <w:t>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00"/>
          </w:cols>
          <w:pgMar w:left="24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Bruce Wasserstein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vMerge w:val="restart"/>
          </w:tcPr>
          <w:p>
            <w:pPr>
              <w:jc w:val="center"/>
              <w:ind w:left="244"/>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6"/>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left="324"/>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(33,823)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25,140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$418,295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342,362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160,154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155,374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119,606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Operating income (loss) from continuing operations before fixed charges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185,294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446,815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437,013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139,899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$ 137,110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420"/>
              <w:spacing w:after="0"/>
              <w:rPr>
                <w:sz w:val="20"/>
                <w:szCs w:val="20"/>
                <w:color w:val="auto"/>
              </w:rPr>
            </w:pPr>
            <w:r>
              <w:rPr>
                <w:rFonts w:ascii="Arial" w:cs="Arial" w:eastAsia="Arial" w:hAnsi="Arial"/>
                <w:sz w:val="18"/>
                <w:szCs w:val="18"/>
                <w:color w:val="auto"/>
              </w:rPr>
              <w:t>Other (d)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18,264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160,154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155,374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$ 119,606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 (e)</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1.16(g)</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from continuing</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operations before fixed charges to total fixed charges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33,823(f)</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right="20" w:hanging="326"/>
        <w:spacing w:after="0" w:line="306" w:lineRule="auto"/>
        <w:tabs>
          <w:tab w:leader="none" w:pos="7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earnings for the six month period ended June 30, 2009 and for the years ended December 31, 2008, 2007, 2006, 2005 and 2004 represent income (loss) from continuing operations before income taxes, and, for periods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fixed charges consists of the interest factor in rentals.</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results of operations for periods until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220" w:hanging="326"/>
        <w:spacing w:after="0" w:line="294" w:lineRule="auto"/>
        <w:tabs>
          <w:tab w:leader="none" w:pos="7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payment for services rendered by Lazard Ltd’s managing directors, which, as a result of Lazard Ltd operating as a limited liability company, historically had been accounted for as distributions from members’ capital, or in some cases as noncontrolling interests, rather than as compensation and benefits expense. As a result, Lazard Ltd’s operating income historically has not reflected payments for services rendered by its managing directors. For periods subsequent to the consummation of the equity public offering, the consolidated financial statements of Lazard Ltd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Operating loss for the six month period ended June 30, 2009 is presented after giving effect to a restructuring expense of $62,550 in the first quarter of 2009 (see Note 13 of Notes to Condensed Consolidated Financial Statements). Excluding the impact of such expense, the ratio of earnings to fixed charges would have been 1.45.</w:t>
      </w:r>
    </w:p>
    <w:p>
      <w:pPr>
        <w:spacing w:after="0" w:line="45"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Operating income for 2008 is presented after giving effect to a charge of $199,550 relating to the LAM Merger in the third quarter (see Note 5 of Notes to Condensed Consolidated Financial Statements).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Bruce Wasserstein, certify that:</w:t>
      </w:r>
    </w:p>
    <w:p>
      <w:pPr>
        <w:spacing w:after="0" w:line="158"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2009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2009</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Bruce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Bruce Wasserstein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31,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2009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3"/>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1."/>
      <w:numFmt w:val="decimal"/>
      <w:start w:val="6"/>
    </w:lvl>
  </w:abstractNum>
  <w:abstractNum w:abstractNumId="11">
    <w:nsid w:val="3006C83E"/>
    <w:multiLevelType w:val="hybridMultilevel"/>
    <w:lvl w:ilvl="0">
      <w:lvlJc w:val="left"/>
      <w:lvlText w:val="%1."/>
      <w:numFmt w:val="decimal"/>
      <w:start w:val="7"/>
    </w:lvl>
  </w:abstractNum>
  <w:abstractNum w:abstractNumId="12">
    <w:nsid w:val="614FD4A1"/>
    <w:multiLevelType w:val="hybridMultilevel"/>
    <w:lvl w:ilvl="0">
      <w:lvlJc w:val="left"/>
      <w:lvlText w:val="%1."/>
      <w:numFmt w:val="decimal"/>
      <w:start w:val="8"/>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decimal"/>
      <w:start w:val="9"/>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decimal"/>
      <w:start w:val="10"/>
    </w:lvl>
  </w:abstractNum>
  <w:abstractNum w:abstractNumId="17">
    <w:nsid w:val="3804823E"/>
    <w:multiLevelType w:val="hybridMultilevel"/>
    <w:lvl w:ilvl="0">
      <w:lvlJc w:val="left"/>
      <w:lvlText w:val="%1."/>
      <w:numFmt w:val="decimal"/>
      <w:start w:val="11"/>
    </w:lvl>
  </w:abstractNum>
  <w:abstractNum w:abstractNumId="18">
    <w:nsid w:val="77465F01"/>
    <w:multiLevelType w:val="hybridMultilevel"/>
    <w:lvl w:ilvl="0">
      <w:lvlJc w:val="left"/>
      <w:lvlText w:val="%1."/>
      <w:numFmt w:val="decimal"/>
      <w:start w:val="12"/>
    </w:lvl>
  </w:abstractNum>
  <w:abstractNum w:abstractNumId="19">
    <w:nsid w:val="7724C67E"/>
    <w:multiLevelType w:val="hybridMultilevel"/>
    <w:lvl w:ilvl="0">
      <w:lvlJc w:val="left"/>
      <w:lvlText w:val="%1."/>
      <w:numFmt w:val="decimal"/>
      <w:start w:val="13"/>
    </w:lvl>
  </w:abstractNum>
  <w:abstractNum w:abstractNumId="20">
    <w:nsid w:val="5C482A97"/>
    <w:multiLevelType w:val="hybridMultilevel"/>
    <w:lvl w:ilvl="0">
      <w:lvlJc w:val="left"/>
      <w:lvlText w:val="%1."/>
      <w:numFmt w:val="decimal"/>
      <w:start w:val="14"/>
    </w:lvl>
  </w:abstractNum>
  <w:abstractNum w:abstractNumId="21">
    <w:nsid w:val="2463B9EA"/>
    <w:multiLevelType w:val="hybridMultilevel"/>
    <w:lvl w:ilvl="0">
      <w:lvlJc w:val="left"/>
      <w:lvlText w:val="%1."/>
      <w:numFmt w:val="decimal"/>
      <w:start w:val="15"/>
    </w:lvl>
  </w:abstractNum>
  <w:abstractNum w:abstractNumId="22">
    <w:nsid w:val="5E884ADC"/>
    <w:multiLevelType w:val="hybridMultilevel"/>
    <w:lvl w:ilvl="0">
      <w:lvlJc w:val="left"/>
      <w:lvlText w:val="%1."/>
      <w:numFmt w:val="decimal"/>
      <w:start w:val="16"/>
    </w:lvl>
  </w:abstractNum>
  <w:abstractNum w:abstractNumId="23">
    <w:nsid w:val="51EAD36B"/>
    <w:multiLevelType w:val="hybridMultilevel"/>
    <w:lvl w:ilvl="0">
      <w:lvlJc w:val="left"/>
      <w:lvlText w:val="%1."/>
      <w:numFmt w:val="decimal"/>
      <w:start w:val="17"/>
    </w:lvl>
  </w:abstractNum>
  <w:abstractNum w:abstractNumId="24">
    <w:nsid w:val="2D517796"/>
    <w:multiLevelType w:val="hybridMultilevel"/>
    <w:lvl w:ilvl="0">
      <w:lvlJc w:val="left"/>
      <w:lvlText w:val="%1."/>
      <w:numFmt w:val="decimal"/>
      <w:start w:val="18"/>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2"/>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2"/>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lowerLetter"/>
      <w:start w:val="1"/>
    </w:lvl>
    <w:lvl w:ilvl="1">
      <w:lvlJc w:val="left"/>
      <w:lvlText w:val="•"/>
      <w:numFmt w:val="bullet"/>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2019-12-11T00:07:00Z</dcterms:created>
  <dcterms:modified xsi:type="dcterms:W3CDTF">2019-12-11T00:07:00Z</dcterms:modified>
</cp:coreProperties>
</file>