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03"/>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tbl>
      <w:tblPr>
        <w:tblLayout w:type="fixed"/>
        <w:tblInd w:w="1620" w:type="dxa"/>
        <w:tblCellMar>
          <w:top w:w="0" w:type="dxa"/>
          <w:left w:w="0" w:type="dxa"/>
          <w:bottom w:w="0" w:type="dxa"/>
          <w:right w:w="0" w:type="dxa"/>
        </w:tblCellMar>
      </w:tblPr>
      <w:tr>
        <w:trPr>
          <w:trHeight w:val="218"/>
        </w:trPr>
        <w:tc>
          <w:tcPr>
            <w:tcW w:w="596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w w:val="91"/>
              </w:rPr>
              <w:t>Delaware</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49"/>
        </w:trPr>
        <w:tc>
          <w:tcPr>
            <w:tcW w:w="2900" w:type="dxa"/>
            <w:vAlign w:val="bottom"/>
          </w:tcPr>
          <w:p>
            <w:pPr>
              <w:spacing w:after="0"/>
              <w:rPr>
                <w:sz w:val="21"/>
                <w:szCs w:val="21"/>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30 Rockefeller Plaza</w:t>
            </w:r>
          </w:p>
        </w:tc>
        <w:tc>
          <w:tcPr>
            <w:tcW w:w="2200" w:type="dxa"/>
            <w:vAlign w:val="bottom"/>
          </w:tcPr>
          <w:p>
            <w:pPr>
              <w:spacing w:after="0"/>
              <w:rPr>
                <w:sz w:val="21"/>
                <w:szCs w:val="21"/>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New York, NY 10020</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4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97"/>
        </w:trPr>
        <w:tc>
          <w:tcPr>
            <w:tcW w:w="5960" w:type="dxa"/>
            <w:vAlign w:val="bottom"/>
            <w:gridSpan w:val="3"/>
          </w:tcPr>
          <w:p>
            <w:pPr>
              <w:jc w:val="center"/>
              <w:ind w:left="2160"/>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8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93"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80" w:firstLine="342"/>
        <w:spacing w:after="0" w:line="268" w:lineRule="auto"/>
        <w:rPr>
          <w:sz w:val="20"/>
          <w:szCs w:val="20"/>
          <w:color w:val="auto"/>
        </w:rPr>
      </w:pPr>
      <w:r>
        <w:rPr>
          <w:rFonts w:ascii="Arial" w:cs="Arial" w:eastAsia="Arial" w:hAnsi="Arial"/>
          <w:sz w:val="18"/>
          <w:szCs w:val="18"/>
          <w:color w:val="auto"/>
        </w:rPr>
        <w:t>As of July 25, 2012, in addition to profit participant interests, there were 129,766,090 common membership interests and two managing members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material operating assets other than indirect ownership as of June 30, 2012 of approximately 94.9% of the common membership interests in Lazard Group. Lazard Ltd controls Lazard Group through two of its indirect wholly-owned subsidiaries who are co-managing members of Lazard Group.</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Lazard Group has two primary holders of its common membership interests: Lazard Ltd and LAZ-MD Holdings LLC (“LAZ-MD Holdings”), a holding company that is owned by Lazard Group’s current and former managing directors.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in connection with the recapitalization of Lazard Group at the time of Lazard Ltd’s equity public offering. The profit participation interests are discretionary profits interests that are intended to enable Lazard Group to compensate its managing directors in a manner consistent with historical practices.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1">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9"/>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920" w:type="dxa"/>
            <w:vAlign w:val="bottom"/>
            <w:gridSpan w:val="7"/>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Financial Condition as of June 30, 2012 and</w:t>
              </w:r>
            </w:hyperlink>
          </w:p>
        </w:tc>
        <w:tc>
          <w:tcPr>
            <w:tcW w:w="5120" w:type="dxa"/>
            <w:vAlign w:val="bottom"/>
            <w:gridSpan w:val="4"/>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5920" w:type="dxa"/>
            <w:vAlign w:val="bottom"/>
            <w:tcBorders>
              <w:bottom w:val="single" w:sz="8" w:color="0000EE"/>
            </w:tcBorders>
            <w:gridSpan w:val="7"/>
            <w:vMerge w:val="continue"/>
          </w:tcPr>
          <w:p>
            <w:pPr>
              <w:spacing w:after="0"/>
              <w:rPr>
                <w:sz w:val="13"/>
                <w:szCs w:val="13"/>
                <w:color w:val="auto"/>
              </w:rPr>
            </w:pPr>
          </w:p>
        </w:tc>
        <w:tc>
          <w:tcPr>
            <w:tcW w:w="512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December 31, 2011</w:t>
              </w:r>
            </w:hyperlink>
          </w:p>
        </w:tc>
        <w:tc>
          <w:tcPr>
            <w:tcW w:w="94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70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and six month periods ended</w:t>
              </w:r>
            </w:hyperlink>
          </w:p>
        </w:tc>
        <w:tc>
          <w:tcPr>
            <w:tcW w:w="400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6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June 30, 2012 and 2011</w:t>
              </w:r>
            </w:hyperlink>
          </w:p>
        </w:tc>
        <w:tc>
          <w:tcPr>
            <w:tcW w:w="91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040" w:type="dxa"/>
            <w:vAlign w:val="bottom"/>
            <w:gridSpan w:val="11"/>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Comprehensive Income for the three month and six month periods ended June 30, 2012 and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9640" w:type="dxa"/>
            <w:vAlign w:val="bottom"/>
            <w:tcBorders>
              <w:top w:val="single" w:sz="8" w:color="0000EE"/>
            </w:tcBorders>
            <w:gridSpan w:val="1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 periods ended</w:t>
              </w:r>
            </w:hyperlink>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June 30, 2012 and 2011</w:t>
              </w:r>
            </w:hyperlink>
          </w:p>
        </w:tc>
        <w:tc>
          <w:tcPr>
            <w:tcW w:w="4000" w:type="dxa"/>
            <w:vAlign w:val="bottom"/>
            <w:tcBorders>
              <w:top w:val="single" w:sz="8" w:color="0000EE"/>
            </w:tcBorders>
            <w:gridSpan w:val="2"/>
          </w:tcPr>
          <w:p>
            <w:pPr>
              <w:spacing w:after="0"/>
              <w:rPr>
                <w:sz w:val="17"/>
                <w:szCs w:val="17"/>
                <w:color w:val="auto"/>
              </w:rPr>
            </w:pPr>
          </w:p>
        </w:tc>
        <w:tc>
          <w:tcPr>
            <w:tcW w:w="51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8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7"/>
              </w:rPr>
              <w:t>Condensed Consolidated Statements of Changes in Members’ Equity for the six month periods ended June 30, 2012 and 2011</w:t>
            </w:r>
          </w:p>
        </w:tc>
        <w:tc>
          <w:tcPr>
            <w:tcW w:w="21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11"/>
          </w:tcPr>
          <w:p>
            <w:pPr>
              <w:spacing w:after="0"/>
              <w:rPr>
                <w:sz w:val="20"/>
                <w:szCs w:val="20"/>
                <w:color w:val="auto"/>
              </w:rPr>
            </w:pPr>
            <w:r>
              <w:rPr>
                <w:rFonts w:ascii="Arial" w:cs="Arial" w:eastAsia="Arial" w:hAnsi="Arial"/>
                <w:sz w:val="18"/>
                <w:szCs w:val="18"/>
                <w:color w:val="0000EE"/>
              </w:rPr>
              <w:t>Notes to Condensed Consolidated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gridSpan w:val="3"/>
          </w:tcPr>
          <w:p>
            <w:pPr>
              <w:spacing w:after="0"/>
              <w:rPr>
                <w:sz w:val="24"/>
                <w:szCs w:val="24"/>
                <w:color w:val="auto"/>
              </w:rPr>
            </w:pPr>
          </w:p>
        </w:tc>
        <w:tc>
          <w:tcPr>
            <w:tcW w:w="20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 AND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128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Pr>
          <w:p>
            <w:pPr>
              <w:jc w:val="right"/>
              <w:spacing w:after="0"/>
              <w:rPr>
                <w:sz w:val="20"/>
                <w:szCs w:val="20"/>
                <w:color w:val="auto"/>
              </w:rPr>
            </w:pPr>
            <w:r>
              <w:rPr>
                <w:rFonts w:ascii="Arial" w:cs="Arial" w:eastAsia="Arial" w:hAnsi="Arial"/>
                <w:sz w:val="18"/>
                <w:szCs w:val="18"/>
                <w:color w:val="auto"/>
              </w:rPr>
              <w:t>$725,369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$820,984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324,355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40" w:type="dxa"/>
            <w:vAlign w:val="bottom"/>
          </w:tcPr>
          <w:p>
            <w:pPr>
              <w:jc w:val="right"/>
              <w:spacing w:after="0"/>
              <w:rPr>
                <w:sz w:val="20"/>
                <w:szCs w:val="20"/>
                <w:color w:val="auto"/>
              </w:rPr>
            </w:pPr>
            <w:r>
              <w:rPr>
                <w:rFonts w:ascii="Arial" w:cs="Arial" w:eastAsia="Arial" w:hAnsi="Arial"/>
                <w:sz w:val="18"/>
                <w:szCs w:val="18"/>
                <w:color w:val="auto"/>
              </w:rPr>
              <w:t>78,774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6"/>
              </w:rPr>
              <w:t>Receivables (net of allowance for doubtful accounts of $20,756 and $19,450 at June 30, 2012 and December 31, 2011,</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Fees</w:t>
            </w:r>
          </w:p>
        </w:tc>
        <w:tc>
          <w:tcPr>
            <w:tcW w:w="840" w:type="dxa"/>
            <w:vAlign w:val="bottom"/>
          </w:tcPr>
          <w:p>
            <w:pPr>
              <w:jc w:val="right"/>
              <w:spacing w:after="0"/>
              <w:rPr>
                <w:sz w:val="20"/>
                <w:szCs w:val="20"/>
                <w:color w:val="auto"/>
              </w:rPr>
            </w:pPr>
            <w:r>
              <w:rPr>
                <w:rFonts w:ascii="Arial" w:cs="Arial" w:eastAsia="Arial" w:hAnsi="Arial"/>
                <w:sz w:val="18"/>
                <w:szCs w:val="18"/>
                <w:color w:val="auto"/>
              </w:rPr>
              <w:t>388,588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402,843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210,709</w:t>
            </w:r>
          </w:p>
        </w:tc>
        <w:tc>
          <w:tcPr>
            <w:tcW w:w="4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680,087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w:t>
            </w:r>
          </w:p>
        </w:tc>
        <w:tc>
          <w:tcPr>
            <w:tcW w:w="840" w:type="dxa"/>
            <w:vAlign w:val="bottom"/>
          </w:tcPr>
          <w:p>
            <w:pPr>
              <w:jc w:val="right"/>
              <w:spacing w:after="0"/>
              <w:rPr>
                <w:sz w:val="20"/>
                <w:szCs w:val="20"/>
                <w:color w:val="auto"/>
              </w:rPr>
            </w:pPr>
            <w:r>
              <w:rPr>
                <w:rFonts w:ascii="Arial" w:cs="Arial" w:eastAsia="Arial" w:hAnsi="Arial"/>
                <w:sz w:val="18"/>
                <w:szCs w:val="18"/>
                <w:color w:val="auto"/>
              </w:rPr>
              <w:t>428,714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355,510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w w:val="93"/>
              </w:rPr>
              <w:t>Property (net of accumulated amortization and depreciation of $261,690 and $266,673 at June 30, 2012 and December 31,</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2011, respectively)</w:t>
            </w:r>
          </w:p>
        </w:tc>
        <w:tc>
          <w:tcPr>
            <w:tcW w:w="840" w:type="dxa"/>
            <w:vAlign w:val="bottom"/>
          </w:tcPr>
          <w:p>
            <w:pPr>
              <w:jc w:val="right"/>
              <w:spacing w:after="0"/>
              <w:rPr>
                <w:sz w:val="20"/>
                <w:szCs w:val="20"/>
                <w:color w:val="auto"/>
              </w:rPr>
            </w:pPr>
            <w:r>
              <w:rPr>
                <w:rFonts w:ascii="Arial" w:cs="Arial" w:eastAsia="Arial" w:hAnsi="Arial"/>
                <w:sz w:val="18"/>
                <w:szCs w:val="18"/>
                <w:color w:val="auto"/>
              </w:rPr>
              <w:t>198,289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168,429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9"/>
              </w:rPr>
              <w:t>Goodwill and other intangible assets (net of accumulated amortization of $30,600 and $26,922 at June 30, 2012 and</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2011, respectively)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394,168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393,099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assets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281,696</w:t>
            </w:r>
          </w:p>
        </w:tc>
        <w:tc>
          <w:tcPr>
            <w:tcW w:w="4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3,111,452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3,037,453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 AND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12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$338,514</w:t>
            </w:r>
          </w:p>
        </w:tc>
        <w:tc>
          <w:tcPr>
            <w:tcW w:w="940" w:type="dxa"/>
            <w:vAlign w:val="bottom"/>
          </w:tcPr>
          <w:p>
            <w:pPr>
              <w:jc w:val="right"/>
              <w:spacing w:after="0"/>
              <w:rPr>
                <w:sz w:val="20"/>
                <w:szCs w:val="20"/>
                <w:color w:val="auto"/>
              </w:rPr>
            </w:pPr>
            <w:r>
              <w:rPr>
                <w:rFonts w:ascii="Arial" w:cs="Arial" w:eastAsia="Arial" w:hAnsi="Arial"/>
                <w:sz w:val="18"/>
                <w:szCs w:val="18"/>
                <w:color w:val="auto"/>
              </w:rPr>
              <w:t>$288,427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251,120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1,076,850</w:t>
            </w:r>
          </w:p>
        </w:tc>
        <w:tc>
          <w:tcPr>
            <w:tcW w:w="940" w:type="dxa"/>
            <w:vAlign w:val="bottom"/>
          </w:tcPr>
          <w:p>
            <w:pPr>
              <w:jc w:val="right"/>
              <w:spacing w:after="0"/>
              <w:rPr>
                <w:sz w:val="20"/>
                <w:szCs w:val="20"/>
                <w:color w:val="auto"/>
              </w:rPr>
            </w:pPr>
            <w:r>
              <w:rPr>
                <w:rFonts w:ascii="Arial" w:cs="Arial" w:eastAsia="Arial" w:hAnsi="Arial"/>
                <w:sz w:val="18"/>
                <w:szCs w:val="18"/>
                <w:color w:val="auto"/>
              </w:rPr>
              <w:t>1,076,850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18,293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220,593</w:t>
            </w:r>
          </w:p>
        </w:tc>
        <w:tc>
          <w:tcPr>
            <w:tcW w:w="940" w:type="dxa"/>
            <w:vAlign w:val="bottom"/>
          </w:tcPr>
          <w:p>
            <w:pPr>
              <w:jc w:val="right"/>
              <w:spacing w:after="0"/>
              <w:rPr>
                <w:sz w:val="20"/>
                <w:szCs w:val="20"/>
                <w:color w:val="auto"/>
              </w:rPr>
            </w:pPr>
            <w:r>
              <w:rPr>
                <w:rFonts w:ascii="Arial" w:cs="Arial" w:eastAsia="Arial" w:hAnsi="Arial"/>
                <w:sz w:val="18"/>
                <w:szCs w:val="18"/>
                <w:color w:val="auto"/>
              </w:rPr>
              <w:t>130,160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437,075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2,342,445</w:t>
            </w:r>
          </w:p>
        </w:tc>
        <w:tc>
          <w:tcPr>
            <w:tcW w:w="940" w:type="dxa"/>
            <w:vAlign w:val="bottom"/>
          </w:tcPr>
          <w:p>
            <w:pPr>
              <w:jc w:val="right"/>
              <w:spacing w:after="0"/>
              <w:rPr>
                <w:sz w:val="20"/>
                <w:szCs w:val="20"/>
                <w:color w:val="auto"/>
              </w:rPr>
            </w:pPr>
            <w:r>
              <w:rPr>
                <w:rFonts w:ascii="Arial" w:cs="Arial" w:eastAsia="Arial" w:hAnsi="Arial"/>
                <w:sz w:val="18"/>
                <w:szCs w:val="18"/>
                <w:color w:val="auto"/>
              </w:rPr>
              <w:t>2,319,186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w w:val="93"/>
              </w:rPr>
              <w:t>Members’ equity (net of 1,861,904 and 2,174,573 shares of Lazard Class A common stock, at a cost of $51,167 and</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00" w:type="dxa"/>
            <w:vAlign w:val="bottom"/>
          </w:tcPr>
          <w:p>
            <w:pPr>
              <w:ind w:left="640"/>
              <w:spacing w:after="0"/>
              <w:rPr>
                <w:sz w:val="20"/>
                <w:szCs w:val="20"/>
                <w:color w:val="auto"/>
              </w:rPr>
            </w:pPr>
            <w:r>
              <w:rPr>
                <w:rFonts w:ascii="Arial" w:cs="Arial" w:eastAsia="Arial" w:hAnsi="Arial"/>
                <w:sz w:val="18"/>
                <w:szCs w:val="18"/>
                <w:color w:val="auto"/>
              </w:rPr>
              <w:t>$72,410 at June 30, 2012 and December 31, 2011 respectively)</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763,023</w:t>
            </w:r>
          </w:p>
        </w:tc>
        <w:tc>
          <w:tcPr>
            <w:tcW w:w="940" w:type="dxa"/>
            <w:vAlign w:val="bottom"/>
          </w:tcPr>
          <w:p>
            <w:pPr>
              <w:jc w:val="right"/>
              <w:spacing w:after="0"/>
              <w:rPr>
                <w:sz w:val="20"/>
                <w:szCs w:val="20"/>
                <w:color w:val="auto"/>
              </w:rPr>
            </w:pPr>
            <w:r>
              <w:rPr>
                <w:rFonts w:ascii="Arial" w:cs="Arial" w:eastAsia="Arial" w:hAnsi="Arial"/>
                <w:sz w:val="18"/>
                <w:szCs w:val="18"/>
                <w:color w:val="auto"/>
              </w:rPr>
              <w:t>693,596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(80,923)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860"/>
              <w:spacing w:after="0"/>
              <w:rPr>
                <w:sz w:val="20"/>
                <w:szCs w:val="20"/>
                <w:color w:val="auto"/>
              </w:rPr>
            </w:pPr>
            <w:r>
              <w:rPr>
                <w:rFonts w:ascii="Arial" w:cs="Arial" w:eastAsia="Arial" w:hAnsi="Arial"/>
                <w:sz w:val="18"/>
                <w:szCs w:val="18"/>
                <w:color w:val="auto"/>
              </w:rPr>
              <w:t>Total Lazard Group members’ equity</w:t>
            </w: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vMerge w:val="continue"/>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682,100</w:t>
            </w:r>
          </w:p>
        </w:tc>
        <w:tc>
          <w:tcPr>
            <w:tcW w:w="940" w:type="dxa"/>
            <w:vAlign w:val="bottom"/>
          </w:tcPr>
          <w:p>
            <w:pPr>
              <w:jc w:val="right"/>
              <w:spacing w:after="0"/>
              <w:rPr>
                <w:sz w:val="20"/>
                <w:szCs w:val="20"/>
                <w:color w:val="auto"/>
              </w:rPr>
            </w:pPr>
            <w:r>
              <w:rPr>
                <w:rFonts w:ascii="Arial" w:cs="Arial" w:eastAsia="Arial" w:hAnsi="Arial"/>
                <w:sz w:val="18"/>
                <w:szCs w:val="18"/>
                <w:color w:val="auto"/>
              </w:rPr>
              <w:t>614,344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86,907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420"/>
              <w:spacing w:after="0"/>
              <w:rPr>
                <w:sz w:val="20"/>
                <w:szCs w:val="20"/>
                <w:color w:val="auto"/>
              </w:rPr>
            </w:pPr>
            <w:r>
              <w:rPr>
                <w:rFonts w:ascii="Arial" w:cs="Arial" w:eastAsia="Arial" w:hAnsi="Arial"/>
                <w:sz w:val="18"/>
                <w:szCs w:val="18"/>
                <w:color w:val="auto"/>
              </w:rPr>
              <w:t>Total members’ equity</w:t>
            </w: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vMerge w:val="continue"/>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769,007</w:t>
            </w:r>
          </w:p>
        </w:tc>
        <w:tc>
          <w:tcPr>
            <w:tcW w:w="940" w:type="dxa"/>
            <w:vAlign w:val="bottom"/>
          </w:tcPr>
          <w:p>
            <w:pPr>
              <w:jc w:val="right"/>
              <w:spacing w:after="0"/>
              <w:rPr>
                <w:sz w:val="20"/>
                <w:szCs w:val="20"/>
                <w:color w:val="auto"/>
              </w:rPr>
            </w:pPr>
            <w:r>
              <w:rPr>
                <w:rFonts w:ascii="Arial" w:cs="Arial" w:eastAsia="Arial" w:hAnsi="Arial"/>
                <w:sz w:val="18"/>
                <w:szCs w:val="18"/>
                <w:color w:val="auto"/>
              </w:rPr>
              <w:t>718,267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$3,111,452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88"/>
              </w:rPr>
              <w:t>Three Months Ended</w:t>
            </w:r>
          </w:p>
        </w:tc>
        <w:tc>
          <w:tcPr>
            <w:tcW w:w="240" w:type="dxa"/>
            <w:vAlign w:val="bottom"/>
          </w:tcPr>
          <w:p>
            <w:pPr>
              <w:spacing w:after="0"/>
              <w:rPr>
                <w:sz w:val="14"/>
                <w:szCs w:val="14"/>
                <w:color w:val="auto"/>
              </w:rPr>
            </w:pPr>
          </w:p>
        </w:tc>
        <w:tc>
          <w:tcPr>
            <w:tcW w:w="19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4"/>
                <w:szCs w:val="14"/>
                <w:b w:val="1"/>
                <w:bCs w:val="1"/>
                <w:color w:val="auto"/>
                <w:w w:val="85"/>
              </w:rPr>
              <w:t>June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9"/>
              </w:rPr>
              <w:t>2011</w:t>
            </w:r>
          </w:p>
        </w:tc>
        <w:tc>
          <w:tcPr>
            <w:tcW w:w="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2012</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banking and other advisory fees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240,306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243,096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2"/>
              </w:rPr>
              <w:t>513,847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$463,423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Money management fees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201,642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230,906</w:t>
            </w:r>
          </w:p>
        </w:tc>
        <w:tc>
          <w:tcPr>
            <w:tcW w:w="2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82"/>
              </w:rPr>
              <w:t>406,203</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445,598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6,254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9,325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13,582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21,785</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33,899</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43,973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460,126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502,041</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2"/>
              </w:rPr>
              <w:t>963,274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24,329</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45,809</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436,937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477,712</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2"/>
              </w:rPr>
              <w:t>917,465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283,380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286,475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2"/>
              </w:rPr>
              <w:t>621,683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Occupancy and equipment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22,969</w:t>
            </w:r>
          </w:p>
        </w:tc>
        <w:tc>
          <w:tcPr>
            <w:tcW w:w="2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54,611</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Marketing and business development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20,879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50,589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Technology and information services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20,582</w:t>
            </w:r>
          </w:p>
        </w:tc>
        <w:tc>
          <w:tcPr>
            <w:tcW w:w="2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41,668</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40,149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Professional services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12,340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21,564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Fund administration and outsourced services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13,506</w:t>
            </w:r>
          </w:p>
        </w:tc>
        <w:tc>
          <w:tcPr>
            <w:tcW w:w="2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26,121</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1,706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3,678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8,803</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19,519</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391,483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387,260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2"/>
              </w:rPr>
              <w:t>839,433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45,454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90,452</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78,032</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15,369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34,919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76,735</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62,663</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140,242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5,550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3,826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spacing w:after="0"/>
              <w:rPr>
                <w:sz w:val="20"/>
                <w:szCs w:val="20"/>
                <w:color w:val="auto"/>
              </w:rPr>
            </w:pPr>
            <w:r>
              <w:rPr>
                <w:rFonts w:ascii="Arial" w:cs="Arial" w:eastAsia="Arial" w:hAnsi="Arial"/>
                <w:sz w:val="18"/>
                <w:szCs w:val="18"/>
                <w:b w:val="1"/>
                <w:bCs w:val="1"/>
                <w:color w:val="auto"/>
              </w:rPr>
              <w:t>NET INCOME ATTRIBUTABLE TO</w:t>
            </w: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b w:val="1"/>
                <w:bCs w:val="1"/>
                <w:color w:val="auto"/>
              </w:rPr>
              <w:t>LAZARD GROUP</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33,272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71,185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58,837</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5"/>
              </w:rPr>
              <w:t>$133,450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right"/>
              <w:ind w:right="134"/>
              <w:spacing w:after="0"/>
              <w:rPr>
                <w:sz w:val="20"/>
                <w:szCs w:val="20"/>
                <w:color w:val="auto"/>
              </w:rPr>
            </w:pPr>
            <w:r>
              <w:rPr>
                <w:rFonts w:ascii="Arial" w:cs="Arial" w:eastAsia="Arial" w:hAnsi="Arial"/>
                <w:sz w:val="14"/>
                <w:szCs w:val="14"/>
                <w:b w:val="1"/>
                <w:bCs w:val="1"/>
                <w:color w:val="auto"/>
                <w:w w:val="96"/>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83"/>
              </w:rPr>
              <w:t>2012</w:t>
            </w:r>
          </w:p>
        </w:tc>
        <w:tc>
          <w:tcPr>
            <w:tcW w:w="4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34,919</w:t>
            </w:r>
          </w:p>
        </w:tc>
        <w:tc>
          <w:tcPr>
            <w:tcW w:w="4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76,735</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62,663</w:t>
            </w:r>
          </w:p>
        </w:tc>
        <w:tc>
          <w:tcPr>
            <w:tcW w:w="48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140,242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(19,436)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2,153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32,173</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10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263</w:t>
            </w:r>
          </w:p>
        </w:tc>
        <w:tc>
          <w:tcPr>
            <w:tcW w:w="600" w:type="dxa"/>
            <w:vAlign w:val="bottom"/>
          </w:tcPr>
          <w:p>
            <w:pPr>
              <w:jc w:val="right"/>
              <w:spacing w:after="0"/>
              <w:rPr>
                <w:sz w:val="20"/>
                <w:szCs w:val="20"/>
                <w:color w:val="auto"/>
              </w:rPr>
            </w:pPr>
            <w:r>
              <w:rPr>
                <w:rFonts w:ascii="Arial" w:cs="Arial" w:eastAsia="Arial" w:hAnsi="Arial"/>
                <w:sz w:val="18"/>
                <w:szCs w:val="18"/>
                <w:color w:val="auto"/>
              </w:rPr>
              <w:t>263</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527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w w:val="95"/>
              </w:rPr>
              <w:t>Net actuarial gain (loss) (net of tax benefit (expense) of $1,443 and $(29) for the three</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060"/>
              <w:spacing w:after="0"/>
              <w:rPr>
                <w:sz w:val="20"/>
                <w:szCs w:val="20"/>
                <w:color w:val="auto"/>
              </w:rPr>
            </w:pPr>
            <w:r>
              <w:rPr>
                <w:rFonts w:ascii="Arial" w:cs="Arial" w:eastAsia="Arial" w:hAnsi="Arial"/>
                <w:sz w:val="18"/>
                <w:szCs w:val="18"/>
                <w:color w:val="auto"/>
                <w:w w:val="94"/>
              </w:rPr>
              <w:t>months ended June 30, 2012 and 2011, respectively, and $2,725 and $1,906 for the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1060"/>
              <w:spacing w:after="0"/>
              <w:rPr>
                <w:sz w:val="20"/>
                <w:szCs w:val="20"/>
                <w:color w:val="auto"/>
              </w:rPr>
            </w:pPr>
            <w:r>
              <w:rPr>
                <w:rFonts w:ascii="Arial" w:cs="Arial" w:eastAsia="Arial" w:hAnsi="Arial"/>
                <w:sz w:val="18"/>
                <w:szCs w:val="18"/>
                <w:color w:val="auto"/>
              </w:rPr>
              <w:t>six months ended June 30, 2012 and 2011, respectively)</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(3,457)</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(6,054)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Adjustment for items reclassified to earnings (net of tax expense of $281 and $262 for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1"/>
              </w:rPr>
              <w:t>the three months ended June 30, 2012 and 2011, respectively, and $578 and $517 for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the six months ended June 30, 2012 and 2011, respectively)</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1,641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(21,804)</w:t>
            </w:r>
          </w:p>
        </w:tc>
        <w:tc>
          <w:tcPr>
            <w:tcW w:w="600" w:type="dxa"/>
            <w:vAlign w:val="bottom"/>
          </w:tcPr>
          <w:p>
            <w:pPr>
              <w:jc w:val="right"/>
              <w:spacing w:after="0"/>
              <w:rPr>
                <w:sz w:val="20"/>
                <w:szCs w:val="20"/>
                <w:color w:val="auto"/>
              </w:rPr>
            </w:pPr>
            <w:r>
              <w:rPr>
                <w:rFonts w:ascii="Arial" w:cs="Arial" w:eastAsia="Arial" w:hAnsi="Arial"/>
                <w:sz w:val="18"/>
                <w:szCs w:val="18"/>
                <w:color w:val="auto"/>
              </w:rPr>
              <w:t>9,319</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(1,733)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30,184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13,115</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86,054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3"/>
              </w:rPr>
              <w:t>60,930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spacing w:after="0" w:line="201" w:lineRule="exact"/>
              <w:rPr>
                <w:sz w:val="20"/>
                <w:szCs w:val="20"/>
                <w:color w:val="auto"/>
              </w:rPr>
            </w:pPr>
            <w:r>
              <w:rPr>
                <w:rFonts w:ascii="Arial" w:cs="Arial" w:eastAsia="Arial" w:hAnsi="Arial"/>
                <w:sz w:val="18"/>
                <w:szCs w:val="18"/>
                <w:b w:val="1"/>
                <w:bCs w:val="1"/>
                <w:color w:val="auto"/>
              </w:rPr>
              <w:t>LESS – COMPREHENSIVE INCOME ATTRIBUTABLE TO NONCONTROLLING</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b w:val="1"/>
                <w:bCs w:val="1"/>
                <w:color w:val="auto"/>
              </w:rPr>
              <w:t>INTERESTS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1,517</w:t>
            </w: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5,543</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3,764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GROUP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11,598</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80,511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3"/>
              </w:rPr>
              <w:t>57,166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62,663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Noncash items included in net income: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14,800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w w:val="96"/>
              </w:rPr>
              <w:t>Amortization of deferred expenses, share-based incentive compensation and interest rate hedge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172,439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Loss on sale of intercompany receivable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5,638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Deposits with banks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(47,391)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7,049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(67,352)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(58,028)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63,420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(110,310)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(125,470)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(372,333)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26,863</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Additions to property</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(48,941)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Disposals of property</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(46,888)</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Sale of intercompany receivable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81,105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(1,336)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(10,957)</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Repurchase of common membership interests from members of LAZ-MD Holdings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(68,169)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(126,237)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Distributions to members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(45,427)</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(35,029)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(74,344)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(254,482)</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4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(1,246)</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19,409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(95,615)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(201,851)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820,984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1,024,792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EQUIVALENTS—June 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725,369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2"/>
              </w:rPr>
              <w:t>Total Lazard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7"/>
              </w:rPr>
              <w:t>Members’</w:t>
            </w:r>
          </w:p>
        </w:tc>
        <w:tc>
          <w:tcPr>
            <w:tcW w:w="13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Group Members’</w:t>
            </w:r>
          </w:p>
        </w:tc>
        <w:tc>
          <w:tcPr>
            <w:tcW w:w="20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Net of Tax</w:t>
            </w:r>
          </w:p>
        </w:tc>
        <w:tc>
          <w:tcPr>
            <w:tcW w:w="1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Interests</w:t>
            </w:r>
          </w:p>
        </w:tc>
        <w:tc>
          <w:tcPr>
            <w:tcW w:w="2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2011 (*)</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$ 404,588</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(35,023)</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369,565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120,882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$ 490,447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6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133,450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133,450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Other comprehensive income (loss) - net of tax:</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32,162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860"/>
              <w:spacing w:after="0"/>
              <w:rPr>
                <w:sz w:val="20"/>
                <w:szCs w:val="20"/>
                <w:color w:val="auto"/>
              </w:rPr>
            </w:pPr>
            <w:r>
              <w:rPr>
                <w:rFonts w:ascii="Arial" w:cs="Arial" w:eastAsia="Arial" w:hAnsi="Arial"/>
                <w:sz w:val="18"/>
                <w:szCs w:val="18"/>
                <w:color w:val="auto"/>
              </w:rPr>
              <w:t>Amortization of interest rate hedge</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Employee benefit plans: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0" w:type="dxa"/>
            <w:vAlign w:val="bottom"/>
          </w:tcPr>
          <w:p>
            <w:pPr>
              <w:ind w:left="140"/>
              <w:spacing w:after="0"/>
              <w:rPr>
                <w:sz w:val="20"/>
                <w:szCs w:val="20"/>
                <w:color w:val="auto"/>
              </w:rPr>
            </w:pPr>
            <w:r>
              <w:rPr>
                <w:rFonts w:ascii="Arial" w:cs="Arial" w:eastAsia="Arial" w:hAnsi="Arial"/>
                <w:sz w:val="18"/>
                <w:szCs w:val="18"/>
                <w:color w:val="auto"/>
              </w:rPr>
              <w:t>Net actuarial loss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(3,630)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for items reclassified to earnings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163,623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152,533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(35,029)</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(35,029)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(4,882)</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Class A common stock</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(126,237)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(126,237)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(126,237)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93"/>
              </w:rPr>
              <w:t>Delivery of Class A common stock in connection with share-based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incentive compensation and related tax benefit of $2,178</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(88,457)</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(88,457)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(88,457)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common membership interests from LAZ-MD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(794)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Class A common stock issued/issuable (including related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4,420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June 30, 2011(*)</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$ 444,441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(4,850)</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439,591</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122,803</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$ 562,394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4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127,350,561 and 127,331,529 common membership interests issued at January 1,2011 and June 30, 2011, respectively. Also includes profit participation interests and two managing member interests issued at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9"/>
              </w:rPr>
              <w:t>Total Lazard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Members’</w:t>
            </w:r>
          </w:p>
        </w:tc>
        <w:tc>
          <w:tcPr>
            <w:tcW w:w="20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Group Members’</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2012 (*)</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$693,596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(79,252)</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614,344</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718,267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58,837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Other comprehensive income (loss)-net of tax:</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640"/>
              <w:spacing w:after="0"/>
              <w:rPr>
                <w:sz w:val="20"/>
                <w:szCs w:val="20"/>
                <w:color w:val="auto"/>
              </w:rPr>
            </w:pPr>
            <w:r>
              <w:rPr>
                <w:rFonts w:ascii="Arial" w:cs="Arial" w:eastAsia="Arial" w:hAnsi="Arial"/>
                <w:sz w:val="18"/>
                <w:szCs w:val="18"/>
                <w:color w:val="auto"/>
              </w:rPr>
              <w:t>Amortization of interest rate hedge</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Employee benefit plans: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60"/>
              <w:spacing w:after="0"/>
              <w:rPr>
                <w:sz w:val="20"/>
                <w:szCs w:val="20"/>
                <w:color w:val="auto"/>
              </w:rPr>
            </w:pPr>
            <w:r>
              <w:rPr>
                <w:rFonts w:ascii="Arial" w:cs="Arial" w:eastAsia="Arial" w:hAnsi="Arial"/>
                <w:sz w:val="18"/>
                <w:szCs w:val="18"/>
                <w:color w:val="auto"/>
              </w:rPr>
              <w:t>Net actuarial loss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(6,054)</w:t>
            </w:r>
          </w:p>
        </w:tc>
        <w:tc>
          <w:tcPr>
            <w:tcW w:w="1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(6,054)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Adjustments for items reclassified to earnings</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4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4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57,166</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3,764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60,930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152,486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152,486</w:t>
            </w: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(45,427)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(45,427)</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(10,173)</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Deconsolidation of investment companies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(10,607)</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Purchase of Class A common stock</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(68,169)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(68,169)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(68,169)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3"/>
              </w:rPr>
              <w:t>Delivery of Class A common stock in connection with shared-based</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incentive compensation awards and related tax expense of $972</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(30,393)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(30,393)</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A common stock issued/issuable (including related</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3,018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2012 (*)</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763,023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(80,923)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86,907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769,007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120" w:hanging="452"/>
        <w:spacing w:after="0" w:line="228"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Includes 129,766,090 common membership interests issued at both January 1, 2012 and June 30, 2012. Also includes profit participation interests and two managing member interests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left="240" w:right="7020" w:hanging="232"/>
        <w:spacing w:after="0" w:line="344" w:lineRule="auto"/>
        <w:tabs>
          <w:tab w:leader="none" w:pos="458"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Lazard Ltd, a Bermuda holding company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individuals.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Lazard Ltd indirectly held approximately 94.9% and 94.8% of all outstanding Lazard Group common membership interests as of June 30, 2012 and December 31, 2011, respectively. Lazard Ltd, through its control of the managing members of Lazard Group, controls Lazard Group. LAZ-MD Holdings LLC (“LAZ-MD Holdings”), an entity owned by Lazard Group’s current and former managing directors, held approximately 5.1% and 5.2% of the outstanding Lazard Group common membership interests as of June 30, 2012 and December 3l, 2011, respectively. Additionally, LAZ-MD Holdings was the sole owner of the one issued and outstanding share of Lazard Ltd’s Class B common stock (the “Class B common stock”) which provided LAZ-MD Holdings with approximately 5.1% and 5.2% of the voting power but no economic rights in Lazard Ltd as of June 30, 2012 and December 31, 2011, respectively. Subject to certain limitations, LAZ-MD Holdings’ interests in Lazard Group are exchangeable for Lazard Ltd Class A common stock, par value $0.01 per share (“Class A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investment solutions and investment management services in equity and fixed income strategies, alternative investments and private equity funds to corporations, public funds, sovereign entities, endowments and foundations, labor funds, financial intermediaries and private clients globally.</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record outstanding indebtedness in our Corporate segment.</w:t>
      </w:r>
    </w:p>
    <w:p>
      <w:pPr>
        <w:spacing w:after="0" w:line="85"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LFB is a registered bank regulated by the Autoritè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of Lazard Group have been prepared pursuant to the rules and regulations of the U.S. Securities and Exchange Commission (the “SEC”) regarding interim financial reporting. Accordingly, they do not include all of the information and notes required by accounting principles generally accepted in the United States of America (“U.S. GAAP”) for complete financial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statements and should be read in conjunction with the audited consolidated financial statements and notes thereto included in Lazard Group’s Annual Report on Form 10-K for the year ended December 31, 2011 (the “Form 10-K”). The accompanying December 31, 2011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and six month periods ended June 30, 2012 are not necessarily indicative of the results to be expected for any future interim or annual period.</w:t>
      </w:r>
    </w:p>
    <w:p>
      <w:pPr>
        <w:spacing w:after="0" w:line="3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Intercompany transactions and balances have been eliminated.</w:t>
      </w:r>
    </w:p>
    <w:p>
      <w:pPr>
        <w:spacing w:after="0" w:line="1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—In the first quarter of 2012, the Company adopted the amended fair value measurement guidance issued by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Standards Board (the “FASB”), which the FASB stated was designed to achieve common fair value measurement and disclosure requirements between U.S. GAAP and International Financial Reporting Standards (“IFRS”). Although many of the changes for U.S. GAAP purposes are clarifications of existing guidance or wording changes to align with IFRS, additional disclosures about fair value measurements are required, including (i) a quantitative disclosure of the unobservable inputs and assumptions used in the measurement, (ii) the valuation processes used and the sensitivity of fair value measurements related to investments categorized within Level 3 of the hierarchy of fair value measurements to changes in unobservable inputs and the interrelationships between those unobservable inputs, if any, and (iii) the categorization by level of the fair value hierarchy for items that are not measured at fair value in the statement of financial condition but for which the fair value is required to be disclosed. The amended fair value measurement guidance became effective for interim and annual periods beginning after December 15, 2011 and is applied prospectively. The adoption of the amended fair value measurement guidance did not have a material impact on the Company’s consolidated financial statements, primarily because substantially all Level 3 assets are carried at net asset value (“NAV”) or its equivalent.</w:t>
      </w:r>
    </w:p>
    <w:p>
      <w:pPr>
        <w:spacing w:after="0" w:line="127"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i w:val="1"/>
          <w:iCs w:val="1"/>
          <w:color w:val="auto"/>
        </w:rPr>
        <w:t>Other Comprehensive Income</w:t>
      </w:r>
      <w:r>
        <w:rPr>
          <w:rFonts w:ascii="Arial" w:cs="Arial" w:eastAsia="Arial" w:hAnsi="Arial"/>
          <w:sz w:val="18"/>
          <w:szCs w:val="18"/>
          <w:color w:val="auto"/>
        </w:rPr>
        <w:t>—In the first quarter of 2012, the Company adopted the FASB’s amended guidance regarding the presentation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which the FASB stated was designed to improve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320"/>
        <w:spacing w:after="0" w:line="335" w:lineRule="auto"/>
        <w:rPr>
          <w:sz w:val="20"/>
          <w:szCs w:val="20"/>
          <w:color w:val="auto"/>
        </w:rPr>
      </w:pPr>
      <w:r>
        <w:rPr>
          <w:rFonts w:ascii="Arial" w:cs="Arial" w:eastAsia="Arial" w:hAnsi="Arial"/>
          <w:sz w:val="15"/>
          <w:szCs w:val="15"/>
          <w:color w:val="auto"/>
        </w:rPr>
        <w:t>comparability, consistency and transparency. The amendment required that all changes in comprehensive income be presented either in (i) a single continuous statement of comprehensive income or in (ii) two separate but consecutive statements. The amendment was to be applied retrospectively and is effective with interim and annual periods beginning after December 15, 2011, with early adoption permitted. The Company elected the two-statement method.</w:t>
      </w:r>
    </w:p>
    <w:p>
      <w:pPr>
        <w:spacing w:after="0" w:line="2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 - NET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 net” represents receivables from fees, customers and other and related parties.</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Receivables are stated net of an estimated allowance for doubtful accounts of $20,756 and $19,450 at June 30, 2012 and December 31, 2011, respectively, for past due amounts and for specific accounts deemed uncollectible, which may include situations where a fee is in dispute. The Company recorded net bad debt expense (recoveries) of $(133) and $1,148 for the three month and six month periods ended June 30, 2012, respectively, and $2,463 and $3,430 for the three month and six month periods ended June 30, 2011, respectively. In addition, the Company recorded charge-offs, foreign currency translation and other adjustments, which resulted in a net increase (decrease) to the allowance for doubtful accounts of $(283) and $158 for the three month and six month periods ended June 30, 2012, respectively, and $(1,435) and $(1,922) for the three month and six month periods ended June 30, 2011, respectively. At June 30, 2012 and December 31, 2011, the Company had receivables deemed past due or uncollectible of $22,857 and $22,785, respectively.</w:t>
      </w:r>
    </w:p>
    <w:p>
      <w:pPr>
        <w:spacing w:after="0" w:line="24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June 30, 2012 and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20" w:type="dxa"/>
            <w:vAlign w:val="bottom"/>
            <w:gridSpan w:val="3"/>
          </w:tcPr>
          <w:p>
            <w:pPr>
              <w:spacing w:after="0"/>
              <w:rPr>
                <w:sz w:val="20"/>
                <w:szCs w:val="20"/>
                <w:color w:val="auto"/>
              </w:rPr>
            </w:pPr>
            <w:r>
              <w:rPr>
                <w:rFonts w:ascii="Arial" w:cs="Arial" w:eastAsia="Arial" w:hAnsi="Arial"/>
                <w:sz w:val="18"/>
                <w:szCs w:val="18"/>
                <w:color w:val="auto"/>
              </w:rPr>
              <w:t>Equities (a)</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212,314</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156,053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Interests in alternative asset management funds (a)</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Fixed income funds (a)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Private equity</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113,991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196,130</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175,389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428,714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355,510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Less: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 (included in “debt” above)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9,443</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416,556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341,623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3"/>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20" w:type="dxa"/>
            <w:vAlign w:val="bottom"/>
            <w:gridSpan w:val="3"/>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1,097</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8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Equities, interests in alternative asset management funds and fixed income funds include investments with fair values of $73,174, $3,512 and $20,237, respectively, at June 30, 2012 and $19,857, $2,256 and $5,212, respectively, 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December 31, 2011, held in order to satisfy the Company’s liability upon vesting of previously granted Lazard Fund Interests (“Lazard Fund Interests”) and other similar deferred compensation arrangements. Lazard Fund Interests represent grants by the Company to eligible employees of actual or notional interests in a number of Lazard-managed funds (see Notes 6 and 13 of Notes to Condensed Consolidated Financial Statements).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securities primarily consist of seed investments in Asset Management products and U.S. and non-U.S. government debt securities.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Equities primarily consist of (i) seed investments in Asset Management products, which in turn invest in marketable equity securities of large-, mid- and small-cap domestic, international and global companies and include investments in public and private asset management funds managed both by LAM and third-party asset managers and (ii) amounts relating to Lazard Fund Interests discussed above.</w:t>
      </w:r>
    </w:p>
    <w:p>
      <w:pPr>
        <w:spacing w:after="0" w:line="14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Interests in alternative asset management funds primarily consist of general partner (“GP”) interests in various Lazard-managed alternative asset management funds.</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Fixed income funds primarily consist of (i) seed investments in Asset Management products, which invest in fixed income securities and (ii) amounts relating to Lazard Fund Interests discussed above.</w:t>
      </w:r>
    </w:p>
    <w:p>
      <w:pPr>
        <w:spacing w:after="0" w:line="132"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(iii) Edgewater Growth Capital Partners III, L.P. (“EGCP III”), a private equity fund primarily making equity and buyout investments in lower middle market companies, (iv) Lazard Senior Housing Partners LP (“Senior Housing”), which targets controlling interests in companies and assets in the senior housing, extended-stay hotel and shopping center sectors, and (v) Lazard Australia Corporate Opportunities Fund 2 (“COF 2”), a Lazard-managed Australian private equity fund.</w:t>
      </w:r>
    </w:p>
    <w:p>
      <w:pPr>
        <w:spacing w:after="0" w:line="118"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Private equity investments consolidated but not owned by Lazard relate to the economic interests that are owned by the management team and other investors in the Edgewater Funds (“Edgewater”) which aggregated $19,932 and $18,502 at June 30, 2012 and December 31, 2011, respectively.</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the three month and six month periods ended June 30, 2012 and 2011, the Company recognized gross investment gains and losses in “revenue-other” on its condensed consolidated statements of operations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2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89"/>
              </w:rPr>
              <w:t>Three Month Period</w:t>
            </w:r>
          </w:p>
        </w:tc>
        <w:tc>
          <w:tcPr>
            <w:tcW w:w="100" w:type="dxa"/>
            <w:vAlign w:val="bottom"/>
          </w:tcPr>
          <w:p>
            <w:pPr>
              <w:spacing w:after="0"/>
              <w:rPr>
                <w:sz w:val="14"/>
                <w:szCs w:val="14"/>
                <w:color w:val="auto"/>
              </w:rPr>
            </w:pPr>
          </w:p>
        </w:tc>
        <w:tc>
          <w:tcPr>
            <w:tcW w:w="190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 Period Ended</w:t>
            </w:r>
          </w:p>
        </w:tc>
      </w:tr>
      <w:tr>
        <w:trPr>
          <w:trHeight w:val="161"/>
        </w:trPr>
        <w:tc>
          <w:tcPr>
            <w:tcW w:w="36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2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89"/>
              </w:rPr>
              <w:t>Ended June 30,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96"/>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50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2012</w:t>
            </w: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investment gains</w:t>
            </w:r>
          </w:p>
        </w:tc>
        <w:tc>
          <w:tcPr>
            <w:tcW w:w="3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$1,430</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$ 8,013</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27,908</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13,769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4120" w:type="dxa"/>
            <w:vAlign w:val="bottom"/>
            <w:gridSpan w:val="3"/>
          </w:tcPr>
          <w:p>
            <w:pPr>
              <w:ind w:left="3240"/>
              <w:spacing w:after="0"/>
              <w:rPr>
                <w:sz w:val="20"/>
                <w:szCs w:val="20"/>
                <w:color w:val="auto"/>
              </w:rPr>
            </w:pPr>
            <w:r>
              <w:rPr>
                <w:rFonts w:ascii="Arial" w:cs="Arial" w:eastAsia="Arial" w:hAnsi="Arial"/>
                <w:sz w:val="18"/>
                <w:szCs w:val="18"/>
                <w:color w:val="auto"/>
              </w:rPr>
              <w:t>$3,053</w:t>
            </w:r>
          </w:p>
        </w:tc>
        <w:tc>
          <w:tcPr>
            <w:tcW w:w="1640" w:type="dxa"/>
            <w:vAlign w:val="bottom"/>
            <w:gridSpan w:val="3"/>
          </w:tcPr>
          <w:p>
            <w:pPr>
              <w:jc w:val="right"/>
              <w:ind w:right="740"/>
              <w:spacing w:after="0"/>
              <w:rPr>
                <w:sz w:val="20"/>
                <w:szCs w:val="20"/>
                <w:color w:val="auto"/>
              </w:rPr>
            </w:pPr>
            <w:r>
              <w:rPr>
                <w:rFonts w:ascii="Arial" w:cs="Arial" w:eastAsia="Arial" w:hAnsi="Arial"/>
                <w:sz w:val="18"/>
                <w:szCs w:val="18"/>
                <w:color w:val="auto"/>
              </w:rPr>
              <w:t>$ 2,235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3,573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19"/>
                <w:szCs w:val="19"/>
                <w:color w:val="auto"/>
              </w:rPr>
            </w:pPr>
          </w:p>
        </w:tc>
      </w:tr>
      <w:tr>
        <w:trPr>
          <w:trHeight w:val="356"/>
        </w:trPr>
        <w:tc>
          <w:tcPr>
            <w:tcW w:w="3660" w:type="dxa"/>
            <w:vAlign w:val="bottom"/>
          </w:tcPr>
          <w:p>
            <w:pPr>
              <w:spacing w:after="0"/>
              <w:rPr>
                <w:sz w:val="24"/>
                <w:szCs w:val="24"/>
                <w:color w:val="auto"/>
              </w:rPr>
            </w:pPr>
          </w:p>
        </w:tc>
        <w:tc>
          <w:tcPr>
            <w:tcW w:w="3240" w:type="dxa"/>
            <w:vAlign w:val="bottom"/>
          </w:tcPr>
          <w:p>
            <w:pPr>
              <w:jc w:val="right"/>
              <w:ind w:right="1012"/>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above includes gross unrealized investment gains and losses pertaining to “trading” securities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center"/>
              <w:ind w:right="900"/>
              <w:spacing w:after="0"/>
              <w:rPr>
                <w:sz w:val="20"/>
                <w:szCs w:val="20"/>
                <w:color w:val="auto"/>
              </w:rPr>
            </w:pPr>
            <w:r>
              <w:rPr>
                <w:rFonts w:ascii="Arial" w:cs="Arial" w:eastAsia="Arial" w:hAnsi="Arial"/>
                <w:sz w:val="14"/>
                <w:szCs w:val="14"/>
                <w:b w:val="1"/>
                <w:bCs w:val="1"/>
                <w:color w:val="auto"/>
                <w:w w:val="89"/>
              </w:rPr>
              <w:t>Three Month Period</w:t>
            </w:r>
          </w:p>
        </w:tc>
        <w:tc>
          <w:tcPr>
            <w:tcW w:w="80" w:type="dxa"/>
            <w:vAlign w:val="bottom"/>
          </w:tcPr>
          <w:p>
            <w:pPr>
              <w:spacing w:after="0"/>
              <w:rPr>
                <w:sz w:val="14"/>
                <w:szCs w:val="14"/>
                <w:color w:val="auto"/>
              </w:rPr>
            </w:pPr>
          </w:p>
        </w:tc>
        <w:tc>
          <w:tcPr>
            <w:tcW w:w="214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 Period Ended</w:t>
            </w:r>
          </w:p>
        </w:tc>
      </w:tr>
      <w:tr>
        <w:trPr>
          <w:trHeight w:val="161"/>
        </w:trPr>
        <w:tc>
          <w:tcPr>
            <w:tcW w:w="6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left="264"/>
              <w:spacing w:after="0"/>
              <w:rPr>
                <w:sz w:val="20"/>
                <w:szCs w:val="20"/>
                <w:color w:val="auto"/>
              </w:rPr>
            </w:pPr>
            <w:r>
              <w:rPr>
                <w:rFonts w:ascii="Arial" w:cs="Arial" w:eastAsia="Arial" w:hAnsi="Arial"/>
                <w:sz w:val="14"/>
                <w:szCs w:val="14"/>
                <w:b w:val="1"/>
                <w:bCs w:val="1"/>
                <w:color w:val="auto"/>
                <w:w w:val="85"/>
              </w:rPr>
              <w:t>Ended June 30,</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w w:val="96"/>
              </w:rPr>
              <w:t>June 30,</w:t>
            </w:r>
          </w:p>
        </w:tc>
        <w:tc>
          <w:tcPr>
            <w:tcW w:w="2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4"/>
              <w:spacing w:after="0" w:line="142" w:lineRule="exact"/>
              <w:rPr>
                <w:sz w:val="20"/>
                <w:szCs w:val="20"/>
                <w:color w:val="auto"/>
              </w:rPr>
            </w:pPr>
            <w:r>
              <w:rPr>
                <w:rFonts w:ascii="Arial" w:cs="Arial" w:eastAsia="Arial" w:hAnsi="Arial"/>
                <w:sz w:val="14"/>
                <w:szCs w:val="14"/>
                <w:b w:val="1"/>
                <w:bCs w:val="1"/>
                <w:color w:val="auto"/>
                <w:w w:val="96"/>
              </w:rPr>
              <w:t>2012</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w w:val="76"/>
              </w:rPr>
              <w:t>2011</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11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2"/>
                <w:szCs w:val="12"/>
                <w:color w:val="auto"/>
              </w:rPr>
            </w:pPr>
          </w:p>
        </w:tc>
      </w:tr>
      <w:tr>
        <w:trPr>
          <w:trHeight w:val="210"/>
        </w:trPr>
        <w:tc>
          <w:tcPr>
            <w:tcW w:w="6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1,721</w:t>
            </w: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193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313</w:t>
            </w:r>
          </w:p>
        </w:tc>
      </w:tr>
    </w:tbl>
    <w:p>
      <w:pPr>
        <w:spacing w:after="0" w:line="18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right="6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14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Company’s investments in U.S. and non-U.S. Government and other debt securities are considered Level 1 assets when their respective fair values are based on unadjusted quoted prices in active markets and are considered Level 2 assets when their fair values are primarily based on prices as provided by external pricing services.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fair value of equities is principally classified as Level 1, Level 2 or Level 3 as follows: marketable equity securities are classified as Level 1 and are valued based on the last trade price on the primary exchange for that security; public asset management funds are classified as Level 1 and are valued based on the reported closing price for the fund; investments in private asset management funds redeemable in the near term are classified as Level 2 and valued at NAV or its equivalent, which is primarily determined based on information provided by fund managers and, secondarily, from external pricing services to the extent managed by LAM; and Level 3 represents equities valued based on NAV or its equivalent that are not redeemable within the near term.</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fair value of interests in alternative asset management funds is classified as either Level 2 or Level 3 depending on the time frame of any applicable redemption restriction, and is valued at NAV or its equivalent, which is primarily determined based on information provided by fund managers and, secondarily, from external pricing services to the extent managed by LAM.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investments in fixed income funds are considered Level 1 assets when the fair values are based on the reported closing price for the fund or Level 2 assets when the fair values are primarily based on broker quotes as provided by external pricing services.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primarily based on NAV or its equivalent. Such investments are not redeemable within the near term.</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currency from the trade date to settlement date; the fair value of equity and fixed income swaps is based on the change in fair values of the related underlying equity security, financial instrument or index and a specified notional holding; the fair values of interest rate swaps are based on the interest rate yield curve; and the fair value of derivative liabilities related to Lazard Fund Interests and other similar deferred compensation arrangements is based on the value of the underlying investments, adjusted for estimated forfeitures.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Where information reported is based on data received from fund managers or from external pricing services, the Company reviews such information to ascertain at which level within the fair value hierarchy to classify the investment.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 June 30, 2012 and December 31, 2011 into the three-level fair value hierarchy in accordance with fair value measurement disclosure requirements: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June 30, 2012</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Investments: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13,302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17,555</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168,187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43,936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212,314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Interests in alternative asset management funds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31,884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36,500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33,211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36,196</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113,991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113,991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214,700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87,507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118,798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421,005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87,495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87,495</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1,097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87,495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88,592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December 31, 2011</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Investments: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21,234</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115,380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37,332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156,053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Interests in alternative asset management funds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20,610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17,689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21,008</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122,718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150,179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65,475</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133,100</w:t>
            </w:r>
          </w:p>
        </w:tc>
        <w:tc>
          <w:tcPr>
            <w:tcW w:w="22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348,754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4,282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30,572</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vMerge w:val="continue"/>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4,282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30,572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34,854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00" w:type="dxa"/>
            <w:vAlign w:val="bottom"/>
            <w:vMerge w:val="restart"/>
          </w:tcPr>
          <w:p>
            <w:pPr>
              <w:jc w:val="right"/>
              <w:ind w:right="151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2012 and 2011.</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for the three month and six month periods ended June 30, 2012 and 2011: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jc w:val="right"/>
              <w:ind w:right="360"/>
              <w:spacing w:after="0"/>
              <w:rPr>
                <w:sz w:val="20"/>
                <w:szCs w:val="20"/>
                <w:color w:val="auto"/>
              </w:rPr>
            </w:pPr>
            <w:r>
              <w:rPr>
                <w:rFonts w:ascii="Arial" w:cs="Arial" w:eastAsia="Arial" w:hAnsi="Arial"/>
                <w:sz w:val="14"/>
                <w:szCs w:val="14"/>
                <w:b w:val="1"/>
                <w:bCs w:val="1"/>
                <w:color w:val="auto"/>
                <w:w w:val="93"/>
              </w:rPr>
              <w:t>Three Months Ended June 30, 2012</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Net Unrealized/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Realized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Included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Currency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6"/>
              </w:rPr>
              <w:t>Beginning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 Revenue-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Purchases/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8"/>
              </w:rPr>
              <w:t>Sales/</w:t>
            </w: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Balance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Other (a)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83"/>
              </w:rPr>
              <w:t>Acquisitions</w:t>
            </w:r>
          </w:p>
        </w:tc>
        <w:tc>
          <w:tcPr>
            <w:tcW w:w="3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Dispositions</w:t>
            </w: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227</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5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Interests in alternative asset management funds</w:t>
            </w: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680" w:type="dxa"/>
            <w:vAlign w:val="bottom"/>
            <w:gridSpan w:val="2"/>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116,563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(4,873)</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3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122,695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4,753</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(6,164)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14"/>
                <w:szCs w:val="14"/>
                <w:b w:val="1"/>
                <w:bCs w:val="1"/>
                <w:color w:val="auto"/>
                <w:w w:val="95"/>
              </w:rPr>
              <w:t>Six Months Ended June 30, 2012</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5"/>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Realized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Included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5"/>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Beginning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260" w:type="dxa"/>
            <w:vAlign w:val="bottom"/>
          </w:tcPr>
          <w:p>
            <w:pPr>
              <w:spacing w:after="0"/>
              <w:rPr>
                <w:sz w:val="12"/>
                <w:szCs w:val="12"/>
                <w:color w:val="auto"/>
              </w:rPr>
            </w:pPr>
          </w:p>
        </w:tc>
        <w:tc>
          <w:tcPr>
            <w:tcW w:w="80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Purchases/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8"/>
              </w:rPr>
              <w:t>Sales/</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Other (a)</w:t>
            </w:r>
          </w:p>
        </w:tc>
        <w:tc>
          <w:tcPr>
            <w:tcW w:w="26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92"/>
              </w:rPr>
              <w:t>Acquisitions</w:t>
            </w:r>
          </w:p>
        </w:tc>
        <w:tc>
          <w:tcPr>
            <w:tcW w:w="3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(3,160)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Interests in alternative asset management funds</w:t>
            </w: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7,041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(2,524)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5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122,718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(22,745)</w:t>
            </w: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133,100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(28,429)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9"/>
          </w:tcPr>
          <w:p>
            <w:pPr>
              <w:jc w:val="right"/>
              <w:ind w:right="340"/>
              <w:spacing w:after="0"/>
              <w:rPr>
                <w:sz w:val="20"/>
                <w:szCs w:val="20"/>
                <w:color w:val="auto"/>
              </w:rPr>
            </w:pPr>
            <w:r>
              <w:rPr>
                <w:rFonts w:ascii="Arial" w:cs="Arial" w:eastAsia="Arial" w:hAnsi="Arial"/>
                <w:sz w:val="14"/>
                <w:szCs w:val="14"/>
                <w:b w:val="1"/>
                <w:bCs w:val="1"/>
                <w:color w:val="auto"/>
                <w:w w:val="94"/>
              </w:rPr>
              <w:t>Three Months Ended June 30, 2011</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Realized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Included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Currency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w w:val="87"/>
              </w:rPr>
              <w:t>Beginning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 Revenue-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Purchases/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8"/>
              </w:rPr>
              <w:t>Sales/</w:t>
            </w: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1"/>
              </w:rPr>
              <w:t>Balance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Other (a)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83"/>
              </w:rPr>
              <w:t>Acquisitions</w:t>
            </w:r>
          </w:p>
        </w:tc>
        <w:tc>
          <w:tcPr>
            <w:tcW w:w="3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Dispositions</w:t>
            </w: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780" w:type="dxa"/>
            <w:vAlign w:val="bottom"/>
            <w:gridSpan w:val="3"/>
          </w:tcPr>
          <w:p>
            <w:pPr>
              <w:ind w:left="68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129</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5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171,487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3,545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174,704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vMerge w:val="continue"/>
          </w:tcPr>
          <w:p>
            <w:pPr>
              <w:spacing w:after="0"/>
              <w:rPr>
                <w:sz w:val="19"/>
                <w:szCs w:val="19"/>
                <w:color w:val="auto"/>
              </w:rPr>
            </w:pPr>
          </w:p>
        </w:tc>
        <w:tc>
          <w:tcPr>
            <w:tcW w:w="136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171,616</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3,548</w:t>
            </w:r>
          </w:p>
        </w:tc>
        <w:tc>
          <w:tcPr>
            <w:tcW w:w="5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(2,052)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174,839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w w:val="92"/>
              </w:rPr>
              <w:t>Six Months Ended June 30, 2011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Realized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Foreign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Included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Currency</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Beginning</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 Revenue-</w:t>
            </w:r>
          </w:p>
        </w:tc>
        <w:tc>
          <w:tcPr>
            <w:tcW w:w="26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Sales/</w:t>
            </w:r>
          </w:p>
        </w:tc>
        <w:tc>
          <w:tcPr>
            <w:tcW w:w="1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Balance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Other (a)</w:t>
            </w:r>
          </w:p>
        </w:tc>
        <w:tc>
          <w:tcPr>
            <w:tcW w:w="2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163,482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163,798</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3,827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13,075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(9,355)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3,494</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64"/>
        <w:spacing w:after="0" w:line="268"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for the three month and six month periods ended June 30, 2012 and three month and six month periods ended June 30, 2011 include net unrealized gains of $3,483, $9,563, $3,538 and $3,817, respectively.</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Fair Value of Certain Investments Based on NAV</w:t>
      </w:r>
      <w:r>
        <w:rPr>
          <w:rFonts w:ascii="Arial" w:cs="Arial" w:eastAsia="Arial" w:hAnsi="Arial"/>
          <w:sz w:val="16"/>
          <w:szCs w:val="16"/>
          <w:color w:val="auto"/>
        </w:rPr>
        <w:t>—The Company’s Level 2 and Level 3 investments at June 30, 2012 and December 31, 2011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investments that are valued using NAV or its equivalent as a practical expedient in determining fair value. Information with respect thereto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June 30, 2012</w:t>
            </w: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40" w:type="dxa"/>
            <w:vAlign w:val="bottom"/>
            <w:gridSpan w:val="6"/>
          </w:tcPr>
          <w:p>
            <w:pPr>
              <w:jc w:val="center"/>
              <w:ind w:right="560"/>
              <w:spacing w:after="0" w:line="129" w:lineRule="exact"/>
              <w:rPr>
                <w:sz w:val="20"/>
                <w:szCs w:val="20"/>
                <w:color w:val="auto"/>
              </w:rPr>
            </w:pPr>
            <w:r>
              <w:rPr>
                <w:rFonts w:ascii="Arial" w:cs="Arial" w:eastAsia="Arial" w:hAnsi="Arial"/>
                <w:sz w:val="14"/>
                <w:szCs w:val="14"/>
                <w:b w:val="1"/>
                <w:bCs w:val="1"/>
                <w:color w:val="auto"/>
                <w:w w:val="89"/>
              </w:rPr>
              <w:t>Estimated Liquidation Period of</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 of</w:t>
            </w:r>
          </w:p>
        </w:tc>
        <w:tc>
          <w:tcPr>
            <w:tcW w:w="304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86"/>
              </w:rPr>
              <w:t>Investments Not Redeemable</w:t>
            </w:r>
          </w:p>
        </w:tc>
        <w:tc>
          <w:tcPr>
            <w:tcW w:w="1780" w:type="dxa"/>
            <w:vAlign w:val="bottom"/>
            <w:gridSpan w:val="3"/>
          </w:tcPr>
          <w:p>
            <w:pPr>
              <w:ind w:left="180"/>
              <w:spacing w:after="0"/>
              <w:rPr>
                <w:sz w:val="20"/>
                <w:szCs w:val="20"/>
                <w:color w:val="auto"/>
              </w:rPr>
            </w:pPr>
            <w:r>
              <w:rPr>
                <w:rFonts w:ascii="Arial" w:cs="Arial" w:eastAsia="Arial" w:hAnsi="Arial"/>
                <w:sz w:val="14"/>
                <w:szCs w:val="14"/>
                <w:b w:val="1"/>
                <w:bCs w:val="1"/>
                <w:color w:val="auto"/>
                <w:w w:val="93"/>
              </w:rPr>
              <w:t>Investments Redeemable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9"/>
              </w:rPr>
              <w:t>Fair Value</w:t>
            </w: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85"/>
              </w:rPr>
              <w:t>Unfunded</w:t>
            </w:r>
          </w:p>
        </w:tc>
        <w:tc>
          <w:tcPr>
            <w:tcW w:w="42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Not</w:t>
            </w:r>
          </w:p>
        </w:tc>
        <w:tc>
          <w:tcPr>
            <w:tcW w:w="9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Next</w:t>
            </w: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Redemption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4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Commitments</w:t>
            </w:r>
          </w:p>
        </w:tc>
        <w:tc>
          <w:tcPr>
            <w:tcW w:w="4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Redeemable</w:t>
            </w:r>
          </w:p>
        </w:tc>
        <w:tc>
          <w:tcPr>
            <w:tcW w:w="5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5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Years</w:t>
            </w:r>
          </w:p>
        </w:tc>
        <w:tc>
          <w:tcPr>
            <w:tcW w:w="5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5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Quarterly</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Interests in alternative asset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management funds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36,500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Quarterly</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&gt;90 Days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Fixed income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5"/>
              </w:rPr>
              <w:t>Monthly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112,392</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35,726</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25%</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35%</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40%</w:t>
            </w: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rPr>
              <w:t>NA</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195,785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35,726</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w w:val="88"/>
              </w:rPr>
              <w:t>December 31, 2011</w:t>
            </w: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vMerge w:val="continue"/>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40" w:type="dxa"/>
            <w:vAlign w:val="bottom"/>
            <w:gridSpan w:val="6"/>
          </w:tcPr>
          <w:p>
            <w:pPr>
              <w:jc w:val="center"/>
              <w:ind w:right="560"/>
              <w:spacing w:after="0" w:line="129" w:lineRule="exact"/>
              <w:rPr>
                <w:sz w:val="20"/>
                <w:szCs w:val="20"/>
                <w:color w:val="auto"/>
              </w:rPr>
            </w:pPr>
            <w:r>
              <w:rPr>
                <w:rFonts w:ascii="Arial" w:cs="Arial" w:eastAsia="Arial" w:hAnsi="Arial"/>
                <w:sz w:val="14"/>
                <w:szCs w:val="14"/>
                <w:b w:val="1"/>
                <w:bCs w:val="1"/>
                <w:color w:val="auto"/>
                <w:w w:val="89"/>
              </w:rPr>
              <w:t>Estimated Liquidation Period of</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 of</w:t>
            </w:r>
          </w:p>
        </w:tc>
        <w:tc>
          <w:tcPr>
            <w:tcW w:w="304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86"/>
              </w:rPr>
              <w:t>Investments Not Redeemable</w:t>
            </w:r>
          </w:p>
        </w:tc>
        <w:tc>
          <w:tcPr>
            <w:tcW w:w="1780" w:type="dxa"/>
            <w:vAlign w:val="bottom"/>
            <w:gridSpan w:val="3"/>
          </w:tcPr>
          <w:p>
            <w:pPr>
              <w:ind w:left="180"/>
              <w:spacing w:after="0"/>
              <w:rPr>
                <w:sz w:val="20"/>
                <w:szCs w:val="20"/>
                <w:color w:val="auto"/>
              </w:rPr>
            </w:pPr>
            <w:r>
              <w:rPr>
                <w:rFonts w:ascii="Arial" w:cs="Arial" w:eastAsia="Arial" w:hAnsi="Arial"/>
                <w:sz w:val="14"/>
                <w:szCs w:val="14"/>
                <w:b w:val="1"/>
                <w:bCs w:val="1"/>
                <w:color w:val="auto"/>
                <w:w w:val="93"/>
              </w:rPr>
              <w:t>Investments Redeemable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9"/>
              </w:rPr>
              <w:t>Fair Value</w:t>
            </w: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85"/>
              </w:rPr>
              <w:t>Unfunded</w:t>
            </w:r>
          </w:p>
        </w:tc>
        <w:tc>
          <w:tcPr>
            <w:tcW w:w="42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Not</w:t>
            </w:r>
          </w:p>
        </w:tc>
        <w:tc>
          <w:tcPr>
            <w:tcW w:w="9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Next</w:t>
            </w: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Redemption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4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Commitments</w:t>
            </w:r>
          </w:p>
        </w:tc>
        <w:tc>
          <w:tcPr>
            <w:tcW w:w="4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Redeemable</w:t>
            </w:r>
          </w:p>
        </w:tc>
        <w:tc>
          <w:tcPr>
            <w:tcW w:w="5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5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Years</w:t>
            </w:r>
          </w:p>
        </w:tc>
        <w:tc>
          <w:tcPr>
            <w:tcW w:w="5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5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Quarterly</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Interests in alternative asset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management funds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20,600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Quarterly</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&gt;90 Days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Fixed income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5"/>
              </w:rPr>
              <w:t>Monthly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121,276</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52,197</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28%</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39%</w:t>
            </w: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rPr>
              <w:t>NA</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185,707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June 30, 2012, the current maximum unfunded commitments by the Company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related to (i) CP II, amounting to $2,124 for potential “follow-on investments” and/or for fund expenses through the earlier of February 25, 2017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or the liquidation of the fund, (ii) EGCP III, amounting to $25,673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 as of that date remaining committed until October 12, 2023 in respect of “follow-on investments” and/or fund expenses) or the liquidation of the fund and (iii) COF 2, amounting to $7,929,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 as of that date remaining committed until November 11, 2019 in respect of “follow-on investments” and/or fund expenses) or the liquidation of the fund.</w:t>
      </w:r>
    </w:p>
    <w:p>
      <w:pPr>
        <w:spacing w:after="0" w:line="23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The Company enters into forward foreign currency exchange rate contracts, interest rate swaps, interest rate futures, equity and fixed income swaps and other derivative contracts to hedge exposures to fluctuations in currency exchange rates, interest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“revenue-other”, depending on the nature of the underlying item, on the consolidated statements of operations.</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Lazard Fund Interests awards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Lazard Fund Interests awards, which is reported in “revenue-other” in the consolidated statements of operations.</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table below represents the fair values of the Company’s derivative instruments reported within “other assets” and “other liabilities” and the fair value of the Company’s derivative liabilities relating to its obligations pertaining to Lazard Fund Interests and other similar deferred compensation arrangements reported within “accrued compensation and benefits” (see Note 13 of Notes to Condensed Consolidated Financial Statements) on the accompanying condensed consolidated statements of financial condition as of June 30, 2012 and December 31, 2011: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52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46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5480" w:type="dxa"/>
            <w:vAlign w:val="bottom"/>
            <w:gridSpan w:val="3"/>
          </w:tcPr>
          <w:p>
            <w:pPr>
              <w:jc w:val="right"/>
              <w:ind w:right="260"/>
              <w:spacing w:after="0"/>
              <w:rPr>
                <w:sz w:val="20"/>
                <w:szCs w:val="20"/>
                <w:color w:val="auto"/>
              </w:rPr>
            </w:pPr>
            <w:r>
              <w:rPr>
                <w:rFonts w:ascii="Arial" w:cs="Arial" w:eastAsia="Arial" w:hAnsi="Arial"/>
                <w:sz w:val="18"/>
                <w:szCs w:val="18"/>
                <w:color w:val="auto"/>
              </w:rPr>
              <w:t>$1,084</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and fixed income swaps and other</w:t>
            </w:r>
          </w:p>
        </w:tc>
        <w:tc>
          <w:tcPr>
            <w:tcW w:w="4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vMerge w:val="continue"/>
          </w:tcPr>
          <w:p>
            <w:pPr>
              <w:spacing w:after="0"/>
              <w:rPr>
                <w:sz w:val="19"/>
                <w:szCs w:val="19"/>
                <w:color w:val="auto"/>
              </w:rPr>
            </w:pPr>
          </w:p>
        </w:tc>
        <w:tc>
          <w:tcPr>
            <w:tcW w:w="46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4,449</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680" w:type="dxa"/>
            <w:vAlign w:val="bottom"/>
            <w:vMerge w:val="restart"/>
          </w:tcPr>
          <w:p>
            <w:pPr>
              <w:jc w:val="right"/>
              <w:ind w:right="3579"/>
              <w:spacing w:after="0"/>
              <w:rPr>
                <w:sz w:val="20"/>
                <w:szCs w:val="20"/>
                <w:color w:val="auto"/>
              </w:rPr>
            </w:pPr>
            <w:r>
              <w:rPr>
                <w:rFonts w:ascii="Arial" w:cs="Arial" w:eastAsia="Arial" w:hAnsi="Arial"/>
                <w:sz w:val="18"/>
                <w:szCs w:val="18"/>
                <w:color w:val="auto"/>
              </w:rPr>
              <w:t>18</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8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6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June 30,</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9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2012</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Liabilities:</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46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1,491</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r>
      <w:tr>
        <w:trPr>
          <w:trHeight w:val="216"/>
        </w:trPr>
        <w:tc>
          <w:tcPr>
            <w:tcW w:w="9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r>
      <w:tr>
        <w:trPr>
          <w:trHeight w:val="216"/>
        </w:trPr>
        <w:tc>
          <w:tcPr>
            <w:tcW w:w="9460" w:type="dxa"/>
            <w:vAlign w:val="bottom"/>
          </w:tcPr>
          <w:p>
            <w:pPr>
              <w:ind w:left="440"/>
              <w:spacing w:after="0"/>
              <w:rPr>
                <w:sz w:val="20"/>
                <w:szCs w:val="20"/>
                <w:color w:val="auto"/>
              </w:rPr>
            </w:pPr>
            <w:r>
              <w:rPr>
                <w:rFonts w:ascii="Arial" w:cs="Arial" w:eastAsia="Arial" w:hAnsi="Arial"/>
                <w:sz w:val="18"/>
                <w:szCs w:val="18"/>
                <w:color w:val="auto"/>
              </w:rPr>
              <w:t>Equity and fixed income swaps</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08"/>
        </w:trPr>
        <w:tc>
          <w:tcPr>
            <w:tcW w:w="9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(see Note 13)</w:t>
            </w: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85,641</w:t>
            </w:r>
          </w:p>
        </w:tc>
        <w:tc>
          <w:tcPr>
            <w:tcW w:w="4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shd w:val="clear" w:color="auto" w:fill="CCEEFF"/>
          </w:tcPr>
          <w:p>
            <w:pPr>
              <w:spacing w:after="0"/>
              <w:rPr>
                <w:sz w:val="19"/>
                <w:szCs w:val="19"/>
                <w:color w:val="auto"/>
              </w:rPr>
            </w:pPr>
          </w:p>
        </w:tc>
      </w:tr>
      <w:tr>
        <w:trPr>
          <w:trHeight w:val="222"/>
        </w:trPr>
        <w:tc>
          <w:tcPr>
            <w:tcW w:w="946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tcPr>
          <w:p>
            <w:pPr>
              <w:ind w:left="6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87,495</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30,572</w:t>
            </w:r>
          </w:p>
        </w:tc>
        <w:tc>
          <w:tcPr>
            <w:tcW w:w="100" w:type="dxa"/>
            <w:vAlign w:val="bottom"/>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Lazard Fund Interests and other similar deferred compensation arrangements (reported in “compensation and benefits” expense) as reflected on the accompanying condensed consolidated statements of operations for the three month and six month periods ended June 30, 2012 and 2011, by type of derivative,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2012</w:t>
            </w:r>
          </w:p>
        </w:tc>
        <w:tc>
          <w:tcPr>
            <w:tcW w:w="10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$(3,139)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$ 2,129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(9,397)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Equity and fixed income swaps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3,913</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(57)</w:t>
            </w:r>
          </w:p>
        </w:tc>
        <w:tc>
          <w:tcPr>
            <w:tcW w:w="1340" w:type="dxa"/>
            <w:vAlign w:val="bottom"/>
            <w:gridSpan w:val="3"/>
          </w:tcPr>
          <w:p>
            <w:pPr>
              <w:jc w:val="right"/>
              <w:ind w:right="412"/>
              <w:spacing w:after="0"/>
              <w:rPr>
                <w:sz w:val="20"/>
                <w:szCs w:val="20"/>
                <w:color w:val="auto"/>
              </w:rPr>
            </w:pPr>
            <w:r>
              <w:rPr>
                <w:rFonts w:ascii="Arial" w:cs="Arial" w:eastAsia="Arial" w:hAnsi="Arial"/>
                <w:sz w:val="18"/>
                <w:szCs w:val="18"/>
                <w:color w:val="auto"/>
              </w:rPr>
              <w:t>(5,944)</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380" w:type="dxa"/>
            <w:vAlign w:val="bottom"/>
            <w:vMerge w:val="continue"/>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10,820</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(3,196)</w:t>
            </w:r>
          </w:p>
        </w:tc>
        <w:tc>
          <w:tcPr>
            <w:tcW w:w="1340" w:type="dxa"/>
            <w:vAlign w:val="bottom"/>
            <w:gridSpan w:val="3"/>
          </w:tcPr>
          <w:p>
            <w:pPr>
              <w:jc w:val="right"/>
              <w:ind w:right="4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(11,716)</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July 15, 2009, the Company established a private equity business with Edgewater. Edgewater manages funds 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management team retained a substantial economic interest in such entities. Edgewater’s activities are recorded in the Company’s Asset Management segment.</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On December 30, 2011, 285,715 Initial Shares and 57,287 Earnout Shares became unrestricted or were otherwise delivered.</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prior years, the Company made certain other business acquisitions. These purchases were effected through an exchange of a combination of cash, Class A common stock, and by Lazard Ltd issuing shares of non-participating convertible Series A and Series B preferred stock, which were each convertible into Class A common stock.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connection with such acquisitions, as of both June 30, 2012 and December 31, 2011, 47,474 shares of Class A common stock were issuable on a non-contingent basis. At June 30, 2012, no shares of Series A preferred stock were convertible into shares of Class A common stock on a contingent or a non-contingent basis.</w:t>
      </w:r>
    </w:p>
    <w:p>
      <w:pPr>
        <w:spacing w:after="0" w:line="6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 connection with Lazard Group’s prior year business acquisitions, Lazard Group recorded related party payables of $3,695 at both June 30, 2012 and December 31, 2011 to subsidiaries of Lazard Ltd (see Note 16 of Notes to the Condensed Consolidated Financial Statements). Such amount will become members’ equity as the related shares of Class A common stock are issued.</w:t>
      </w:r>
    </w:p>
    <w:p>
      <w:pPr>
        <w:spacing w:after="0" w:line="26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PROPERTY-NET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June 30, 2012 and December 31, 2011 property-net consists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Depreciable</w:t>
            </w:r>
          </w:p>
        </w:tc>
        <w:tc>
          <w:tcPr>
            <w:tcW w:w="54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6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Life in Years</w:t>
            </w:r>
          </w:p>
        </w:tc>
        <w:tc>
          <w:tcPr>
            <w:tcW w:w="122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$158,939</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164,168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tcPr>
          <w:p>
            <w:pPr>
              <w:jc w:val="right"/>
              <w:spacing w:after="0"/>
              <w:rPr>
                <w:sz w:val="20"/>
                <w:szCs w:val="20"/>
                <w:color w:val="auto"/>
              </w:rPr>
            </w:pPr>
            <w:r>
              <w:rPr>
                <w:rFonts w:ascii="Arial" w:cs="Arial" w:eastAsia="Arial" w:hAnsi="Arial"/>
                <w:sz w:val="18"/>
                <w:szCs w:val="18"/>
                <w:color w:val="auto"/>
              </w:rPr>
              <w:t>5 - 20</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167,957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159,191</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3 - 10</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108,025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85,396</w:t>
            </w:r>
          </w:p>
        </w:tc>
        <w:tc>
          <w:tcPr>
            <w:tcW w:w="100" w:type="dxa"/>
            <w:vAlign w:val="bottom"/>
            <w:shd w:val="clear" w:color="auto" w:fill="CCEEFF"/>
          </w:tcPr>
          <w:p>
            <w:pPr>
              <w:spacing w:after="0"/>
              <w:rPr>
                <w:sz w:val="18"/>
                <w:szCs w:val="18"/>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26,347</w:t>
            </w:r>
          </w:p>
        </w:tc>
        <w:tc>
          <w:tcPr>
            <w:tcW w:w="100" w:type="dxa"/>
            <w:vAlign w:val="bottom"/>
          </w:tcPr>
          <w:p>
            <w:pPr>
              <w:spacing w:after="0"/>
              <w:rPr>
                <w:sz w:val="19"/>
                <w:szCs w:val="19"/>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459,979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435,102</w:t>
            </w:r>
          </w:p>
        </w:tc>
        <w:tc>
          <w:tcPr>
            <w:tcW w:w="100" w:type="dxa"/>
            <w:vAlign w:val="bottom"/>
            <w:shd w:val="clear" w:color="auto" w:fill="CCEEFF"/>
          </w:tcPr>
          <w:p>
            <w:pPr>
              <w:spacing w:after="0"/>
              <w:rPr>
                <w:sz w:val="18"/>
                <w:szCs w:val="18"/>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261,690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266,673</w:t>
            </w:r>
          </w:p>
        </w:tc>
        <w:tc>
          <w:tcPr>
            <w:tcW w:w="100" w:type="dxa"/>
            <w:vAlign w:val="bottom"/>
          </w:tcPr>
          <w:p>
            <w:pPr>
              <w:spacing w:after="0"/>
              <w:rPr>
                <w:sz w:val="19"/>
                <w:szCs w:val="19"/>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Property-net</w:t>
            </w:r>
          </w:p>
        </w:tc>
        <w:tc>
          <w:tcPr>
            <w:tcW w:w="7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198,289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168,429</w:t>
            </w:r>
          </w:p>
        </w:tc>
        <w:tc>
          <w:tcPr>
            <w:tcW w:w="100" w:type="dxa"/>
            <w:vAlign w:val="bottom"/>
            <w:shd w:val="clear" w:color="auto" w:fill="CCEEFF"/>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June 30, 2012 and December 31, 2011 are presented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jc w:val="right"/>
              <w:ind w:right="39"/>
              <w:spacing w:after="0"/>
              <w:rPr>
                <w:sz w:val="20"/>
                <w:szCs w:val="20"/>
                <w:color w:val="auto"/>
              </w:rPr>
            </w:pPr>
            <w:r>
              <w:rPr>
                <w:rFonts w:ascii="Arial" w:cs="Arial" w:eastAsia="Arial" w:hAnsi="Arial"/>
                <w:sz w:val="14"/>
                <w:szCs w:val="14"/>
                <w:b w:val="1"/>
                <w:bCs w:val="1"/>
                <w:color w:val="auto"/>
                <w:w w:val="96"/>
              </w:rPr>
              <w:t>June 30,</w:t>
            </w:r>
          </w:p>
        </w:tc>
        <w:tc>
          <w:tcPr>
            <w:tcW w:w="1420" w:type="dxa"/>
            <w:vAlign w:val="bottom"/>
            <w:gridSpan w:val="4"/>
          </w:tcPr>
          <w:p>
            <w:pPr>
              <w:ind w:left="54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5540" w:type="dxa"/>
            <w:vAlign w:val="bottom"/>
            <w:gridSpan w:val="2"/>
          </w:tcPr>
          <w:p>
            <w:pPr>
              <w:jc w:val="right"/>
              <w:ind w:right="2132"/>
              <w:spacing w:after="0"/>
              <w:rPr>
                <w:sz w:val="20"/>
                <w:szCs w:val="20"/>
                <w:color w:val="auto"/>
              </w:rPr>
            </w:pPr>
            <w:r>
              <w:rPr>
                <w:rFonts w:ascii="Arial" w:cs="Arial" w:eastAsia="Arial" w:hAnsi="Arial"/>
                <w:sz w:val="14"/>
                <w:szCs w:val="14"/>
                <w:b w:val="1"/>
                <w:bCs w:val="1"/>
                <w:color w:val="auto"/>
              </w:rPr>
              <w:t>\</w:t>
            </w:r>
          </w:p>
        </w:tc>
        <w:tc>
          <w:tcPr>
            <w:tcW w:w="218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$360,993</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356,657</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33,175</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394,168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393,099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June 30, 2012 and December 31, 2011, goodwill of $296,452 and $292,116, respectively, was attributable to the Company’s Financial Advisory segment and, at such respective dates, $64,541 of goodwill was attributable to the Company’s Asset Management segment.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six month periods ended June 30, 2012, and 2011 are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3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$313,229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Business acquisitions</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4,272</w:t>
            </w: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6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gridSpan w:val="2"/>
          </w:tcPr>
          <w:p>
            <w:pPr>
              <w:spacing w:after="0"/>
              <w:rPr>
                <w:sz w:val="20"/>
                <w:szCs w:val="20"/>
                <w:color w:val="auto"/>
              </w:rPr>
            </w:pPr>
            <w:r>
              <w:rPr>
                <w:rFonts w:ascii="Arial" w:cs="Arial" w:eastAsia="Arial" w:hAnsi="Arial"/>
                <w:sz w:val="18"/>
                <w:szCs w:val="18"/>
                <w:color w:val="auto"/>
              </w:rPr>
              <w:t>Balance, June 30</w:t>
            </w:r>
          </w:p>
        </w:tc>
        <w:tc>
          <w:tcPr>
            <w:tcW w:w="4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360,993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$ 320,411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60" w:type="dxa"/>
            <w:vAlign w:val="bottom"/>
            <w:vMerge w:val="restart"/>
          </w:tcPr>
          <w:p>
            <w:pPr>
              <w:jc w:val="right"/>
              <w:ind w:right="2592"/>
              <w:spacing w:after="0"/>
              <w:rPr>
                <w:sz w:val="20"/>
                <w:szCs w:val="20"/>
                <w:color w:val="auto"/>
              </w:rPr>
            </w:pPr>
            <w:r>
              <w:rPr>
                <w:rFonts w:ascii="Arial" w:cs="Arial" w:eastAsia="Arial" w:hAnsi="Arial"/>
                <w:sz w:val="18"/>
                <w:szCs w:val="18"/>
                <w:color w:val="auto"/>
              </w:rPr>
              <w:t>20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June 30, 2012 and December 31, 2011,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2012</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$22,230</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33,035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22,090</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10,945</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32,624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19,800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63,775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33,175</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63,364</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Amortization expense of intangible assets for the three month and six month periods ended June 30, 2012 was $2,560 and $3,678, respectively, and for the three month and six month periods ended June 30, 2011 was $1,706 and $3,180, respectively. Estimated future amortization expense is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10464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2012 (July 1 through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2013</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2015</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251460</wp:posOffset>
            </wp:positionV>
            <wp:extent cx="7200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80" w:hanging="567"/>
        <w:spacing w:after="0"/>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Approximately 45% of intangible asset amortization is attributable to a noncontrolling interest.</w:t>
      </w:r>
    </w:p>
    <w:p>
      <w:pPr>
        <w:spacing w:after="0" w:line="315"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June 30, 2012 and December 31, 2011:</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Initial</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Annual</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Principal</w:t>
            </w: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Maturity</w:t>
            </w: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61"/>
        </w:trPr>
        <w:tc>
          <w:tcPr>
            <w:tcW w:w="6240" w:type="dxa"/>
            <w:vAlign w:val="bottom"/>
            <w:vMerge w:val="restart"/>
          </w:tcPr>
          <w:p>
            <w:pPr>
              <w:spacing w:after="0"/>
              <w:rPr>
                <w:sz w:val="20"/>
                <w:szCs w:val="20"/>
                <w:color w:val="auto"/>
              </w:rPr>
            </w:pPr>
            <w:r>
              <w:rPr>
                <w:rFonts w:ascii="Arial" w:cs="Arial" w:eastAsia="Arial" w:hAnsi="Arial"/>
                <w:sz w:val="18"/>
                <w:szCs w:val="18"/>
                <w:color w:val="auto"/>
              </w:rPr>
              <w:t>Lazard Group 7.125% Senior Notes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40" w:type="dxa"/>
            <w:vAlign w:val="bottom"/>
          </w:tcPr>
          <w:p>
            <w:pPr>
              <w:spacing w:after="0"/>
              <w:rPr>
                <w:sz w:val="14"/>
                <w:szCs w:val="14"/>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240" w:type="dxa"/>
            <w:vAlign w:val="bottom"/>
            <w:vMerge w:val="continue"/>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w w:val="85"/>
              </w:rPr>
              <w:t>$550,000</w:t>
            </w:r>
          </w:p>
        </w:tc>
        <w:tc>
          <w:tcPr>
            <w:tcW w:w="44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w w:val="96"/>
              </w:rPr>
              <w:t>5/15/15</w:t>
            </w:r>
          </w:p>
        </w:tc>
        <w:tc>
          <w:tcPr>
            <w:tcW w:w="200" w:type="dxa"/>
            <w:vAlign w:val="bottom"/>
          </w:tcPr>
          <w:p>
            <w:pPr>
              <w:spacing w:after="0"/>
              <w:rPr>
                <w:sz w:val="17"/>
                <w:szCs w:val="17"/>
                <w:color w:val="auto"/>
              </w:rPr>
            </w:pPr>
          </w:p>
        </w:tc>
        <w:tc>
          <w:tcPr>
            <w:tcW w:w="60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4"/>
              </w:rPr>
              <w:t>7.125%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Lazard Group 6.85% Senior Notes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600,000</w:t>
            </w:r>
          </w:p>
        </w:tc>
        <w:tc>
          <w:tcPr>
            <w:tcW w:w="4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6/15/17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Lazard Group Credit Facility</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150,000</w:t>
            </w:r>
          </w:p>
        </w:tc>
        <w:tc>
          <w:tcPr>
            <w:tcW w:w="4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4/29/13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Future</w:t>
      </w:r>
    </w:p>
    <w:p>
      <w:pPr>
        <w:jc w:val="center"/>
        <w:ind w:right="1100"/>
        <w:spacing w:after="0" w:line="223" w:lineRule="auto"/>
        <w:rPr>
          <w:sz w:val="20"/>
          <w:szCs w:val="20"/>
          <w:color w:val="auto"/>
        </w:rPr>
      </w:pPr>
      <w:r>
        <w:rPr>
          <w:rFonts w:ascii="Arial" w:cs="Arial" w:eastAsia="Arial" w:hAnsi="Arial"/>
          <w:sz w:val="14"/>
          <w:szCs w:val="14"/>
          <w:b w:val="1"/>
          <w:bCs w:val="1"/>
          <w:color w:val="auto"/>
        </w:rPr>
        <w:t>Amortization</w:t>
      </w:r>
    </w:p>
    <w:p>
      <w:pPr>
        <w:jc w:val="center"/>
        <w:ind w:right="1100"/>
        <w:spacing w:after="0"/>
        <w:rPr>
          <w:sz w:val="20"/>
          <w:szCs w:val="20"/>
          <w:color w:val="auto"/>
        </w:rPr>
      </w:pPr>
      <w:r>
        <w:rPr>
          <w:rFonts w:ascii="Arial" w:cs="Arial" w:eastAsia="Arial" w:hAnsi="Arial"/>
          <w:sz w:val="14"/>
          <w:szCs w:val="14"/>
          <w:b w:val="1"/>
          <w:bCs w:val="1"/>
          <w:color w:val="auto"/>
        </w:rPr>
        <w:t>Expense (a)</w:t>
      </w:r>
    </w:p>
    <w:p>
      <w:pPr>
        <w:ind w:left="520" w:hanging="379"/>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2,641</w:t>
      </w:r>
    </w:p>
    <w:p>
      <w:pPr>
        <w:spacing w:after="0" w:line="7"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9,372</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8,901</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6,953</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5,308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6985</wp:posOffset>
            </wp:positionV>
            <wp:extent cx="4972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10" w:lineRule="exact"/>
        <w:rPr>
          <w:sz w:val="20"/>
          <w:szCs w:val="20"/>
          <w:color w:val="auto"/>
        </w:rPr>
      </w:pPr>
    </w:p>
    <w:p>
      <w:pPr>
        <w:ind w:left="440" w:hanging="299"/>
        <w:spacing w:after="0"/>
        <w:tabs>
          <w:tab w:leader="none" w:pos="440" w:val="left"/>
        </w:tabs>
        <w:numPr>
          <w:ilvl w:val="0"/>
          <w:numId w:val="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33,175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27940</wp:posOffset>
            </wp:positionV>
            <wp:extent cx="4972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Outstanding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3119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r>
      <w:tr>
        <w:trPr>
          <w:trHeight w:val="228"/>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528,500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528,500</w:t>
            </w:r>
          </w:p>
        </w:tc>
      </w:tr>
      <w:tr>
        <w:trPr>
          <w:trHeight w:val="216"/>
        </w:trPr>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548,350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548,350</w:t>
            </w:r>
          </w:p>
        </w:tc>
      </w:tr>
      <w:tr>
        <w:trPr>
          <w:trHeight w:val="223"/>
        </w:trPr>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1,076,850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1,076,850</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8740" w:space="520"/>
            <w:col w:w="2160"/>
          </w:cols>
          <w:pgMar w:left="240" w:top="459" w:right="239" w:bottom="1440" w:gutter="0" w:footer="0" w:header="0"/>
          <w:type w:val="continuous"/>
        </w:sectPr>
      </w:pPr>
    </w:p>
    <w:p>
      <w:pPr>
        <w:ind w:right="140" w:firstLine="456"/>
        <w:spacing w:after="0" w:line="298" w:lineRule="auto"/>
        <w:rPr>
          <w:sz w:val="20"/>
          <w:szCs w:val="20"/>
          <w:color w:val="auto"/>
        </w:rPr>
      </w:pPr>
      <w:r>
        <w:rPr>
          <w:rFonts w:ascii="Arial" w:cs="Arial" w:eastAsia="Arial" w:hAnsi="Arial"/>
          <w:sz w:val="16"/>
          <w:szCs w:val="16"/>
          <w:color w:val="auto"/>
        </w:rPr>
        <w:t>Lazard Group has in place a $150,000, three-year senior revolving credit facility with a group of lenders (the “Credit Facility”), which expires in April, 2013. Interest rates under the Credit Facility vary and are based on either a Federal Funds rate or a Eurodollar rate, in each case plus an applicable margin. As of June 30, 2012, the annual interest rate for a loan accruing interest (based on the Federal Funds overnight rate), including the applicable margin, was 1.92%. At June 30, 2012 and December 31, 2011, no amounts were outstanding under the Credit Facility.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Credit Facility, as amended, contains customary terms and conditions, including certain financial covenants. In addition, the Credit Facility, as well as the indenture and the supplemental indentures relating to Lazard Group’s senior notes, contain certain covenants, events of default and other customary provisions, including, where applicable, a customary make-whole provision in the event of early redemption. As of June 30, 2012, the Company was in compliance with all of these provisions. All of the Company’s senior debt obligations are unsecured.</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of June 30, 2012, the Company had approximately $299,000 in unused lines of credit available to it, including the Credit Facility, and unused lines of credit available to LFB of approximately $88,000 (at June 30, 2012, exchange rates) and Edgewater of $55,000. In addition, LFB has access to the Eurosystem Covered Bond Purchase Program of the Banque de France.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Company’s senior debt at June 30, 2012 and December 31, 2011 is recorded at historical amounts. At those dates, the fair value of such senior debt outstanding was approximately $1,186,000 and $1,138,000, respectively, and exceeded the aggregate carrying value by approximately $109,000 and $61,000, respectively. The fair value of the Company’s senior debt was estimated using a discounted cash flow analysis based on the Company’s current borrowing rates for similar types of borrowing arrangements or based on market quotations, where available. The Company’s senior debt would be categorized within Level 2 of the hierarchy of fair value measurements if carried at fair value.</w:t>
      </w:r>
    </w:p>
    <w:p>
      <w:pPr>
        <w:spacing w:after="0" w:line="26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the Company’s consolidated financial position or results of operations.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2012, LFB had approximately $5,000 of such indemnifications and held approximately $4,000 of collateral/counter-guarantees to secure these commitments. The Company believes the likelihood of loss with respect to these indemnities is remote. Accordingly, no liability is recorded in the consolidated statement of financial condition.</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June 30, 2012 aggregated approximately $22,000.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See Notes 5, 7 and 14 of Notes to Condensed Consolidated Financial Statements for information regarding commitments relating to investment capital funding commitments, business acquisitions and obligations to fund our pension plans, respectively.</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June 30, 2012, LFB had no such underwriting commitments.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six month periods ended June 30, 2012 and 2011,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 (none of which related to tax distributions):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LAZ-MD Holdings</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18"/>
                <w:szCs w:val="18"/>
                <w:color w:val="auto"/>
              </w:rPr>
            </w:pPr>
          </w:p>
        </w:tc>
      </w:tr>
      <w:tr>
        <w:trPr>
          <w:trHeight w:val="223"/>
        </w:trPr>
        <w:tc>
          <w:tcPr>
            <w:tcW w:w="602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3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43,011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32,855</w:t>
            </w:r>
          </w:p>
        </w:tc>
        <w:tc>
          <w:tcPr>
            <w:tcW w:w="100" w:type="dxa"/>
            <w:vAlign w:val="bottom"/>
          </w:tcPr>
          <w:p>
            <w:pPr>
              <w:spacing w:after="0"/>
              <w:rPr>
                <w:sz w:val="19"/>
                <w:szCs w:val="19"/>
                <w:color w:val="auto"/>
              </w:rPr>
            </w:pPr>
          </w:p>
        </w:tc>
      </w:tr>
      <w:tr>
        <w:trPr>
          <w:trHeight w:val="216"/>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45,427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35,029</w:t>
            </w:r>
          </w:p>
        </w:tc>
        <w:tc>
          <w:tcPr>
            <w:tcW w:w="100" w:type="dxa"/>
            <w:vAlign w:val="bottom"/>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32"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color w:val="auto"/>
        </w:rPr>
        <w:t>— During the six month periods ended June 30, 2012 and 2011, Lazard Ltd issued 186,701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728,385 shares of Class A common stock, respectively, in connection with the exchange of a like number of Lazard Group common membership interests (received from members of LAZ-MD Holdings in exchange for a like number of LAZ-MD Holdings exchangeable interests).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In February 2011, October 2011 and April 2012, the Board of Directors of Lazard Ltd authorized, on a cumulative basis,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of up to $250,000, $125,000 and $125,000, respectively, in aggregate cost of Class A common stock and Lazard Group common membership interests through December 31, 2012, December 31, 2013 and December 31, 2013, respectively. The Company’s prior share repurchase authorizations expired on December 31, 2009 and December 31, 2011. The Company expects that the share repurchase program, with respect to the Class A common stock, will continue to be used, among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other ways, to offset a portion of the shares that have been or will be issued under the Lazard Ltd 2005 Equity Incentive Plan (the “2005 Plan”) and the Lazard Ltd 2008 Incentive Compensation Plan (the “2008 Plan”). Pursuant to such authorizations, purchases have been made in the open market or through privately negotiated transactions. During the six month period ended June 30, 2012, Lazard Group and subsidiaries of Lazard Ltd purchased 5,706,592 shares of Class A common stock, at an aggregate cost of $152,413 (no Lazard Group common membership interests were purchased during such six month period).</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June 30, 2012, $184,730 of the current aggregate share repurchase amount authorized as of such date remained available under the share repurchase program, all of which expires on December 31, 2013. In addition, under the terms of the 2005 Plan and the 2008 Plan, upon the vesting of restricted stock units (“RSUs”), shares of Class A common stock may be withheld by the Company to cover the recipient’s estimated income tax liability (see Note 13 of Notes to Condensed Consolidated Financial Statements).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first half of 2012, the Company had written trading plans under Rule 10b5-1 of the Securities Exchange Act of 1934 in place, pursuant to which it effected stock repurchases through the open market.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components of AOCI at June 30, 2012 and December 31, 2011 are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3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translation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19,111</w:t>
            </w:r>
          </w:p>
        </w:tc>
        <w:tc>
          <w:tcPr>
            <w:tcW w:w="6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Interest rate hedge</w:t>
            </w:r>
          </w:p>
        </w:tc>
        <w:tc>
          <w:tcPr>
            <w:tcW w:w="100" w:type="dxa"/>
            <w:vAlign w:val="bottom"/>
          </w:tcPr>
          <w:p>
            <w:pPr>
              <w:spacing w:after="0"/>
              <w:rPr>
                <w:sz w:val="18"/>
                <w:szCs w:val="18"/>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(3,030)</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89"/>
              </w:rPr>
              <w:t>(97,050)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(92,637)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Total AOCI</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w w:val="89"/>
              </w:rPr>
              <w:t>(80,969)</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(79,236)</w:t>
            </w:r>
          </w:p>
        </w:tc>
        <w:tc>
          <w:tcPr>
            <w:tcW w:w="0" w:type="dxa"/>
            <w:vAlign w:val="bottom"/>
          </w:tcPr>
          <w:p>
            <w:pPr>
              <w:spacing w:after="0"/>
              <w:rPr>
                <w:sz w:val="1"/>
                <w:szCs w:val="1"/>
                <w:color w:val="auto"/>
              </w:rPr>
            </w:pPr>
          </w:p>
        </w:tc>
      </w:tr>
      <w:tr>
        <w:trPr>
          <w:trHeight w:val="218"/>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Total Lazard Group AOCI</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w w:val="89"/>
              </w:rPr>
              <w:t>(80,923)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(79,252)</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six month periods ended June 30, 2012 and 2011 and noncontrolling interests as of June 30, 2012 and December 31, 2011 in the Company’s accompanying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9"/>
              </w:rPr>
              <w:t>Net Income (Loss) Attributable To</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w w:val="86"/>
              </w:rPr>
              <w:t>Noncontrolling Interests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gridSpan w:val="5"/>
          </w:tcPr>
          <w:p>
            <w:pPr>
              <w:jc w:val="right"/>
              <w:ind w:right="620"/>
              <w:spacing w:after="0" w:line="129" w:lineRule="exact"/>
              <w:rPr>
                <w:sz w:val="20"/>
                <w:szCs w:val="20"/>
                <w:color w:val="auto"/>
              </w:rPr>
            </w:pPr>
            <w:r>
              <w:rPr>
                <w:rFonts w:ascii="Arial" w:cs="Arial" w:eastAsia="Arial" w:hAnsi="Arial"/>
                <w:sz w:val="14"/>
                <w:szCs w:val="14"/>
                <w:b w:val="1"/>
                <w:bCs w:val="1"/>
                <w:color w:val="auto"/>
                <w:w w:val="86"/>
              </w:rPr>
              <w:t>Three Months Ended</w:t>
            </w:r>
          </w:p>
        </w:tc>
        <w:tc>
          <w:tcPr>
            <w:tcW w:w="1520" w:type="dxa"/>
            <w:vAlign w:val="bottom"/>
            <w:gridSpan w:val="3"/>
          </w:tcPr>
          <w:p>
            <w:pPr>
              <w:jc w:val="right"/>
              <w:ind w:right="157"/>
              <w:spacing w:after="0" w:line="129"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June 30,</w:t>
            </w:r>
          </w:p>
        </w:tc>
        <w:tc>
          <w:tcPr>
            <w:tcW w:w="16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4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1,698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$ 5,882</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$ 3,872</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$ 6,905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w:t>
            </w:r>
          </w:p>
        </w:tc>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(332)</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$ 5,550</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$ 3,826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$ 6,792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580" w:type="dxa"/>
            <w:vAlign w:val="bottom"/>
            <w:vMerge w:val="restart"/>
          </w:tcPr>
          <w:p>
            <w:pPr>
              <w:jc w:val="right"/>
              <w:ind w:right="1892"/>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23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6"/>
              </w:rPr>
              <w:t>Noncontrolling Interests</w:t>
            </w:r>
          </w:p>
        </w:tc>
      </w:t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June 30,</w:t>
            </w:r>
          </w:p>
        </w:tc>
        <w:tc>
          <w:tcPr>
            <w:tcW w:w="8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90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$86,235</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86,907</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103,923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six month periods ended June 30, 2012 and 2011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restricted stock units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on the day prior to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is a summary of the impact of share-based incentive plans on “compensation and benefits” expense within the Company’s accompanying condensed consolidated statements of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9"/>
              </w:rPr>
              <w:t>Three Months Ended</w:t>
            </w:r>
          </w:p>
        </w:tc>
        <w:tc>
          <w:tcPr>
            <w:tcW w:w="2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40" w:type="dxa"/>
            <w:vAlign w:val="bottom"/>
            <w:tcBorders>
              <w:bottom w:val="single" w:sz="8" w:color="auto"/>
            </w:tcBorders>
            <w:gridSpan w:val="2"/>
          </w:tcPr>
          <w:p>
            <w:pPr>
              <w:jc w:val="center"/>
              <w:ind w:left="547"/>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Borders>
              <w:bottom w:val="single" w:sz="8" w:color="auto"/>
            </w:tcBorders>
            <w:gridSpan w:val="2"/>
          </w:tcPr>
          <w:p>
            <w:pPr>
              <w:jc w:val="center"/>
              <w:ind w:left="681"/>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40" w:type="dxa"/>
            <w:vAlign w:val="bottom"/>
          </w:tcPr>
          <w:p>
            <w:pPr>
              <w:jc w:val="right"/>
              <w:ind w:right="167"/>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64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880" w:type="dxa"/>
            <w:vAlign w:val="bottom"/>
          </w:tcPr>
          <w:p>
            <w:pPr>
              <w:jc w:val="right"/>
              <w:ind w:right="221"/>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76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compensation:</w:t>
            </w:r>
          </w:p>
        </w:tc>
        <w:tc>
          <w:tcPr>
            <w:tcW w:w="29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RSUs</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$63,428</w:t>
            </w:r>
          </w:p>
        </w:tc>
        <w:tc>
          <w:tcPr>
            <w:tcW w:w="40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$ 57,552</w:t>
            </w:r>
          </w:p>
        </w:tc>
        <w:tc>
          <w:tcPr>
            <w:tcW w:w="880" w:type="dxa"/>
            <w:vAlign w:val="bottom"/>
          </w:tcPr>
          <w:p>
            <w:pPr>
              <w:jc w:val="right"/>
              <w:spacing w:after="0"/>
              <w:rPr>
                <w:sz w:val="20"/>
                <w:szCs w:val="20"/>
                <w:color w:val="auto"/>
              </w:rPr>
            </w:pPr>
            <w:r>
              <w:rPr>
                <w:rFonts w:ascii="Arial" w:cs="Arial" w:eastAsia="Arial" w:hAnsi="Arial"/>
                <w:sz w:val="18"/>
                <w:szCs w:val="18"/>
                <w:color w:val="auto"/>
              </w:rPr>
              <w:t>$145,319</w:t>
            </w:r>
          </w:p>
        </w:tc>
        <w:tc>
          <w:tcPr>
            <w:tcW w:w="4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$ 142,410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stock units (“DSUs”)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534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4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4120" w:type="dxa"/>
            <w:vAlign w:val="bottom"/>
          </w:tcPr>
          <w:p>
            <w:pPr>
              <w:ind w:left="440"/>
              <w:spacing w:after="0"/>
              <w:rPr>
                <w:sz w:val="20"/>
                <w:szCs w:val="20"/>
                <w:color w:val="auto"/>
              </w:rPr>
            </w:pPr>
            <w:r>
              <w:rPr>
                <w:rFonts w:ascii="Arial" w:cs="Arial" w:eastAsia="Arial" w:hAnsi="Arial"/>
                <w:sz w:val="18"/>
                <w:szCs w:val="18"/>
                <w:color w:val="auto"/>
              </w:rPr>
              <w:t>Restricted stock</w:t>
            </w:r>
          </w:p>
        </w:tc>
        <w:tc>
          <w:tcPr>
            <w:tcW w:w="29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4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$65,741</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8"/>
              </w:rPr>
              <w:t>$ 58,442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$151,842</w:t>
            </w:r>
          </w:p>
        </w:tc>
        <w:tc>
          <w:tcPr>
            <w:tcW w:w="4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$ 151,971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960" w:type="dxa"/>
            <w:vAlign w:val="bottom"/>
            <w:vMerge w:val="restart"/>
          </w:tcPr>
          <w:p>
            <w:pPr>
              <w:jc w:val="right"/>
              <w:ind w:right="1192"/>
              <w:spacing w:after="0"/>
              <w:rPr>
                <w:sz w:val="20"/>
                <w:szCs w:val="20"/>
                <w:color w:val="auto"/>
              </w:rPr>
            </w:pPr>
            <w:r>
              <w:rPr>
                <w:rFonts w:ascii="Arial" w:cs="Arial" w:eastAsia="Arial" w:hAnsi="Arial"/>
                <w:sz w:val="18"/>
                <w:szCs w:val="18"/>
                <w:color w:val="auto"/>
              </w:rPr>
              <w:t>25</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six month periods ended June 30, 2012 and 2011, dividend participation rights required the issuance of 310,756 and 140,613 RSUs, respectively.</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Non-Executive members of the Board of Directors of Lazard Group (who are the same Non-Executive Directors of Lazard Ltd) receive approximately 55% of their annual compensation for service on the Board of Directors and its committees in the form of DSUs, which resulted in 49,735 and 26,859 DSUs granted during the six month periods ended June 30, 2012 and 2011,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DSUs include a cash dividend participation right equivalent to any ordinary quarterly dividends paid on Class A common stock, and resulted in nominal cash payments for the six month periods ended June 30, 2012 and 2011.</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will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six month periods ended June 30, 2012 and 2011, 5,489 and 2,942 DSUs, respectively, had been granted pursuant to such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2012 and 2011:</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DSUs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100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20,751,829</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140,660</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Granted (including 310,756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7,847,541</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27.51</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55,224</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(311,601)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(3,631,932)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33.83</w:t>
            </w:r>
          </w:p>
        </w:tc>
        <w:tc>
          <w:tcPr>
            <w:tcW w:w="380" w:type="dxa"/>
            <w:vAlign w:val="bottom"/>
          </w:tcPr>
          <w:p>
            <w:pPr>
              <w:spacing w:after="0"/>
              <w:rPr>
                <w:sz w:val="19"/>
                <w:szCs w:val="19"/>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24,655,837</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195,884</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shd w:val="clear" w:color="auto" w:fill="CCEEFF"/>
          </w:tcPr>
          <w:p>
            <w:pPr>
              <w:spacing w:after="0"/>
              <w:rPr>
                <w:sz w:val="18"/>
                <w:szCs w:val="18"/>
                <w:color w:val="auto"/>
              </w:rPr>
            </w:pPr>
          </w:p>
        </w:tc>
      </w:tr>
      <w:tr>
        <w:trPr>
          <w:trHeight w:val="20"/>
        </w:trPr>
        <w:tc>
          <w:tcPr>
            <w:tcW w:w="620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4"/>
        </w:trPr>
        <w:tc>
          <w:tcPr>
            <w:tcW w:w="6200" w:type="dxa"/>
            <w:vAlign w:val="bottom"/>
            <w:gridSpan w:val="2"/>
          </w:tcPr>
          <w:p>
            <w:pPr>
              <w:spacing w:after="0"/>
              <w:rPr>
                <w:sz w:val="20"/>
                <w:szCs w:val="20"/>
                <w:color w:val="auto"/>
              </w:rPr>
            </w:pPr>
            <w:r>
              <w:rPr>
                <w:rFonts w:ascii="Arial" w:cs="Arial" w:eastAsia="Arial" w:hAnsi="Arial"/>
                <w:sz w:val="18"/>
                <w:szCs w:val="18"/>
                <w:color w:val="auto"/>
              </w:rPr>
              <w:t>Balance January 1, 2011</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22,108,635</w:t>
            </w:r>
          </w:p>
        </w:tc>
        <w:tc>
          <w:tcPr>
            <w:tcW w:w="3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35.67</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121,737</w:t>
            </w:r>
          </w:p>
        </w:tc>
        <w:tc>
          <w:tcPr>
            <w:tcW w:w="3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140,613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6,309,310</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29,801</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(223,365)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37.90</w:t>
            </w:r>
          </w:p>
        </w:tc>
        <w:tc>
          <w:tcPr>
            <w:tcW w:w="38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(7,616,386)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8"/>
              </w:rPr>
              <w:t>(16,120)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00" w:type="dxa"/>
            <w:vAlign w:val="bottom"/>
            <w:shd w:val="clear" w:color="auto" w:fill="CCEEFF"/>
          </w:tcPr>
          <w:p>
            <w:pPr>
              <w:spacing w:after="0"/>
              <w:rPr>
                <w:sz w:val="18"/>
                <w:szCs w:val="18"/>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Balance, June 30, 2011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20,578,194</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37.18</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135,418</w:t>
            </w:r>
          </w:p>
        </w:tc>
        <w:tc>
          <w:tcPr>
            <w:tcW w:w="3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connection with RSUs which vested during the six month periods ended June 30, 2012 and 2011, the Company satisfied certain employees’ tax obligations in lieu of issuing 967,828 and 2,226,829 shares of Class A common stock in the respective six month periods. Accordingly, 2,664,104 and 5,389,557 shares of Class A common stock held by the Company were delivered during the six month periods ended June 30, 2012 and 2011, respectively.</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June 30, 2012, unrecognized RSU compensation expense, adjusted for estimated forfeitures, was approximately $311,000, with such unrecognized compensation expense expected to be recognized over a weighted average period of approximately 1.4 years subsequent to June 30, 2012.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six month periods ended June 30, 2012 and 2011:</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Granted/Exchanged</w:t>
            </w:r>
          </w:p>
        </w:tc>
        <w:tc>
          <w:tcPr>
            <w:tcW w:w="680" w:type="dxa"/>
            <w:vAlign w:val="bottom"/>
          </w:tcPr>
          <w:p>
            <w:pPr>
              <w:jc w:val="right"/>
              <w:spacing w:after="0"/>
              <w:rPr>
                <w:sz w:val="20"/>
                <w:szCs w:val="20"/>
                <w:color w:val="auto"/>
              </w:rPr>
            </w:pPr>
            <w:r>
              <w:rPr>
                <w:rFonts w:ascii="Arial" w:cs="Arial" w:eastAsia="Arial" w:hAnsi="Arial"/>
                <w:sz w:val="18"/>
                <w:szCs w:val="18"/>
                <w:color w:val="auto"/>
              </w:rPr>
              <w:t>577,323</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(18,921)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(131,743)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28.63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521,991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80" w:type="dxa"/>
            <w:vAlign w:val="bottom"/>
            <w:shd w:val="clear" w:color="auto" w:fill="CCEEFF"/>
          </w:tcPr>
          <w:p>
            <w:pPr>
              <w:spacing w:after="0"/>
              <w:rPr>
                <w:sz w:val="18"/>
                <w:szCs w:val="18"/>
                <w:color w:val="auto"/>
              </w:rPr>
            </w:pPr>
          </w:p>
        </w:tc>
      </w:tr>
      <w:tr>
        <w:trPr>
          <w:trHeight w:val="20"/>
        </w:trPr>
        <w:tc>
          <w:tcPr>
            <w:tcW w:w="708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6"/>
        </w:trPr>
        <w:tc>
          <w:tcPr>
            <w:tcW w:w="7080" w:type="dxa"/>
            <w:vAlign w:val="bottom"/>
            <w:gridSpan w:val="2"/>
          </w:tcPr>
          <w:p>
            <w:pPr>
              <w:spacing w:after="0"/>
              <w:rPr>
                <w:sz w:val="20"/>
                <w:szCs w:val="20"/>
                <w:color w:val="auto"/>
              </w:rPr>
            </w:pPr>
            <w:r>
              <w:rPr>
                <w:rFonts w:ascii="Arial" w:cs="Arial" w:eastAsia="Arial" w:hAnsi="Arial"/>
                <w:sz w:val="18"/>
                <w:szCs w:val="18"/>
                <w:color w:val="auto"/>
              </w:rPr>
              <w:t>Balance, January 1, 2011</w:t>
            </w:r>
          </w:p>
        </w:tc>
        <w:tc>
          <w:tcPr>
            <w:tcW w:w="680" w:type="dxa"/>
            <w:vAlign w:val="bottom"/>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24"/>
                <w:szCs w:val="24"/>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327,238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(327,238)</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shares of restricted Class A common stock that vested during the six month periods ended June 30, 2012 and 2011, the Company satisfied certain employees’ tax obligations in lieu of delivering 28,129 and 68,866 shares of Class A common stock during the respective periods. Accordingly, 103,614 and 258,372 shares of Class A common stock held by the Company were delivered during the respective six month periods.</w:t>
      </w:r>
    </w:p>
    <w:p>
      <w:pPr>
        <w:spacing w:after="0" w:line="10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awards include a cash dividend participation right equivalent to any ordinary quarterly dividends paid on Class A common stock during the period, which will vest concurrently with the underlying restricted stock award. At June 30, 2012, unrecognized restricted stock expense was approximately $10,000, with such expense to be recognized over a weighted average period of approximately 1.9 years subsequent to June 30, 2012.</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 and Other Similar Deferred Compensation Arrangements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Commencing in February 2011, the Company granted to eligible employees Lazard Fund Interests.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 Such changes in the fair value of the derivative liability are recorded to “compensation and benefits” expense within the Company’s consolidated statements of operations, the impact of which equally offsets the changes in fair value of investments which are currently expected to be delivered upon settlement of Lazard Fund Interests awards, which is reported in “revenue-other” in the consolidated statement of operations (see Note 6 of Notes to Condensed Consolidated Financial Statements).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is a summary of activity relating to Lazard Fund Interests and other similar deferred compensation arrangements during the six month period ended June 30,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7"/>
              </w:rPr>
              <w:t>Prepaid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Compensation</w:t>
            </w:r>
          </w:p>
        </w:tc>
      </w:tr>
      <w:tr>
        <w:trPr>
          <w:trHeight w:val="161"/>
        </w:trPr>
        <w:tc>
          <w:tcPr>
            <w:tcW w:w="8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Liability</w:t>
            </w:r>
          </w:p>
        </w:tc>
      </w:tr>
      <w:tr>
        <w:trPr>
          <w:trHeight w:val="210"/>
        </w:trPr>
        <w:tc>
          <w:tcPr>
            <w:tcW w:w="8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64,631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64,631</w:t>
            </w:r>
          </w:p>
        </w:tc>
      </w:tr>
      <w:tr>
        <w:trPr>
          <w:trHeight w:val="230"/>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(8,641)</w:t>
            </w:r>
          </w:p>
        </w:tc>
      </w:tr>
      <w:tr>
        <w:trPr>
          <w:trHeight w:val="229"/>
        </w:trPr>
        <w:tc>
          <w:tcPr>
            <w:tcW w:w="812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r>
      <w:tr>
        <w:trPr>
          <w:trHeight w:val="217"/>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(including grants of awards to retirement-eligible recipients)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(16,985)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Decrease in fair 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Balance, June 30, 2012</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65,399</w:t>
            </w:r>
          </w:p>
        </w:tc>
        <w:tc>
          <w:tcPr>
            <w:tcW w:w="30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85,641</w:t>
            </w:r>
          </w:p>
        </w:tc>
      </w:tr>
      <w:tr>
        <w:trPr>
          <w:trHeight w:val="20"/>
        </w:trPr>
        <w:tc>
          <w:tcPr>
            <w:tcW w:w="8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2.1 years subsequent to June 30, 2012.</w:t>
      </w:r>
    </w:p>
    <w:p>
      <w:pPr>
        <w:spacing w:after="0" w:line="132"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following is a summary of the impact of Lazard Fund Interests and other similar deferred compensation arrangements on “compensation and benefits” expense within the accompanying condensed consolidated statements of operations for the three and six month periods ended June 30, 2012 and 2011: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2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4"/>
          </w:tcPr>
          <w:p>
            <w:pPr>
              <w:ind w:lef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(including grants of awards to retirement-eligible recipients)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$10,800</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$2,413</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$16,985</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Change in fair value of compensation liability</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(2,856)</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2,413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16,896</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 The Company made a contribution to the U.S. pension plans during the six month period ended June 30, 2012 of approximately $700.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(which superseded the terms of an agreement reached in June 2009 with respect to the previous triennial valuation as of December 31, 2007) whereby the Company: (i) made a contribution in December 2011 to the plans of 2.3 million British pounds ($3,687 at December 31, 2011 exchange rates) from a previously established escrow account, (ii) will make contributions of 1 million British pounds during each year from 2012 through 2020 inclusive and (iii) amended the previous escrow arrangement into an account security arrangement covering 10.2 million British pounds, committing to make annual contributions of 1 million British pounds into such account security arrangement during each year from 2014 through 2020.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aggregate amount in the account security arrangement at June 30, 2012 of approximately $16,000 has been recorded in “cash deposited with clearing organizations and other segregated cash” on the accompanying condensed consolidated statement of financial condition. Income on the escrow balance accretes to the Company and is recorded in interest income.</w:t>
      </w:r>
    </w:p>
    <w:p>
      <w:pPr>
        <w:spacing w:after="0" w:line="12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the six month period ended June 30, 2012, the Company contributed 1 million British pounds ($1,576 at June 30, 2012 exchange rates) to these U.K. pension plans, and no contributions were made to other non-U.S. pension plans.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components of net periodic benefit cost for the three month and six month periods ended June 30, 2012 and 2011: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Post-Retirement</w:t>
            </w:r>
          </w:p>
        </w:tc>
      </w:tr>
      <w:tr>
        <w:trPr>
          <w:trHeight w:val="161"/>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218"/>
              <w:spacing w:after="0"/>
              <w:rPr>
                <w:sz w:val="20"/>
                <w:szCs w:val="20"/>
                <w:color w:val="auto"/>
              </w:rPr>
            </w:pPr>
            <w:r>
              <w:rPr>
                <w:rFonts w:ascii="Arial" w:cs="Arial" w:eastAsia="Arial" w:hAnsi="Arial"/>
                <w:sz w:val="14"/>
                <w:szCs w:val="14"/>
                <w:b w:val="1"/>
                <w:bCs w:val="1"/>
                <w:color w:val="auto"/>
                <w:w w:val="88"/>
              </w:rPr>
              <w:t>Medical Plans</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w w:val="88"/>
              </w:rPr>
              <w:t>Three Months Ended June 30,</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6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2011</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2012</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166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169</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6,885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7,092</w:t>
            </w: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(6,622)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(7,644)</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687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Settlement (loss) (a)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886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periodic benefit cost</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9"/>
              </w:rPr>
              <w:t>$ 2,422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72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7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Post-Retirement</w:t>
            </w:r>
          </w:p>
        </w:tc>
      </w:tr>
      <w:tr>
        <w:trPr>
          <w:trHeight w:val="161"/>
        </w:trPr>
        <w:tc>
          <w:tcPr>
            <w:tcW w:w="7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218"/>
              <w:spacing w:after="0"/>
              <w:rPr>
                <w:sz w:val="20"/>
                <w:szCs w:val="20"/>
                <w:color w:val="auto"/>
              </w:rPr>
            </w:pPr>
            <w:r>
              <w:rPr>
                <w:rFonts w:ascii="Arial" w:cs="Arial" w:eastAsia="Arial" w:hAnsi="Arial"/>
                <w:sz w:val="14"/>
                <w:szCs w:val="14"/>
                <w:b w:val="1"/>
                <w:bCs w:val="1"/>
                <w:color w:val="auto"/>
                <w:w w:val="88"/>
              </w:rPr>
              <w:t>Medical Plans</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6"/>
          </w:tcPr>
          <w:p>
            <w:pPr>
              <w:jc w:val="right"/>
              <w:ind w:right="78"/>
              <w:spacing w:after="0" w:line="142" w:lineRule="exact"/>
              <w:rPr>
                <w:sz w:val="20"/>
                <w:szCs w:val="20"/>
                <w:color w:val="auto"/>
              </w:rPr>
            </w:pPr>
            <w:r>
              <w:rPr>
                <w:rFonts w:ascii="Arial" w:cs="Arial" w:eastAsia="Arial" w:hAnsi="Arial"/>
                <w:sz w:val="14"/>
                <w:szCs w:val="14"/>
                <w:b w:val="1"/>
                <w:bCs w:val="1"/>
                <w:color w:val="auto"/>
                <w:w w:val="88"/>
              </w:rPr>
              <w:t>Six Months Ended June 30,</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1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2011</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2012</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338</w:t>
            </w:r>
          </w:p>
        </w:tc>
        <w:tc>
          <w:tcPr>
            <w:tcW w:w="60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332</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6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14,159</w:t>
            </w: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240" w:type="dxa"/>
            <w:vAlign w:val="bottom"/>
            <w:gridSpan w:val="4"/>
          </w:tcPr>
          <w:p>
            <w:pPr>
              <w:jc w:val="right"/>
              <w:ind w:right="540"/>
              <w:spacing w:after="0"/>
              <w:rPr>
                <w:sz w:val="20"/>
                <w:szCs w:val="20"/>
                <w:color w:val="auto"/>
              </w:rPr>
            </w:pPr>
            <w:r>
              <w:rPr>
                <w:rFonts w:ascii="Arial" w:cs="Arial" w:eastAsia="Arial" w:hAnsi="Arial"/>
                <w:sz w:val="18"/>
                <w:szCs w:val="18"/>
                <w:color w:val="auto"/>
              </w:rPr>
              <w:t>(13,294)</w:t>
            </w:r>
          </w:p>
        </w:tc>
        <w:tc>
          <w:tcPr>
            <w:tcW w:w="1240" w:type="dxa"/>
            <w:vAlign w:val="bottom"/>
            <w:gridSpan w:val="4"/>
          </w:tcPr>
          <w:p>
            <w:pPr>
              <w:jc w:val="right"/>
              <w:ind w:right="540"/>
              <w:spacing w:after="0"/>
              <w:rPr>
                <w:sz w:val="20"/>
                <w:szCs w:val="20"/>
                <w:color w:val="auto"/>
              </w:rPr>
            </w:pPr>
            <w:r>
              <w:rPr>
                <w:rFonts w:ascii="Arial" w:cs="Arial" w:eastAsia="Arial" w:hAnsi="Arial"/>
                <w:sz w:val="18"/>
                <w:szCs w:val="18"/>
                <w:color w:val="auto"/>
              </w:rPr>
              <w:t>(15,266)</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1,388</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1,502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6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Settlement loss (a)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886</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periodic benefit cost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3,936</w:t>
            </w:r>
          </w:p>
        </w:tc>
        <w:tc>
          <w:tcPr>
            <w:tcW w:w="60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72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jc w:val="both"/>
        <w:ind w:right="40" w:firstLine="464"/>
        <w:spacing w:after="0" w:line="298" w:lineRule="auto"/>
        <w:tabs>
          <w:tab w:leader="none" w:pos="695" w:val="left"/>
        </w:tabs>
        <w:numPr>
          <w:ilvl w:val="1"/>
          <w:numId w:val="25"/>
        </w:numPr>
        <w:rPr>
          <w:rFonts w:ascii="Arial" w:cs="Arial" w:eastAsia="Arial" w:hAnsi="Arial"/>
          <w:sz w:val="16"/>
          <w:szCs w:val="16"/>
          <w:color w:val="auto"/>
        </w:rPr>
      </w:pPr>
      <w:r>
        <w:rPr>
          <w:rFonts w:ascii="Arial" w:cs="Arial" w:eastAsia="Arial" w:hAnsi="Arial"/>
          <w:sz w:val="16"/>
          <w:szCs w:val="16"/>
          <w:color w:val="auto"/>
        </w:rPr>
        <w:t>During the three month period ended June 30, 2012, the Company’s pension plans in the U.S. made lump sum benefit payments in excess of the plans’ annual service and interest cost, which, under U.S. GAAP, requires that the plans’ obligations and assets be remeasured. The remeasurement of the plans resulted in the recognition of actuarial losses totaling $1,935 recorded in “other comprehensive income (loss), net of tax” (“OCI”), which, combined with a settlement loss of $886 recognized in “compensation and benefits” expense, resulted in a net charge to OCI of $1,049.</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w:t>
      </w:r>
    </w:p>
    <w:p>
      <w:pPr>
        <w:spacing w:after="0" w:line="38" w:lineRule="exact"/>
        <w:rPr>
          <w:sz w:val="20"/>
          <w:szCs w:val="20"/>
          <w:color w:val="auto"/>
        </w:rPr>
      </w:pPr>
    </w:p>
    <w:p>
      <w:pPr>
        <w:jc w:val="both"/>
        <w:ind w:right="40"/>
        <w:spacing w:after="0" w:line="295" w:lineRule="auto"/>
        <w:rPr>
          <w:sz w:val="20"/>
          <w:szCs w:val="20"/>
          <w:color w:val="auto"/>
        </w:rPr>
      </w:pPr>
      <w:r>
        <w:rPr>
          <w:rFonts w:ascii="Arial" w:cs="Arial" w:eastAsia="Arial" w:hAnsi="Arial"/>
          <w:sz w:val="16"/>
          <w:szCs w:val="16"/>
          <w:color w:val="auto"/>
        </w:rPr>
        <w:t>company that is treated as a partnership for U.S. federal income tax purposes. As a result, Lazard Group’s income from its U.S. operations is generally not subject to U.S. federal income taxes because such income is attributable to the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recorded income tax provisions of $10,535 and $15,369 for the three month and six month periods ended June 30, 2012, respectively, and $13,717 and $24,106 for the three month and six month periods ended June 30, 2011, respectively, representing effective tax rates of 23.2%, 19.7%, 15.2% and 14.7%, respectively. The difference between the U.S. federal statutory rate of 35.0% and the effective tax rates described above principally relates to (i) Lazard Group primarily operating as a limited liability company in the U.S. and (ii) U.S. state and local taxes (primarily UBT), which are incremental to the U.S. federal statutory tax rate.</w:t>
      </w:r>
    </w:p>
    <w:p>
      <w:pPr>
        <w:spacing w:after="0" w:line="26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9360" w:type="dxa"/>
            <w:vAlign w:val="bottom"/>
          </w:tcPr>
          <w:p>
            <w:pPr>
              <w:spacing w:after="0"/>
              <w:rPr>
                <w:sz w:val="14"/>
                <w:szCs w:val="14"/>
                <w:color w:val="auto"/>
              </w:rPr>
            </w:pPr>
          </w:p>
        </w:tc>
        <w:tc>
          <w:tcPr>
            <w:tcW w:w="760" w:type="dxa"/>
            <w:vAlign w:val="bottom"/>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120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7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360" w:type="dxa"/>
            <w:vAlign w:val="bottom"/>
          </w:tcPr>
          <w:p>
            <w:pPr>
              <w:ind w:left="220"/>
              <w:spacing w:after="0"/>
              <w:rPr>
                <w:sz w:val="20"/>
                <w:szCs w:val="20"/>
                <w:color w:val="auto"/>
              </w:rPr>
            </w:pPr>
            <w:r>
              <w:rPr>
                <w:rFonts w:ascii="Arial" w:cs="Arial" w:eastAsia="Arial" w:hAnsi="Arial"/>
                <w:sz w:val="18"/>
                <w:szCs w:val="18"/>
                <w:color w:val="auto"/>
              </w:rPr>
              <w:t>Lazard Ltd Subsidiaries</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$196,607</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$186,239</w:t>
            </w:r>
          </w:p>
        </w:tc>
        <w:tc>
          <w:tcPr>
            <w:tcW w:w="0" w:type="dxa"/>
            <w:vAlign w:val="bottom"/>
          </w:tcPr>
          <w:p>
            <w:pPr>
              <w:spacing w:after="0"/>
              <w:rPr>
                <w:sz w:val="1"/>
                <w:szCs w:val="1"/>
                <w:color w:val="auto"/>
              </w:rPr>
            </w:pPr>
          </w:p>
        </w:tc>
      </w:tr>
      <w:tr>
        <w:trPr>
          <w:trHeight w:val="217"/>
        </w:trPr>
        <w:tc>
          <w:tcPr>
            <w:tcW w:w="9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LFCM Holdings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14,790</w:t>
            </w:r>
          </w:p>
        </w:tc>
        <w:tc>
          <w:tcPr>
            <w:tcW w:w="0" w:type="dxa"/>
            <w:vAlign w:val="bottom"/>
          </w:tcPr>
          <w:p>
            <w:pPr>
              <w:spacing w:after="0"/>
              <w:rPr>
                <w:sz w:val="1"/>
                <w:szCs w:val="1"/>
                <w:color w:val="auto"/>
              </w:rPr>
            </w:pPr>
          </w:p>
        </w:tc>
      </w:tr>
      <w:tr>
        <w:trPr>
          <w:trHeight w:val="223"/>
        </w:trPr>
        <w:tc>
          <w:tcPr>
            <w:tcW w:w="9360" w:type="dxa"/>
            <w:vAlign w:val="bottom"/>
          </w:tcPr>
          <w:p>
            <w:pPr>
              <w:ind w:left="2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$210,709</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$204,740</w:t>
            </w: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Arial" w:cs="Arial" w:eastAsia="Arial" w:hAnsi="Arial"/>
                <w:sz w:val="18"/>
                <w:szCs w:val="18"/>
                <w:b w:val="1"/>
                <w:bCs w:val="1"/>
                <w:color w:val="auto"/>
              </w:rPr>
              <w:t>Payables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Lazard Ltd Subsidiaries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$213,513</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$126,875</w:t>
            </w:r>
          </w:p>
        </w:tc>
        <w:tc>
          <w:tcPr>
            <w:tcW w:w="0" w:type="dxa"/>
            <w:vAlign w:val="bottom"/>
          </w:tcPr>
          <w:p>
            <w:pPr>
              <w:spacing w:after="0"/>
              <w:rPr>
                <w:sz w:val="1"/>
                <w:szCs w:val="1"/>
                <w:color w:val="auto"/>
              </w:rPr>
            </w:pPr>
          </w:p>
        </w:tc>
      </w:tr>
      <w:tr>
        <w:trPr>
          <w:trHeight w:val="216"/>
        </w:trPr>
        <w:tc>
          <w:tcPr>
            <w:tcW w:w="9360" w:type="dxa"/>
            <w:vAlign w:val="bottom"/>
          </w:tcPr>
          <w:p>
            <w:pPr>
              <w:ind w:left="220"/>
              <w:spacing w:after="0"/>
              <w:rPr>
                <w:sz w:val="20"/>
                <w:szCs w:val="20"/>
                <w:color w:val="auto"/>
              </w:rPr>
            </w:pPr>
            <w:r>
              <w:rPr>
                <w:rFonts w:ascii="Arial" w:cs="Arial" w:eastAsia="Arial" w:hAnsi="Arial"/>
                <w:sz w:val="18"/>
                <w:szCs w:val="18"/>
                <w:color w:val="auto"/>
              </w:rPr>
              <w:t>LFCM Holdings</w:t>
            </w:r>
          </w:p>
        </w:tc>
        <w:tc>
          <w:tcPr>
            <w:tcW w:w="760" w:type="dxa"/>
            <w:vAlign w:val="bottom"/>
          </w:tcPr>
          <w:p>
            <w:pPr>
              <w:jc w:val="right"/>
              <w:spacing w:after="0"/>
              <w:rPr>
                <w:sz w:val="20"/>
                <w:szCs w:val="20"/>
                <w:color w:val="auto"/>
              </w:rPr>
            </w:pPr>
            <w:r>
              <w:rPr>
                <w:rFonts w:ascii="Arial" w:cs="Arial" w:eastAsia="Arial" w:hAnsi="Arial"/>
                <w:sz w:val="18"/>
                <w:szCs w:val="18"/>
                <w:color w:val="auto"/>
              </w:rPr>
              <w:t>6,189</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3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tcPr>
          <w:p>
            <w:pPr>
              <w:ind w:left="220"/>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$220,593</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$130,160</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Group’s receivables from subsidiaries of Lazard Ltd at June 30, 2012 and December 31, 2011 include interest-bearing loans of $194,039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$186,078, respectively, including accrued interest thereon. Interest income relating to interest-bearing loans with subsidiaries of Lazard Ltd amounted to $2,880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$5,460 for the three month and six month periods ended June 30, 2012, respectively, and $1,891 and $3,730 for the three month and six month periods 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June 30, 2011, respectively.</w:t>
      </w:r>
    </w:p>
    <w:p>
      <w:pPr>
        <w:spacing w:after="0" w:line="16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of both June 30, 2012 and December 31, 2011, Lazard Group’s payables to subsidiaries of Lazard Ltd included $3,695 in connection with Lazard Group’s prior year business acquisitions (see Note 7 of Notes to Condensed Consolidated Financial Statements). In addition, as of June 30, 2012 and December 31, 2011, Lazard Group’s payables to subsidiaries of Lazard Ltd include interest-bearing loans, plus accrued interest thereon, of approximately $210,000 and $123,000, respectively. Such amount at June 30, 2012 includes approximately $84,000 resulting from the sale in the first quarter of 2012 of an interest-bearing intercompany receivable due from a Lazard Group subsidiary to a Lazard Ltd subsidiary, which was sold at a discount to reflect arm’s-length terms, resulting in a loss to Lazard Group of $5,638. Interest expense relating to interest-bearing loans with subsidiaries of Lazard Ltd amounted to $2,918 and $5,116 for the three month and six month periods ended June 30, 2012, respectively, and $1,016 and $2,022 for the three month and six month periods ended June 30, 2011,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described in more detail in the Company’s Form 10-K.</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For the three month and six month periods ended June 30, 2012, amounts recorded by Lazard Group relating to the administrative services agreement amounted to $702 and $1,515, respectively, and net referral fees for underwriting, private placement, M&amp;A and restructuring transactions under the business alliance agreement amounted to $3,552 and $4,366, respectively. For the three month and six month periods ended June 30, 2011, amounts recorded by Lazard Group relating to the administrative services agreement amounted to $578 and $1,192, respectively, and net referral fees for underwriting, private placement, M&amp;A and restructuring transactions under the business alliance agreement amounted to $6,200 and $13,147,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Receivables from LFCM Holdings and its subsidiaries as of June 30, 2012 and December 31, 2011 include $3,825 and $11,862, respectively, related to administrative and support services, and other receivables which include sublease income and reimbursement of expenses incurred on behalf of LFCM Holdings, and $6,591 and $2,928, respectively, related to referral fees for underwriting and private placement transactions. Payables to LFCM Holdings and its subsidiaries at June 30, 2012 and December 31, 2011 consist of $6,189 and $2,060, respectively, principally relating to certain advances and referral fees for Financial Advisory transactions.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Other receivables and payables at June 30, 2012 and December 31, 2011 primarily relate to referral fees for restructuring and M&amp;A transactions with MBA Lazard Holdings S.A. and its affiliates, an Argentina-based group in which the Company has a 50% ownership interest, and a related party loan.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and six month periods ended June 30, 2012, such charges amounted to $187 and $375, respectively. For the three month and six month periods ended June 30, 2011, such charges amounted to $187 and $375, respectively.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June 30, 2012, LFNY’s regulatory net capital was $74,299, which exceeded the minimum requirement by $68,933.</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June 30, 2012, the aggregate regulatory net capital of the U.K. Subsidiaries was $130,437, which exceeded the minimum requirement by $106,893.</w:t>
      </w:r>
    </w:p>
    <w:p>
      <w:pPr>
        <w:spacing w:after="0" w:line="14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June 30, 2012, the consolidated regulatory net capital of CFLF was $168,117, which exceeded the minimum requirement set for regulatory capital levels by $75,989.</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2012, for those subsidiaries with regulatory capital requirements, their aggregate net capital was $107,826, which exceeded the minimum required capital by an aggregate of $84,178.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2012, each of these subsidiaries individually was in compliance with its regulatory capital requirements.</w:t>
      </w:r>
    </w:p>
    <w:p>
      <w:pPr>
        <w:spacing w:after="0" w:line="17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the European Union, Lazard Ltd is required to be supervised by another regulatory body, either in the U.S., by the Board of Governors of the Federal Reserve, or the European Union, which we are examining. The Dodd-Frank Act and the rules and regulations that may be adopted thereunder (including regulations that have not yet been proposed) could have other effects on us. We continue to monitor the process as such rules are proposed and adopted.</w:t>
      </w:r>
    </w:p>
    <w:p>
      <w:pPr>
        <w:spacing w:after="0" w:line="26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Company’s segment information for the three month and six month periods ended June 30, 2012 and 2011 is prepared using the following methodology:</w:t>
      </w:r>
    </w:p>
    <w:p>
      <w:pPr>
        <w:spacing w:after="0" w:line="5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revenue, headcount, square footage and other factors.</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tbl>
      <w:tblPr>
        <w:tblLayout w:type="fixed"/>
        <w:tblInd w:w="0" w:type="dxa"/>
        <w:tblCellMar>
          <w:top w:w="0" w:type="dxa"/>
          <w:left w:w="0" w:type="dxa"/>
          <w:bottom w:w="0" w:type="dxa"/>
          <w:right w:w="0" w:type="dxa"/>
        </w:tblCellMar>
      </w:tblPr>
      <w:tr>
        <w:trPr>
          <w:trHeight w:val="138"/>
        </w:trPr>
        <w:tc>
          <w:tcPr>
            <w:tcW w:w="8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right"/>
              <w:ind w:right="512"/>
              <w:spacing w:after="0" w:line="139" w:lineRule="exact"/>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7"/>
          </w:tcPr>
          <w:p>
            <w:pPr>
              <w:jc w:val="right"/>
              <w:ind w:right="320"/>
              <w:spacing w:after="0" w:line="139" w:lineRule="exact"/>
              <w:rPr>
                <w:sz w:val="20"/>
                <w:szCs w:val="20"/>
                <w:color w:val="auto"/>
              </w:rPr>
            </w:pPr>
            <w:r>
              <w:rPr>
                <w:rFonts w:ascii="Arial" w:cs="Arial" w:eastAsia="Arial" w:hAnsi="Arial"/>
                <w:sz w:val="14"/>
                <w:szCs w:val="14"/>
                <w:b w:val="1"/>
                <w:bCs w:val="1"/>
                <w:color w:val="auto"/>
                <w:w w:val="88"/>
              </w:rPr>
              <w:t>Six Months Ended June</w:t>
            </w: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Financial Advisory</w:t>
            </w:r>
          </w:p>
        </w:tc>
        <w:tc>
          <w:tcPr>
            <w:tcW w:w="2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20" w:type="dxa"/>
            <w:vAlign w:val="bottom"/>
            <w:gridSpan w:val="2"/>
            <w:vMerge w:val="continue"/>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CCEEFF"/>
          </w:tcPr>
          <w:p>
            <w:pPr>
              <w:spacing w:after="0"/>
              <w:rPr>
                <w:sz w:val="18"/>
                <w:szCs w:val="18"/>
                <w:color w:val="auto"/>
              </w:rPr>
            </w:pPr>
          </w:p>
        </w:tc>
        <w:tc>
          <w:tcPr>
            <w:tcW w:w="3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242,624</w:t>
            </w:r>
          </w:p>
        </w:tc>
        <w:tc>
          <w:tcPr>
            <w:tcW w:w="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$249,191</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$519,820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478,036</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40" w:type="dxa"/>
            <w:vAlign w:val="bottom"/>
          </w:tcPr>
          <w:p>
            <w:pPr>
              <w:ind w:left="1340"/>
              <w:spacing w:after="0"/>
              <w:rPr>
                <w:sz w:val="20"/>
                <w:szCs w:val="20"/>
                <w:color w:val="auto"/>
              </w:rPr>
            </w:pPr>
            <w:r>
              <w:rPr>
                <w:rFonts w:ascii="Arial" w:cs="Arial" w:eastAsia="Arial" w:hAnsi="Arial"/>
                <w:sz w:val="18"/>
                <w:szCs w:val="18"/>
                <w:color w:val="auto"/>
              </w:rPr>
              <w:t>Operating Expenses</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231,200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214,217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481,097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427,783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34,974</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$ 38,723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50,253</w:t>
            </w:r>
          </w:p>
        </w:tc>
        <w:tc>
          <w:tcPr>
            <w:tcW w:w="0" w:type="dxa"/>
            <w:vAlign w:val="bottom"/>
          </w:tcPr>
          <w:p>
            <w:pPr>
              <w:spacing w:after="0"/>
              <w:rPr>
                <w:sz w:val="1"/>
                <w:szCs w:val="1"/>
                <w:color w:val="auto"/>
              </w:rPr>
            </w:pPr>
          </w:p>
        </w:tc>
      </w:tr>
      <w:tr>
        <w:trPr>
          <w:trHeight w:val="33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2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CCEEFF"/>
          </w:tcPr>
          <w:p>
            <w:pPr>
              <w:spacing w:after="0"/>
              <w:rPr>
                <w:sz w:val="18"/>
                <w:szCs w:val="18"/>
                <w:color w:val="auto"/>
              </w:rPr>
            </w:pPr>
          </w:p>
        </w:tc>
        <w:tc>
          <w:tcPr>
            <w:tcW w:w="3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211,053</w:t>
            </w:r>
          </w:p>
        </w:tc>
        <w:tc>
          <w:tcPr>
            <w:tcW w:w="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$244,855</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$425,580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471,708</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40" w:type="dxa"/>
            <w:vAlign w:val="bottom"/>
          </w:tcPr>
          <w:p>
            <w:pPr>
              <w:ind w:left="1340"/>
              <w:spacing w:after="0"/>
              <w:rPr>
                <w:sz w:val="20"/>
                <w:szCs w:val="20"/>
                <w:color w:val="auto"/>
              </w:rPr>
            </w:pPr>
            <w:r>
              <w:rPr>
                <w:rFonts w:ascii="Arial" w:cs="Arial" w:eastAsia="Arial" w:hAnsi="Arial"/>
                <w:sz w:val="18"/>
                <w:szCs w:val="18"/>
                <w:color w:val="auto"/>
              </w:rPr>
              <w:t>Operating Expenses</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156,616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160,914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317,106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310,118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54,437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83,941</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108,474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161,590</w:t>
            </w:r>
          </w:p>
        </w:tc>
        <w:tc>
          <w:tcPr>
            <w:tcW w:w="0" w:type="dxa"/>
            <w:vAlign w:val="bottom"/>
          </w:tcPr>
          <w:p>
            <w:pPr>
              <w:spacing w:after="0"/>
              <w:rPr>
                <w:sz w:val="1"/>
                <w:szCs w:val="1"/>
                <w:color w:val="auto"/>
              </w:rPr>
            </w:pPr>
          </w:p>
        </w:tc>
      </w:tr>
      <w:tr>
        <w:trPr>
          <w:trHeight w:val="33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Corporate</w:t>
            </w:r>
          </w:p>
        </w:tc>
        <w:tc>
          <w:tcPr>
            <w:tcW w:w="2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CCEEFF"/>
          </w:tcPr>
          <w:p>
            <w:pPr>
              <w:spacing w:after="0"/>
              <w:rPr>
                <w:sz w:val="18"/>
                <w:szCs w:val="18"/>
                <w:color w:val="auto"/>
              </w:rPr>
            </w:pPr>
          </w:p>
        </w:tc>
        <w:tc>
          <w:tcPr>
            <w:tcW w:w="3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(16,740)</w:t>
            </w:r>
          </w:p>
        </w:tc>
        <w:tc>
          <w:tcPr>
            <w:tcW w:w="98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w w:val="87"/>
              </w:rPr>
              <w:t>$ (16,334)</w:t>
            </w: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(27,935)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(33,819)</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40" w:type="dxa"/>
            <w:vAlign w:val="bottom"/>
          </w:tcPr>
          <w:p>
            <w:pPr>
              <w:ind w:left="1340"/>
              <w:spacing w:after="0"/>
              <w:rPr>
                <w:sz w:val="20"/>
                <w:szCs w:val="20"/>
                <w:color w:val="auto"/>
              </w:rPr>
            </w:pPr>
            <w:r>
              <w:rPr>
                <w:rFonts w:ascii="Arial" w:cs="Arial" w:eastAsia="Arial" w:hAnsi="Arial"/>
                <w:sz w:val="18"/>
                <w:szCs w:val="18"/>
                <w:color w:val="auto"/>
              </w:rPr>
              <w:t>Operating Expenses</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12,129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41,230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Loss</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(20,407)</w:t>
            </w:r>
          </w:p>
        </w:tc>
        <w:tc>
          <w:tcPr>
            <w:tcW w:w="98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w w:val="87"/>
              </w:rPr>
              <w:t>$ (28,463)</w:t>
            </w: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(69,165)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(47,495)</w:t>
            </w:r>
          </w:p>
        </w:tc>
        <w:tc>
          <w:tcPr>
            <w:tcW w:w="0" w:type="dxa"/>
            <w:vAlign w:val="bottom"/>
          </w:tcPr>
          <w:p>
            <w:pPr>
              <w:spacing w:after="0"/>
              <w:rPr>
                <w:sz w:val="1"/>
                <w:szCs w:val="1"/>
                <w:color w:val="auto"/>
              </w:rPr>
            </w:pPr>
          </w:p>
        </w:tc>
      </w:tr>
      <w:tr>
        <w:trPr>
          <w:trHeight w:val="33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CCEEFF"/>
          </w:tcPr>
          <w:p>
            <w:pPr>
              <w:spacing w:after="0"/>
              <w:rPr>
                <w:sz w:val="18"/>
                <w:szCs w:val="18"/>
                <w:color w:val="auto"/>
              </w:rPr>
            </w:pPr>
          </w:p>
        </w:tc>
        <w:tc>
          <w:tcPr>
            <w:tcW w:w="3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436,937</w:t>
            </w:r>
          </w:p>
        </w:tc>
        <w:tc>
          <w:tcPr>
            <w:tcW w:w="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$477,712</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$917,465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915,925</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40" w:type="dxa"/>
            <w:vAlign w:val="bottom"/>
          </w:tcPr>
          <w:p>
            <w:pPr>
              <w:ind w:left="1340"/>
              <w:spacing w:after="0"/>
              <w:rPr>
                <w:sz w:val="20"/>
                <w:szCs w:val="20"/>
                <w:color w:val="auto"/>
              </w:rPr>
            </w:pPr>
            <w:r>
              <w:rPr>
                <w:rFonts w:ascii="Arial" w:cs="Arial" w:eastAsia="Arial" w:hAnsi="Arial"/>
                <w:sz w:val="18"/>
                <w:szCs w:val="18"/>
                <w:color w:val="auto"/>
              </w:rPr>
              <w:t>Operating Expenses</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391,483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387,260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839,433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751,577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45,454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90,452</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$ 78,032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164,348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Financial Advisory</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8"/>
              </w:rPr>
              <w:t>$  747,456</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  767,699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491,239</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583,524</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1,872,757</w:t>
            </w:r>
          </w:p>
        </w:tc>
        <w:tc>
          <w:tcPr>
            <w:tcW w:w="280" w:type="dxa"/>
            <w:vAlign w:val="bottom"/>
            <w:gridSpan w:val="2"/>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1,686,230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3,111,452</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3,037,453</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700" w:type="dxa"/>
            <w:vAlign w:val="bottom"/>
            <w:vMerge w:val="restart"/>
          </w:tcPr>
          <w:p>
            <w:pPr>
              <w:jc w:val="right"/>
              <w:ind w:right="14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2011 (the “Form 10-K”). All references to “2012”, “2011”, “second quarter”, “first half” or “the period” refer to, as the context requires, the three month and six month periods ended June 30, 2012 and June 30,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levels of 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(“LAM”) and its subsidiaries.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Our websites and the information contained therein or connected thereto shall not be deemed to be incorporated into this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Lazard is a preeminent financial advisory and asset management firm.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Europe, North America, Asia, Australia, the Middle East and Central and South America.</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6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Asset Management, which offers a broad range of investment solutions and investment management services in equity and fixed income strategies, alternative investments and private equity funds to corporations, public funds, sovereign entities, endowments and foundations, labor funds, financial intermediaries and private clients globally.</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record outstanding indebtedness in our Corporate segment.</w:t>
      </w:r>
    </w:p>
    <w:p>
      <w:pPr>
        <w:spacing w:after="0" w:line="85"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by our segments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82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3"/>
          </w:tcPr>
          <w:p>
            <w:pPr>
              <w:jc w:val="right"/>
              <w:ind w:right="16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52%</w:t>
            </w:r>
          </w:p>
        </w:tc>
        <w:tc>
          <w:tcPr>
            <w:tcW w:w="144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Asset Management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2120" w:type="dxa"/>
            <w:vAlign w:val="bottom"/>
            <w:gridSpan w:val="3"/>
          </w:tcPr>
          <w:p>
            <w:pPr>
              <w:jc w:val="right"/>
              <w:ind w:right="880"/>
              <w:spacing w:after="0"/>
              <w:rPr>
                <w:sz w:val="20"/>
                <w:szCs w:val="20"/>
                <w:color w:val="auto"/>
              </w:rPr>
            </w:pPr>
            <w:r>
              <w:rPr>
                <w:rFonts w:ascii="Arial" w:cs="Arial" w:eastAsia="Arial" w:hAnsi="Arial"/>
                <w:sz w:val="18"/>
                <w:szCs w:val="18"/>
                <w:color w:val="auto"/>
              </w:rPr>
              <w:t>51</w:t>
            </w: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1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(3)</w:t>
            </w:r>
          </w:p>
        </w:tc>
        <w:tc>
          <w:tcPr>
            <w:tcW w:w="144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vMerge w:val="continue"/>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12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67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120" w:firstLine="8"/>
        <w:spacing w:after="0" w:line="287" w:lineRule="auto"/>
        <w:tabs>
          <w:tab w:leader="none" w:pos="21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(ii) Lazard Australia Corporate Opportunities Fund 2 (“COF 2”) which has an opportunistic investment strategy focused on the Australian mid-market, (iii) a mezzanine fund, which invests in mezzanine debt of a diversified selection of small- to mid-cap European companies, (iv) Corporate Partners II Limited (“CP II”), a private equity fund targeting significant non-controlling investments in established public and private companies and (v) Lazard Senior Housing Partners LP (“Senior Housing”), which acquires companies and assets in the senior housing, extended stay and shopping center sectors.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LLC (“LFCM Holdings”), we may explore discrete capital markets opportunities.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for the most part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Overall, global equity market indices at June 30, 2012 generally increased when compared to such indices at December 31, 2011, with declines in the indices during the second quarter of 2012. On an industry-wide basis, during the first half of 2012, capital-raising and M&amp;A activity has generally decreased as compared to the corresponding period in 2011. The announced value and number of global M&amp;A transactions decreased in both the first half and second quarter of 2012 as compared to the corresponding periods in 2011. Restructuring volume declined in the second quarter of 2012, as compared to the corresponding period in 2011, despite an increase in the number of corporate defaults.</w:t>
      </w:r>
    </w:p>
    <w:p>
      <w:pPr>
        <w:spacing w:after="0" w:line="11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In mid-2012, interest rates remain low and corporate cash balances remain high. Macroeconomic conditions remain uncertain, however, especially with respect to Europe. The breadth of our businesses has mitigated the impact of the European financial crisis. Although European M&amp;A activity has declined in the second quarter of 2012 and affected our Financial Advisory business, we believe our market share has risen and other advisory opportunities, including opportunities for our Restructuring, Debt Advisory, Capital Markets Advisory and Sovereign Advisory businesses, have offset the slowdown. In our Asset Management business, most of LAM’s European clients are invested primarily outside of Europe. Those who are invested in Europe are investing primarily in European fixed income, which has not had a significant impact on our Asset Management business. Nonetheless, the business situation in Europe remains challenging.</w:t>
      </w:r>
    </w:p>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intend to leverage our existing infrastructure to capitalize on any global macroeconomic recovery, any upturn in the M&amp;A cycle, and any momentum in the global equity markets. We expect to generate revenue growth by remaining adequately staffed to capitalize on any macroeconomic recovery and deploying our intellectual capital to generate new revenue streams. We also remain focused on expense management. More specifically, with respect to our Financial Advisory and Asset Management businesses, our outlook is described below.</w:t>
      </w:r>
    </w:p>
    <w:p>
      <w:pPr>
        <w:spacing w:after="0" w:line="184" w:lineRule="exact"/>
        <w:rPr>
          <w:sz w:val="20"/>
          <w:szCs w:val="20"/>
          <w:color w:val="auto"/>
        </w:rPr>
      </w:pPr>
    </w:p>
    <w:p>
      <w:pPr>
        <w:ind w:left="900" w:right="40" w:hanging="325"/>
        <w:spacing w:after="0" w:line="291"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near- to mid-term, we expect that the U.S. macroeconomic environment likely will be the strongest of the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economies. Certain legal decisions in the U.S. reinforce the importance of independent advice, and the global scale and breadth of our Financial Advisory business allows us to advise on large, complex cross-border transactions across a variety of industries. In Europe, we believe our Restructuring, Debt Advisory, Capital Markets Advisory and Sovereign Advisory businesses have positive growth prospects. In addition, we believe our businesses throughout the emerging markets, Japan and Australia position us for growth in these markets, while strengthening and distinguishing our relationships with clients in developed economies.</w:t>
      </w:r>
    </w:p>
    <w:p>
      <w:pPr>
        <w:spacing w:after="0" w:line="160" w:lineRule="exact"/>
        <w:rPr>
          <w:rFonts w:ascii="Arial" w:cs="Arial" w:eastAsia="Arial" w:hAnsi="Arial"/>
          <w:sz w:val="16"/>
          <w:szCs w:val="16"/>
          <w:color w:val="auto"/>
        </w:rPr>
      </w:pPr>
    </w:p>
    <w:p>
      <w:pPr>
        <w:ind w:left="900" w:right="80" w:hanging="325"/>
        <w:spacing w:after="0" w:line="288"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Despite turbulent markets, we have recently seen investor demand across regions and investments platforms, though demand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decline if volatility continues. In the short to intermediate term, 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Recent examples of growth initiatives include the following investment strategies: Emerging Market Debt, Latin America Equity, Core Emerging Markets, Real Estate and Global Trend.</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from time to time,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statements. See the section entitled “Risk Factors” in our Form 10-K. Furthermore, net income and revenue in any period may not be indicative of full-year results or the results of any other period and may vary significantly from year to year and quarter to quarter. Overall, we continue to focus on the development of our business in this environment, including the generation of stable revenue and earnings growth and return on equity during periods of macroeconomic volatility, the prudent management of our costs and expenses and the efficient use of our capital.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are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As reflected in the following table, which sets forth industry statistics regarding the value and number of global and Trans-Atlantic completed and announced M&amp;A transactions, for the first half of 2012, the value and number of such transactions generally decreased compared to the corresponding 2011 period, reflecting transactions with lower average values. During the second quarter of 2012, the value and number of completed and announced transactions generally decreased as compared to the corresponding period in 2011.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w w:val="92"/>
              </w:rPr>
              <w:t>Three Months Ended</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w w:val="95"/>
              </w:rPr>
              <w:t>Six Months Ended</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434"/>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jc w:val="center"/>
              <w:ind w:left="99"/>
              <w:spacing w:after="0" w:line="12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jc w:val="center"/>
              <w:ind w:left="118"/>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49"/>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Incr /</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Incr /</w:t>
            </w:r>
          </w:p>
        </w:tc>
      </w:t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2012</w:t>
            </w:r>
          </w:p>
        </w:tc>
        <w:tc>
          <w:tcPr>
            <w:tcW w:w="600" w:type="dxa"/>
            <w:vAlign w:val="bottom"/>
          </w:tcPr>
          <w:p>
            <w:pPr>
              <w:spacing w:after="0"/>
              <w:rPr>
                <w:sz w:val="14"/>
                <w:szCs w:val="14"/>
                <w:color w:val="auto"/>
              </w:rPr>
            </w:pPr>
          </w:p>
        </w:tc>
        <w:tc>
          <w:tcPr>
            <w:tcW w:w="880" w:type="dxa"/>
            <w:vAlign w:val="bottom"/>
          </w:tcPr>
          <w:p>
            <w:pPr>
              <w:jc w:val="right"/>
              <w:ind w:right="474"/>
              <w:spacing w:after="0"/>
              <w:rPr>
                <w:sz w:val="20"/>
                <w:szCs w:val="20"/>
                <w:color w:val="auto"/>
              </w:rPr>
            </w:pPr>
            <w:r>
              <w:rPr>
                <w:rFonts w:ascii="Arial" w:cs="Arial" w:eastAsia="Arial" w:hAnsi="Arial"/>
                <w:sz w:val="14"/>
                <w:szCs w:val="14"/>
                <w:b w:val="1"/>
                <w:bCs w:val="1"/>
                <w:color w:val="auto"/>
                <w:w w:val="96"/>
              </w:rPr>
              <w:t>2011</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(Decr)</w:t>
            </w:r>
          </w:p>
        </w:tc>
        <w:tc>
          <w:tcPr>
            <w:tcW w:w="100" w:type="dxa"/>
            <w:vAlign w:val="bottom"/>
          </w:tcPr>
          <w:p>
            <w:pPr>
              <w:spacing w:after="0"/>
              <w:rPr>
                <w:sz w:val="14"/>
                <w:szCs w:val="14"/>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4"/>
                <w:szCs w:val="14"/>
                <w:color w:val="auto"/>
              </w:rPr>
            </w:pPr>
          </w:p>
        </w:tc>
        <w:tc>
          <w:tcPr>
            <w:tcW w:w="840" w:type="dxa"/>
            <w:vAlign w:val="bottom"/>
          </w:tcPr>
          <w:p>
            <w:pPr>
              <w:jc w:val="right"/>
              <w:ind w:right="434"/>
              <w:spacing w:after="0"/>
              <w:rPr>
                <w:sz w:val="20"/>
                <w:szCs w:val="20"/>
                <w:color w:val="auto"/>
              </w:rPr>
            </w:pPr>
            <w:r>
              <w:rPr>
                <w:rFonts w:ascii="Arial" w:cs="Arial" w:eastAsia="Arial" w:hAnsi="Arial"/>
                <w:sz w:val="14"/>
                <w:szCs w:val="14"/>
                <w:b w:val="1"/>
                <w:bCs w:val="1"/>
                <w:color w:val="auto"/>
                <w:w w:val="96"/>
              </w:rPr>
              <w:t>2011</w:t>
            </w: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(Decr)</w:t>
            </w:r>
          </w:p>
        </w:tc>
      </w:tr>
      <w:tr>
        <w:trPr>
          <w:trHeight w:val="156"/>
        </w:trPr>
        <w:tc>
          <w:tcPr>
            <w:tcW w:w="5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 in billions)</w:t>
            </w:r>
          </w:p>
        </w:tc>
        <w:tc>
          <w:tcPr>
            <w:tcW w:w="6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838</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1,559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510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9,559</w:t>
            </w:r>
          </w:p>
        </w:tc>
        <w:tc>
          <w:tcPr>
            <w:tcW w:w="600" w:type="dxa"/>
            <w:vAlign w:val="bottom"/>
          </w:tcPr>
          <w:p>
            <w:pPr>
              <w:spacing w:after="0"/>
              <w:rPr>
                <w:sz w:val="18"/>
                <w:szCs w:val="18"/>
                <w:color w:val="auto"/>
              </w:rPr>
            </w:pPr>
          </w:p>
        </w:tc>
        <w:tc>
          <w:tcPr>
            <w:tcW w:w="880" w:type="dxa"/>
            <w:vAlign w:val="bottom"/>
          </w:tcPr>
          <w:p>
            <w:pPr>
              <w:jc w:val="right"/>
              <w:ind w:right="314"/>
              <w:spacing w:after="0"/>
              <w:rPr>
                <w:sz w:val="20"/>
                <w:szCs w:val="20"/>
                <w:color w:val="auto"/>
              </w:rPr>
            </w:pPr>
            <w:r>
              <w:rPr>
                <w:rFonts w:ascii="Arial" w:cs="Arial" w:eastAsia="Arial" w:hAnsi="Arial"/>
                <w:sz w:val="18"/>
                <w:szCs w:val="18"/>
                <w:color w:val="auto"/>
                <w:w w:val="83"/>
              </w:rPr>
              <w:t>11,428</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20,052</w:t>
            </w:r>
          </w:p>
        </w:tc>
        <w:tc>
          <w:tcPr>
            <w:tcW w:w="560" w:type="dxa"/>
            <w:vAlign w:val="bottom"/>
          </w:tcPr>
          <w:p>
            <w:pPr>
              <w:spacing w:after="0"/>
              <w:rPr>
                <w:sz w:val="18"/>
                <w:szCs w:val="18"/>
                <w:color w:val="auto"/>
              </w:rPr>
            </w:pPr>
          </w:p>
        </w:tc>
        <w:tc>
          <w:tcPr>
            <w:tcW w:w="840" w:type="dxa"/>
            <w:vAlign w:val="bottom"/>
          </w:tcPr>
          <w:p>
            <w:pPr>
              <w:jc w:val="right"/>
              <w:ind w:right="274"/>
              <w:spacing w:after="0"/>
              <w:rPr>
                <w:sz w:val="20"/>
                <w:szCs w:val="20"/>
                <w:color w:val="auto"/>
              </w:rPr>
            </w:pPr>
            <w:r>
              <w:rPr>
                <w:rFonts w:ascii="Arial" w:cs="Arial" w:eastAsia="Arial" w:hAnsi="Arial"/>
                <w:sz w:val="18"/>
                <w:szCs w:val="18"/>
                <w:color w:val="auto"/>
                <w:w w:val="83"/>
              </w:rPr>
              <w:t>22,708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Trans-Atlantic:</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10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92</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4"/>
              <w:spacing w:after="0"/>
              <w:rPr>
                <w:sz w:val="20"/>
                <w:szCs w:val="20"/>
                <w:color w:val="auto"/>
              </w:rPr>
            </w:pPr>
            <w:r>
              <w:rPr>
                <w:rFonts w:ascii="Arial" w:cs="Arial" w:eastAsia="Arial" w:hAnsi="Arial"/>
                <w:sz w:val="18"/>
                <w:szCs w:val="18"/>
                <w:color w:val="auto"/>
              </w:rPr>
              <w:t>122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5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409</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747</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827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10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597</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753</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1,268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4"/>
              <w:spacing w:after="0"/>
              <w:rPr>
                <w:sz w:val="20"/>
                <w:szCs w:val="20"/>
                <w:color w:val="auto"/>
              </w:rPr>
            </w:pPr>
            <w:r>
              <w:rPr>
                <w:rFonts w:ascii="Arial" w:cs="Arial" w:eastAsia="Arial" w:hAnsi="Arial"/>
                <w:sz w:val="18"/>
                <w:szCs w:val="18"/>
                <w:color w:val="auto"/>
              </w:rPr>
              <w:t>1,508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5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10,865</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83"/>
              </w:rPr>
              <w:t>11,438</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7"/>
              </w:rPr>
              <w:t>20,976</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3"/>
              </w:rPr>
              <w:t>22,916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Trans-Atlantic:</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62</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118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22"/>
        </w:trPr>
        <w:tc>
          <w:tcPr>
            <w:tcW w:w="510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424</w:t>
            </w:r>
          </w:p>
        </w:tc>
        <w:tc>
          <w:tcPr>
            <w:tcW w:w="600" w:type="dxa"/>
            <w:vAlign w:val="bottom"/>
          </w:tcPr>
          <w:p>
            <w:pPr>
              <w:spacing w:after="0"/>
              <w:rPr>
                <w:sz w:val="19"/>
                <w:szCs w:val="19"/>
                <w:color w:val="auto"/>
              </w:rPr>
            </w:pP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421</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800</w:t>
            </w:r>
          </w:p>
        </w:tc>
        <w:tc>
          <w:tcPr>
            <w:tcW w:w="560" w:type="dxa"/>
            <w:vAlign w:val="bottom"/>
          </w:tcPr>
          <w:p>
            <w:pPr>
              <w:spacing w:after="0"/>
              <w:rPr>
                <w:sz w:val="19"/>
                <w:szCs w:val="19"/>
                <w:color w:val="auto"/>
              </w:rPr>
            </w:pPr>
          </w:p>
        </w:tc>
        <w:tc>
          <w:tcPr>
            <w:tcW w:w="840" w:type="dxa"/>
            <w:vAlign w:val="bottom"/>
          </w:tcPr>
          <w:p>
            <w:pPr>
              <w:jc w:val="right"/>
              <w:ind w:right="274"/>
              <w:spacing w:after="0"/>
              <w:rPr>
                <w:sz w:val="20"/>
                <w:szCs w:val="20"/>
                <w:color w:val="auto"/>
              </w:rPr>
            </w:pPr>
            <w:r>
              <w:rPr>
                <w:rFonts w:ascii="Arial" w:cs="Arial" w:eastAsia="Arial" w:hAnsi="Arial"/>
                <w:sz w:val="18"/>
                <w:szCs w:val="18"/>
                <w:color w:val="auto"/>
              </w:rPr>
              <w:t>852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July 11, 2012.</w:t>
      </w:r>
    </w:p>
    <w:p>
      <w:pPr>
        <w:spacing w:after="0" w:line="171"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Global restructuring activity during the first half of 2012, as measured by the value of debt defaults, decreased from the corresponding period in 2011. However, the number of issuers defaulting increased to 33 in the first half of 2012, according to Moody’s Investors Service, Inc., as compared to 13 in the corresponding period of 2011, with approximately two-thirds of such activity occurring in the first quarter of each respective year. Our Restructuring activities include advising companies on matters relating to debt restructurings, refinancings and other on- and off-balance sheet assignments, and our assignments are generally executed over a six- to eighteen-month period.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shown in the table below, major equity market indices at June 30, 2012 generally increased when compared to such indices at December 31, 2011 and decreased as compared to March 31, 2012. When compared to indices at June 30, 2011, the U.S. markets increased, while global markets and markets outside the U.S. decreased.</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Percentage Changes</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5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rPr>
              <w:t>June 30, 2012 vs.</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440" w:type="dxa"/>
            <w:vAlign w:val="bottom"/>
          </w:tcPr>
          <w:p>
            <w:pPr>
              <w:spacing w:after="0"/>
              <w:rPr>
                <w:sz w:val="11"/>
                <w:szCs w:val="11"/>
                <w:color w:val="auto"/>
              </w:rPr>
            </w:pPr>
          </w:p>
        </w:tc>
        <w:tc>
          <w:tcPr>
            <w:tcW w:w="10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March 31,</w:t>
            </w:r>
          </w:p>
        </w:tc>
        <w:tc>
          <w:tcPr>
            <w:tcW w:w="540" w:type="dxa"/>
            <w:vAlign w:val="bottom"/>
          </w:tcPr>
          <w:p>
            <w:pPr>
              <w:spacing w:after="0"/>
              <w:rPr>
                <w:sz w:val="11"/>
                <w:szCs w:val="11"/>
                <w:color w:val="auto"/>
              </w:rPr>
            </w:pPr>
          </w:p>
        </w:tc>
        <w:tc>
          <w:tcPr>
            <w:tcW w:w="1780" w:type="dxa"/>
            <w:vAlign w:val="bottom"/>
            <w:gridSpan w:val="2"/>
          </w:tcPr>
          <w:p>
            <w:pPr>
              <w:jc w:val="right"/>
              <w:ind w:right="9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1"/>
                <w:szCs w:val="11"/>
                <w:color w:val="auto"/>
              </w:rPr>
            </w:pPr>
          </w:p>
        </w:tc>
      </w:tr>
      <w:tr>
        <w:trPr>
          <w:trHeight w:val="161"/>
        </w:trPr>
        <w:tc>
          <w:tcPr>
            <w:tcW w:w="54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2011</w:t>
            </w:r>
          </w:p>
        </w:tc>
        <w:tc>
          <w:tcPr>
            <w:tcW w:w="9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r>
      <w:tr>
        <w:trPr>
          <w:trHeight w:val="210"/>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CAC 40</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320" w:type="dxa"/>
            <w:vAlign w:val="bottom"/>
            <w:gridSpan w:val="3"/>
          </w:tcPr>
          <w:p>
            <w:pPr>
              <w:jc w:val="right"/>
              <w:ind w:right="820"/>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3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FTSE 100</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320" w:type="dxa"/>
            <w:vAlign w:val="bottom"/>
            <w:gridSpan w:val="3"/>
          </w:tcPr>
          <w:p>
            <w:pPr>
              <w:jc w:val="right"/>
              <w:ind w:right="82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3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MSCI Emerging Market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320" w:type="dxa"/>
            <w:vAlign w:val="bottom"/>
            <w:gridSpan w:val="3"/>
          </w:tcPr>
          <w:p>
            <w:pPr>
              <w:jc w:val="right"/>
              <w:ind w:right="820"/>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3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NASDAQ</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320" w:type="dxa"/>
            <w:vAlign w:val="bottom"/>
            <w:gridSpan w:val="3"/>
          </w:tcPr>
          <w:p>
            <w:pPr>
              <w:jc w:val="right"/>
              <w:ind w:right="820"/>
              <w:spacing w:after="0"/>
              <w:rPr>
                <w:sz w:val="20"/>
                <w:szCs w:val="20"/>
                <w:color w:val="auto"/>
              </w:rPr>
            </w:pPr>
            <w:r>
              <w:rPr>
                <w:rFonts w:ascii="Arial" w:cs="Arial" w:eastAsia="Arial" w:hAnsi="Arial"/>
                <w:sz w:val="18"/>
                <w:szCs w:val="18"/>
                <w:color w:val="auto"/>
              </w:rPr>
              <w:t>13%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3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bl>
    <w:p>
      <w:pPr>
        <w:spacing w:after="0" w:line="15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reflect the changes in global market indices. Our AUM at June 30, 2012 increased 5% versus AUM at December 31, 2011 (primarily reflecting market appreciation), while our average AUM for the first half of 2012 decreased 6% as compared to our average AUM for the corresponding period of 2011. The lower levels of average AUM contributed to lower management fee revenues in the 2012 period when compared to the corresponding period in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0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Lazard’s Asset Management segment principally includes LAM, LFG and Edgewater. Asset Management net revenue is derived from fees for investment management and advisory services provided to institutional and private clients. As noted above, the main driver of Asset Management net revenue is the level of AUM, which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generally influenced by the performance of the global equity markets and, to a lesser extent, fixed income markets and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investments (such as hedge funds) and private equity investments, and lower fees earned on fixed income and cash management products.</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hedge funds in any year are applied against certain future period net appreciation before any incentive fees can be earned.</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Corporate segment net revenue consists primarily of investment gains and losses on the Company’s “seed investments” in LAM equity and fixed income funds and principal investments in equities and alternative asset management funds and “equity method” investments, as well as gains and losses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 The Company holds no “available-for-sale” or “held-to-maturity” investments.</w:t>
      </w:r>
    </w:p>
    <w:p>
      <w:pPr>
        <w:spacing w:after="0" w:line="11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Although Corporate segment net revenue during the first half of 2012 represented (3)% of Lazard’s net revenue, total assets in the Corporate segment represented 60% of Lazard’s consolidated total assets as of June 30, 2012, which is attributable to investments in government bonds and money market funds, fixed income funds, alternative asset management funds and other securities, private equity investments, cash and LFB’s assets.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(see Note 13 of Notes to Condensed Consolidated Financial Statements) including (a) share-based incentive compensation under the Lazard Ltd 2005 Equity Incentive Plan (the “2005 Plan”) and the Lazard Ltd 2008 Incentive Compensation Plan (the “2008 Plan”) and (b) Lazard Fund Interests awards and other similar deferred compensation arrangements (see Note 13 of Notes to Condensed Consolidated Financial Statements) and (iii) a provision for discretionary or guaranteed cash bonuses and profit pools. Compensation expense in any given period is dependent on many factors, including general economic and market conditions, our operating and financial performance, staffing levels, competitive pay conditions and the nature of revenues earned, as well as the mix between current and deferred compensation.</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calculations with respect to “adjusted compensation and benefits expense” and the ratio of “adjusted compensation and benefits expense” to “operating revenue,” see the table under “Consolidated Results of Operations” below.</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actual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as modified by the following items:</w:t>
      </w:r>
    </w:p>
    <w:p>
      <w:pPr>
        <w:spacing w:after="0" w:line="32" w:lineRule="exact"/>
        <w:rPr>
          <w:sz w:val="20"/>
          <w:szCs w:val="20"/>
          <w:color w:val="auto"/>
        </w:rPr>
      </w:pPr>
    </w:p>
    <w:p>
      <w:pPr>
        <w:ind w:left="900" w:right="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120" w:hanging="325"/>
        <w:spacing w:after="0" w:line="298"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grant date fair value of deferred incentive awards granted in 2012, 2011 and 2010 related to the 2011, 2010 and 2009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deferred compensation. Based on a similar mix of revenues from our business as today and a gradual improvement in the macroeconomic environment, we believe that over the cycle we can attain a ratio of awarded compensation and benefits expense to operating revenue in the mid-to-high-50s percentage range, which compares to 61.5% for the year ended December 31, 2011. While we have begun to implement initiatives that we believe will assist us in achieving a ratio within this range, there can be no guarantee that such a ratio will be achieved or that our policies or initiatives will not change in the future. We may benefit from pressure on compensation costs within the financial services industry in future periods, but increased competition for senior professionals, changes in the macroeconomic environment or the financial markets generally, lower operating revenue, changes in the mix of revenues from our businesses or various other factors could prevent us from achieving this goal.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and amortization of intangible assets related to acquisitions. Amortization of intangible assets relates primarily to the acquisition of Edgewater.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non-U.S. entities and to New York City Unincorporated Business Tax (“UBT”) attributable to Lazard’s operations apportioned to New York City.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Noncontrolling interests primarily relate to the amount attributable to Edgewater’s management vehicles that the Company is deemed to control but not own. See Note 12 of Notes to Condensed Consolidated Financial Statements for information regarding the Company’s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are prepared in conformity with accounting principles generally accepted in the United States of America (“U.S. GAAP”). Selected financial data from the Company’s reported condensed consolidated results of operations is set forth below, followed by a more detailed discussion of both the consolidated and business segment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6"/>
          </w:tcPr>
          <w:p>
            <w:pPr>
              <w:jc w:val="right"/>
              <w:ind w:right="1432"/>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5"/>
              </w:rPr>
              <w:t>($ 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4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436,937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54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w w:val="86"/>
              </w:rPr>
              <w:t>477,712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917,465</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915,925</w:t>
            </w:r>
          </w:p>
        </w:tc>
        <w:tc>
          <w:tcPr>
            <w:tcW w:w="0" w:type="dxa"/>
            <w:vAlign w:val="bottom"/>
          </w:tcPr>
          <w:p>
            <w:pPr>
              <w:spacing w:after="0"/>
              <w:rPr>
                <w:sz w:val="1"/>
                <w:szCs w:val="1"/>
                <w:color w:val="auto"/>
              </w:rPr>
            </w:pPr>
          </w:p>
        </w:tc>
      </w:tr>
      <w:tr>
        <w:trPr>
          <w:trHeight w:val="303"/>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283,380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w w:val="86"/>
              </w:rPr>
              <w:t>286,475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621,683</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556,471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105,543</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92"/>
              <w:spacing w:after="0"/>
              <w:rPr>
                <w:sz w:val="20"/>
                <w:szCs w:val="20"/>
                <w:color w:val="auto"/>
              </w:rPr>
            </w:pPr>
            <w:r>
              <w:rPr>
                <w:rFonts w:ascii="Arial" w:cs="Arial" w:eastAsia="Arial" w:hAnsi="Arial"/>
                <w:sz w:val="18"/>
                <w:szCs w:val="18"/>
                <w:color w:val="auto"/>
              </w:rPr>
              <w:t>99,079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214,072</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191,926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1,706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3,678</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391,483</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892"/>
              <w:spacing w:after="0"/>
              <w:rPr>
                <w:sz w:val="20"/>
                <w:szCs w:val="20"/>
                <w:color w:val="auto"/>
              </w:rPr>
            </w:pPr>
            <w:r>
              <w:rPr>
                <w:rFonts w:ascii="Arial" w:cs="Arial" w:eastAsia="Arial" w:hAnsi="Arial"/>
                <w:sz w:val="18"/>
                <w:szCs w:val="18"/>
                <w:color w:val="auto"/>
                <w:w w:val="86"/>
              </w:rPr>
              <w:t>387,260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839,433</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751,577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90,452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78,032</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10,535</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92"/>
              <w:spacing w:after="0"/>
              <w:rPr>
                <w:sz w:val="20"/>
                <w:szCs w:val="20"/>
                <w:color w:val="auto"/>
              </w:rPr>
            </w:pPr>
            <w:r>
              <w:rPr>
                <w:rFonts w:ascii="Arial" w:cs="Arial" w:eastAsia="Arial" w:hAnsi="Arial"/>
                <w:sz w:val="18"/>
                <w:szCs w:val="18"/>
                <w:color w:val="auto"/>
              </w:rPr>
              <w:t>13,717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15,369</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24,106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76,735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62,663</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140,242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w w:val="98"/>
              </w:rPr>
              <w:t>Less – Net Income Attributable to Noncontrolling Interests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92"/>
              <w:spacing w:after="0"/>
              <w:rPr>
                <w:sz w:val="20"/>
                <w:szCs w:val="20"/>
                <w:color w:val="auto"/>
              </w:rPr>
            </w:pPr>
            <w:r>
              <w:rPr>
                <w:rFonts w:ascii="Arial" w:cs="Arial" w:eastAsia="Arial" w:hAnsi="Arial"/>
                <w:sz w:val="18"/>
                <w:szCs w:val="18"/>
                <w:color w:val="auto"/>
              </w:rPr>
              <w:t>5,550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3,826</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71,185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58,837</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133,450</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52"/>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include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0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3"/>
                <w:szCs w:val="13"/>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9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20" w:type="dxa"/>
            <w:vAlign w:val="bottom"/>
            <w:gridSpan w:val="5"/>
          </w:tcPr>
          <w:p>
            <w:pPr>
              <w:jc w:val="right"/>
              <w:ind w:right="660"/>
              <w:spacing w:after="0" w:line="155" w:lineRule="exact"/>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$460,126</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$502,041</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$963,274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$964,578</w:t>
            </w: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LFB interest expense (a)</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(369)</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(970)</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(875)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(2,034)</w:t>
            </w: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(7,862)</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(8,948)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(11,288)</w:t>
            </w:r>
          </w:p>
        </w:tc>
      </w:tr>
      <w:tr>
        <w:trPr>
          <w:trHeight w:val="223"/>
        </w:trPr>
        <w:tc>
          <w:tcPr>
            <w:tcW w:w="20" w:type="dxa"/>
            <w:vAlign w:val="bottom"/>
          </w:tcPr>
          <w:p>
            <w:pPr>
              <w:spacing w:after="0"/>
              <w:rPr>
                <w:sz w:val="19"/>
                <w:szCs w:val="19"/>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Losses on investments pertaining to Lazard Fund Interests (c)</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4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458,104</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493,209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953,540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951,256</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5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expense incurred by LFB is reported as a charge in determining operating revenue because LFB is a commercial bank and we consider its interest expense to be a cost directly related to the revenues of its business.</w:t>
      </w: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Revenue related to the consolidation of noncontrolling interests is excluded because the Company has no economic interest in such amount.</w:t>
      </w:r>
    </w:p>
    <w:p>
      <w:pPr>
        <w:spacing w:after="0" w:line="32" w:lineRule="exact"/>
        <w:rPr>
          <w:rFonts w:ascii="Arial" w:cs="Arial" w:eastAsia="Arial" w:hAnsi="Arial"/>
          <w:sz w:val="16"/>
          <w:szCs w:val="16"/>
          <w:color w:val="auto"/>
        </w:rPr>
      </w:pPr>
    </w:p>
    <w:p>
      <w:pPr>
        <w:ind w:left="460" w:right="580" w:hanging="452"/>
        <w:spacing w:after="0" w:line="361"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Changes in the fair value of investments held in connection with Lazard Fund Interests and other similar deferred compensation arrangements that correspond to changes in the value of the related compensation liability, which is recorded within compensation and benefits expense, are excluded.</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5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gridSpan w:val="4"/>
          </w:tcPr>
          <w:p>
            <w:pPr>
              <w:jc w:val="right"/>
              <w:ind w:right="107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w w:val="90"/>
              </w:rPr>
              <w:t>$283,380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3"/>
              </w:rPr>
              <w:t>$286,475</w:t>
            </w:r>
          </w:p>
        </w:tc>
        <w:tc>
          <w:tcPr>
            <w:tcW w:w="6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0"/>
              </w:rPr>
              <w:t>$621,683</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$556,471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1260" w:type="dxa"/>
            <w:vAlign w:val="bottom"/>
            <w:gridSpan w:val="2"/>
          </w:tcPr>
          <w:p>
            <w:pPr>
              <w:jc w:val="right"/>
              <w:ind w:right="432"/>
              <w:spacing w:after="0"/>
              <w:rPr>
                <w:sz w:val="20"/>
                <w:szCs w:val="20"/>
                <w:color w:val="auto"/>
              </w:rPr>
            </w:pPr>
            <w:r>
              <w:rPr>
                <w:rFonts w:ascii="Arial" w:cs="Arial" w:eastAsia="Arial" w:hAnsi="Arial"/>
                <w:sz w:val="18"/>
                <w:szCs w:val="18"/>
                <w:color w:val="auto"/>
              </w:rPr>
              <w:t>(1,010)</w:t>
            </w: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(835)</w:t>
            </w:r>
          </w:p>
        </w:tc>
        <w:tc>
          <w:tcPr>
            <w:tcW w:w="1300" w:type="dxa"/>
            <w:vAlign w:val="bottom"/>
            <w:gridSpan w:val="2"/>
          </w:tcPr>
          <w:p>
            <w:pPr>
              <w:jc w:val="right"/>
              <w:ind w:right="472"/>
              <w:spacing w:after="0"/>
              <w:rPr>
                <w:sz w:val="20"/>
                <w:szCs w:val="20"/>
                <w:color w:val="auto"/>
              </w:rPr>
            </w:pPr>
            <w:r>
              <w:rPr>
                <w:rFonts w:ascii="Arial" w:cs="Arial" w:eastAsia="Arial" w:hAnsi="Arial"/>
                <w:sz w:val="18"/>
                <w:szCs w:val="18"/>
                <w:color w:val="auto"/>
              </w:rPr>
              <w:t>(2,090)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Credits pertaining to Lazard Fund Interests (b)</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2,856</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Costs related to staff reductions (c)</w:t>
            </w: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72"/>
              <w:spacing w:after="0"/>
              <w:rPr>
                <w:sz w:val="20"/>
                <w:szCs w:val="20"/>
                <w:color w:val="auto"/>
              </w:rPr>
            </w:pPr>
            <w:r>
              <w:rPr>
                <w:rFonts w:ascii="Arial" w:cs="Arial" w:eastAsia="Arial" w:hAnsi="Arial"/>
                <w:sz w:val="18"/>
                <w:szCs w:val="18"/>
                <w:color w:val="auto"/>
              </w:rPr>
              <w:t>(21,754)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285,226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285,640</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597,928</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554,558</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3"/>
            <w:vMerge w:val="continue"/>
          </w:tcPr>
          <w:p>
            <w:pPr>
              <w:spacing w:after="0"/>
              <w:rPr>
                <w:sz w:val="18"/>
                <w:szCs w:val="18"/>
                <w:color w:val="auto"/>
              </w:rPr>
            </w:pPr>
          </w:p>
        </w:tc>
        <w:tc>
          <w:tcPr>
            <w:tcW w:w="1260" w:type="dxa"/>
            <w:vAlign w:val="bottom"/>
            <w:gridSpan w:val="2"/>
          </w:tcPr>
          <w:p>
            <w:pPr>
              <w:jc w:val="right"/>
              <w:ind w:right="332"/>
              <w:spacing w:after="0"/>
              <w:rPr>
                <w:sz w:val="20"/>
                <w:szCs w:val="20"/>
                <w:color w:val="auto"/>
              </w:rPr>
            </w:pPr>
            <w:r>
              <w:rPr>
                <w:rFonts w:ascii="Arial" w:cs="Arial" w:eastAsia="Arial" w:hAnsi="Arial"/>
                <w:sz w:val="18"/>
                <w:szCs w:val="18"/>
                <w:color w:val="auto"/>
              </w:rPr>
              <w:t>62.3%</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57.9%</w:t>
            </w:r>
          </w:p>
        </w:tc>
        <w:tc>
          <w:tcPr>
            <w:tcW w:w="1300" w:type="dxa"/>
            <w:vAlign w:val="bottom"/>
            <w:gridSpan w:val="2"/>
          </w:tcPr>
          <w:p>
            <w:pPr>
              <w:jc w:val="right"/>
              <w:ind w:right="372"/>
              <w:spacing w:after="0"/>
              <w:rPr>
                <w:sz w:val="20"/>
                <w:szCs w:val="20"/>
                <w:color w:val="auto"/>
              </w:rPr>
            </w:pPr>
            <w:r>
              <w:rPr>
                <w:rFonts w:ascii="Arial" w:cs="Arial" w:eastAsia="Arial" w:hAnsi="Arial"/>
                <w:sz w:val="18"/>
                <w:szCs w:val="18"/>
                <w:color w:val="auto"/>
              </w:rPr>
              <w:t>62.7%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right="20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because such amounts correspond to the change in the fair value of the underlying investments, which are excluded from operating revenue.</w:t>
      </w:r>
    </w:p>
    <w:p>
      <w:pPr>
        <w:spacing w:after="0" w:line="1" w:lineRule="exact"/>
        <w:rPr>
          <w:rFonts w:ascii="Arial" w:cs="Arial" w:eastAsia="Arial" w:hAnsi="Arial"/>
          <w:sz w:val="18"/>
          <w:szCs w:val="18"/>
          <w:color w:val="auto"/>
        </w:rPr>
      </w:pPr>
    </w:p>
    <w:p>
      <w:pPr>
        <w:ind w:left="460" w:right="18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Severance costs and benefit payments associated with staff reductions, including the acceleration of unrecognized amortization expense of deferred incentive compensation previously granted to individuals being terminated, are excluded to enhance comparability of adjusted compensation and benefits expense relative to operating revenue between present, historical and future periods.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2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0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72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gridSpan w:val="4"/>
          </w:tcPr>
          <w:p>
            <w:pPr>
              <w:jc w:val="right"/>
              <w:ind w:right="92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$105,543</w:t>
            </w: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w w:val="92"/>
              </w:rPr>
              <w:t>$99,079</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$214,072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$191,926</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(658)</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(324)</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(1,299)</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Costs related to staff reductions (b)</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(2,905)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w:t>
            </w: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gridSpan w:val="2"/>
            <w:vMerge w:val="continue"/>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104,885</w:t>
            </w:r>
          </w:p>
        </w:tc>
        <w:tc>
          <w:tcPr>
            <w:tcW w:w="110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98,755</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209,868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191,268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20.0%</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hanging="452"/>
        <w:spacing w:after="0" w:line="261"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Non-compensation costs associated with staff reductions are excluded to enhance comparability of adjusted non-compensation expense relative to operating revenue between present, historical and future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13"/>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w w:val="99"/>
              </w:rPr>
              <w:t>June 30,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June 30,</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4"/>
          </w:tcPr>
          <w:p>
            <w:pPr>
              <w:jc w:val="center"/>
              <w:ind w:left="456"/>
              <w:spacing w:after="0" w:line="142" w:lineRule="exact"/>
              <w:rPr>
                <w:sz w:val="20"/>
                <w:szCs w:val="20"/>
                <w:color w:val="auto"/>
              </w:rPr>
            </w:pPr>
            <w:r>
              <w:rPr>
                <w:rFonts w:ascii="Arial" w:cs="Arial" w:eastAsia="Arial" w:hAnsi="Arial"/>
                <w:sz w:val="14"/>
                <w:szCs w:val="14"/>
                <w:b w:val="1"/>
                <w:bCs w:val="1"/>
                <w:color w:val="auto"/>
                <w:w w:val="83"/>
              </w:rPr>
              <w:t>2011</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16"/>
          </w:tcPr>
          <w:p>
            <w:pPr>
              <w:jc w:val="right"/>
              <w:ind w:right="1152"/>
              <w:spacing w:after="0" w:line="142" w:lineRule="exact"/>
              <w:rPr>
                <w:sz w:val="20"/>
                <w:szCs w:val="20"/>
                <w:color w:val="auto"/>
              </w:rPr>
            </w:pPr>
            <w:r>
              <w:rPr>
                <w:rFonts w:ascii="Arial" w:cs="Arial" w:eastAsia="Arial" w:hAnsi="Arial"/>
                <w:sz w:val="14"/>
                <w:szCs w:val="14"/>
                <w:b w:val="1"/>
                <w:bCs w:val="1"/>
                <w:color w:val="auto"/>
              </w:rPr>
              <w:t>($ in thousands)</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Operating revenue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w w:val="95"/>
              </w:rPr>
              <w:t>458,104</w:t>
            </w:r>
          </w:p>
        </w:tc>
        <w:tc>
          <w:tcPr>
            <w:tcW w:w="12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$ 493,209</w:t>
            </w:r>
          </w:p>
        </w:tc>
        <w:tc>
          <w:tcPr>
            <w:tcW w:w="100" w:type="dxa"/>
            <w:vAlign w:val="bottom"/>
          </w:tcPr>
          <w:p>
            <w:pPr>
              <w:spacing w:after="0"/>
              <w:rPr>
                <w:sz w:val="18"/>
                <w:szCs w:val="18"/>
                <w:color w:val="auto"/>
              </w:rPr>
            </w:pPr>
          </w:p>
        </w:tc>
        <w:tc>
          <w:tcPr>
            <w:tcW w:w="1320" w:type="dxa"/>
            <w:vAlign w:val="bottom"/>
            <w:gridSpan w:val="10"/>
          </w:tcPr>
          <w:p>
            <w:pPr>
              <w:jc w:val="right"/>
              <w:spacing w:after="0"/>
              <w:rPr>
                <w:sz w:val="20"/>
                <w:szCs w:val="20"/>
                <w:color w:val="auto"/>
              </w:rPr>
            </w:pPr>
            <w:r>
              <w:rPr>
                <w:rFonts w:ascii="Arial" w:cs="Arial" w:eastAsia="Arial" w:hAnsi="Arial"/>
                <w:sz w:val="18"/>
                <w:szCs w:val="18"/>
                <w:color w:val="auto"/>
              </w:rPr>
              <w:t>$ 953,540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7"/>
          </w:tcPr>
          <w:p>
            <w:pPr>
              <w:jc w:val="right"/>
              <w:ind w:right="180"/>
              <w:spacing w:after="0"/>
              <w:rPr>
                <w:sz w:val="20"/>
                <w:szCs w:val="20"/>
                <w:color w:val="auto"/>
              </w:rPr>
            </w:pPr>
            <w:r>
              <w:rPr>
                <w:rFonts w:ascii="Arial" w:cs="Arial" w:eastAsia="Arial" w:hAnsi="Arial"/>
                <w:sz w:val="18"/>
                <w:szCs w:val="18"/>
                <w:color w:val="auto"/>
                <w:w w:val="97"/>
              </w:rPr>
              <w:t>$ 951,256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Adjusted compensation and benefits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(285,226)</w:t>
            </w:r>
          </w:p>
        </w:tc>
        <w:tc>
          <w:tcPr>
            <w:tcW w:w="120" w:type="dxa"/>
            <w:vAlign w:val="bottom"/>
          </w:tcPr>
          <w:p>
            <w:pPr>
              <w:spacing w:after="0"/>
              <w:rPr>
                <w:sz w:val="18"/>
                <w:szCs w:val="18"/>
                <w:color w:val="auto"/>
              </w:rPr>
            </w:pPr>
          </w:p>
        </w:tc>
        <w:tc>
          <w:tcPr>
            <w:tcW w:w="1260" w:type="dxa"/>
            <w:vAlign w:val="bottom"/>
            <w:gridSpan w:val="6"/>
          </w:tcPr>
          <w:p>
            <w:pPr>
              <w:jc w:val="right"/>
              <w:ind w:right="40"/>
              <w:spacing w:after="0"/>
              <w:rPr>
                <w:sz w:val="20"/>
                <w:szCs w:val="20"/>
                <w:color w:val="auto"/>
              </w:rPr>
            </w:pPr>
            <w:r>
              <w:rPr>
                <w:rFonts w:ascii="Arial" w:cs="Arial" w:eastAsia="Arial" w:hAnsi="Arial"/>
                <w:sz w:val="18"/>
                <w:szCs w:val="18"/>
                <w:color w:val="auto"/>
              </w:rPr>
              <w:t>(285,640)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w w:val="90"/>
              </w:rPr>
              <w:t>(597,928)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7"/>
          </w:tcPr>
          <w:p>
            <w:pPr>
              <w:jc w:val="right"/>
              <w:ind w:right="120"/>
              <w:spacing w:after="0"/>
              <w:rPr>
                <w:sz w:val="20"/>
                <w:szCs w:val="20"/>
                <w:color w:val="auto"/>
              </w:rPr>
            </w:pPr>
            <w:r>
              <w:rPr>
                <w:rFonts w:ascii="Arial" w:cs="Arial" w:eastAsia="Arial" w:hAnsi="Arial"/>
                <w:sz w:val="18"/>
                <w:szCs w:val="18"/>
                <w:color w:val="auto"/>
              </w:rPr>
              <w:t>(554,558)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non-compensation expense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(104,885)</w:t>
            </w:r>
          </w:p>
        </w:tc>
        <w:tc>
          <w:tcPr>
            <w:tcW w:w="12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(98,755)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0"/>
              </w:rPr>
              <w:t>(209,868)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(191,268)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67,993</w:t>
            </w:r>
          </w:p>
        </w:tc>
        <w:tc>
          <w:tcPr>
            <w:tcW w:w="120" w:type="dxa"/>
            <w:vAlign w:val="bottom"/>
          </w:tcPr>
          <w:p>
            <w:pPr>
              <w:spacing w:after="0"/>
              <w:rPr>
                <w:sz w:val="19"/>
                <w:szCs w:val="19"/>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$ 108,814</w:t>
            </w:r>
          </w:p>
        </w:tc>
        <w:tc>
          <w:tcPr>
            <w:tcW w:w="100" w:type="dxa"/>
            <w:vAlign w:val="bottom"/>
          </w:tcPr>
          <w:p>
            <w:pPr>
              <w:spacing w:after="0"/>
              <w:rPr>
                <w:sz w:val="19"/>
                <w:szCs w:val="19"/>
                <w:color w:val="auto"/>
              </w:rPr>
            </w:pPr>
          </w:p>
        </w:tc>
        <w:tc>
          <w:tcPr>
            <w:tcW w:w="1320" w:type="dxa"/>
            <w:vAlign w:val="bottom"/>
            <w:gridSpan w:val="10"/>
          </w:tcPr>
          <w:p>
            <w:pPr>
              <w:jc w:val="right"/>
              <w:spacing w:after="0"/>
              <w:rPr>
                <w:sz w:val="20"/>
                <w:szCs w:val="20"/>
                <w:color w:val="auto"/>
              </w:rPr>
            </w:pPr>
            <w:r>
              <w:rPr>
                <w:rFonts w:ascii="Arial" w:cs="Arial" w:eastAsia="Arial" w:hAnsi="Arial"/>
                <w:sz w:val="18"/>
                <w:szCs w:val="18"/>
                <w:color w:val="auto"/>
              </w:rPr>
              <w:t>$ 145,744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7"/>
          </w:tcPr>
          <w:p>
            <w:pPr>
              <w:jc w:val="right"/>
              <w:ind w:right="180"/>
              <w:spacing w:after="0"/>
              <w:rPr>
                <w:sz w:val="20"/>
                <w:szCs w:val="20"/>
                <w:color w:val="auto"/>
              </w:rPr>
            </w:pPr>
            <w:r>
              <w:rPr>
                <w:rFonts w:ascii="Arial" w:cs="Arial" w:eastAsia="Arial" w:hAnsi="Arial"/>
                <w:sz w:val="18"/>
                <w:szCs w:val="18"/>
                <w:color w:val="auto"/>
                <w:w w:val="97"/>
              </w:rPr>
              <w:t>$ 205,430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c>
          <w:tcPr>
            <w:tcW w:w="13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62"/>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460"/>
              <w:spacing w:after="0"/>
              <w:rPr>
                <w:sz w:val="20"/>
                <w:szCs w:val="20"/>
                <w:color w:val="auto"/>
              </w:rPr>
            </w:pPr>
            <w:r>
              <w:rPr>
                <w:rFonts w:ascii="Arial" w:cs="Arial" w:eastAsia="Arial" w:hAnsi="Arial"/>
                <w:sz w:val="18"/>
                <w:szCs w:val="18"/>
                <w:color w:val="auto"/>
                <w:w w:val="92"/>
              </w:rPr>
              <w:t>Certain additional key ratios and headcount information are set forth below:</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11"/>
          </w:tcPr>
          <w:p>
            <w:pPr>
              <w:jc w:val="center"/>
              <w:ind w:right="420"/>
              <w:spacing w:after="0"/>
              <w:rPr>
                <w:sz w:val="20"/>
                <w:szCs w:val="20"/>
                <w:color w:val="auto"/>
              </w:rPr>
            </w:pPr>
            <w:r>
              <w:rPr>
                <w:rFonts w:ascii="Arial" w:cs="Arial" w:eastAsia="Arial" w:hAnsi="Arial"/>
                <w:sz w:val="14"/>
                <w:szCs w:val="14"/>
                <w:b w:val="1"/>
                <w:bCs w:val="1"/>
                <w:color w:val="auto"/>
                <w:w w:val="89"/>
              </w:rPr>
              <w:t>Three Months Ended</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10"/>
          </w:tcPr>
          <w:p>
            <w:pPr>
              <w:jc w:val="center"/>
              <w:ind w:right="4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9"/>
          </w:tcPr>
          <w:p>
            <w:pPr>
              <w:jc w:val="center"/>
              <w:ind w:right="7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604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4"/>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gridSpan w:val="4"/>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4"/>
          </w:tcPr>
          <w:p>
            <w:pPr>
              <w:jc w:val="right"/>
              <w:ind w:right="52"/>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6"/>
          </w:tcPr>
          <w:p>
            <w:pPr>
              <w:jc w:val="right"/>
              <w:ind w:right="62"/>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980" w:type="dxa"/>
            <w:vAlign w:val="bottom"/>
            <w:gridSpan w:val="7"/>
          </w:tcPr>
          <w:p>
            <w:pPr>
              <w:jc w:val="right"/>
              <w:ind w:right="14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62"/>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4"/>
          </w:tcPr>
          <w:p>
            <w:pPr>
              <w:jc w:val="right"/>
              <w:ind w:right="52"/>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6"/>
          </w:tcPr>
          <w:p>
            <w:pPr>
              <w:jc w:val="right"/>
              <w:ind w:right="6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80" w:type="dxa"/>
            <w:vAlign w:val="bottom"/>
            <w:gridSpan w:val="7"/>
          </w:tcPr>
          <w:p>
            <w:pPr>
              <w:jc w:val="right"/>
              <w:ind w:right="1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4"/>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560" w:type="dxa"/>
            <w:vAlign w:val="bottom"/>
            <w:gridSpan w:val="5"/>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tcPr>
          <w:p>
            <w:pPr>
              <w:ind w:left="220"/>
              <w:spacing w:after="0"/>
              <w:rPr>
                <w:sz w:val="20"/>
                <w:szCs w:val="20"/>
                <w:color w:val="auto"/>
              </w:rPr>
            </w:pPr>
            <w:r>
              <w:rPr>
                <w:rFonts w:ascii="Arial" w:cs="Arial" w:eastAsia="Arial" w:hAnsi="Arial"/>
                <w:sz w:val="18"/>
                <w:szCs w:val="18"/>
                <w:color w:val="auto"/>
              </w:rPr>
              <w:t>Net revenue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100%</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4"/>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8"/>
              </w:rPr>
              <w:t>100%</w:t>
            </w:r>
          </w:p>
        </w:tc>
        <w:tc>
          <w:tcPr>
            <w:tcW w:w="220" w:type="dxa"/>
            <w:vAlign w:val="bottom"/>
          </w:tcPr>
          <w:p>
            <w:pPr>
              <w:spacing w:after="0"/>
              <w:rPr>
                <w:sz w:val="19"/>
                <w:szCs w:val="19"/>
                <w:color w:val="auto"/>
              </w:rPr>
            </w:pPr>
          </w:p>
        </w:tc>
        <w:tc>
          <w:tcPr>
            <w:tcW w:w="560" w:type="dxa"/>
            <w:vAlign w:val="bottom"/>
            <w:gridSpan w:val="5"/>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center"/>
              <w:ind w:right="132"/>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December 31,</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4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1040" w:type="dxa"/>
            <w:vAlign w:val="bottom"/>
            <w:gridSpan w:val="6"/>
          </w:tcPr>
          <w:p>
            <w:pPr>
              <w:jc w:val="center"/>
              <w:ind w:left="615"/>
              <w:spacing w:after="0"/>
              <w:rPr>
                <w:sz w:val="20"/>
                <w:szCs w:val="20"/>
                <w:color w:val="auto"/>
              </w:rPr>
            </w:pPr>
            <w:r>
              <w:rPr>
                <w:rFonts w:ascii="Arial" w:cs="Arial" w:eastAsia="Arial" w:hAnsi="Arial"/>
                <w:sz w:val="14"/>
                <w:szCs w:val="14"/>
                <w:b w:val="1"/>
                <w:bCs w:val="1"/>
                <w:color w:val="auto"/>
                <w:w w:val="83"/>
              </w:rPr>
              <w:t>2011</w:t>
            </w:r>
          </w:p>
        </w:tc>
        <w:tc>
          <w:tcPr>
            <w:tcW w:w="220" w:type="dxa"/>
            <w:vAlign w:val="bottom"/>
          </w:tcPr>
          <w:p>
            <w:pPr>
              <w:spacing w:after="0"/>
              <w:rPr>
                <w:sz w:val="14"/>
                <w:szCs w:val="14"/>
                <w:color w:val="auto"/>
              </w:rPr>
            </w:pPr>
          </w:p>
        </w:tc>
        <w:tc>
          <w:tcPr>
            <w:tcW w:w="98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1260" w:type="dxa"/>
            <w:vAlign w:val="bottom"/>
            <w:gridSpan w:val="7"/>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9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auto"/>
              </w:rPr>
              <w:t>77</w:t>
            </w:r>
          </w:p>
        </w:tc>
        <w:tc>
          <w:tcPr>
            <w:tcW w:w="1260" w:type="dxa"/>
            <w:vAlign w:val="bottom"/>
            <w:gridSpan w:val="7"/>
          </w:tcPr>
          <w:p>
            <w:pPr>
              <w:jc w:val="right"/>
              <w:ind w:right="12"/>
              <w:spacing w:after="0"/>
              <w:rPr>
                <w:sz w:val="20"/>
                <w:szCs w:val="20"/>
                <w:color w:val="auto"/>
              </w:rPr>
            </w:pPr>
            <w:r>
              <w:rPr>
                <w:rFonts w:ascii="Arial" w:cs="Arial" w:eastAsia="Arial" w:hAnsi="Arial"/>
                <w:sz w:val="18"/>
                <w:szCs w:val="18"/>
                <w:color w:val="auto"/>
              </w:rPr>
              <w:t>71</w:t>
            </w:r>
          </w:p>
        </w:tc>
        <w:tc>
          <w:tcPr>
            <w:tcW w:w="980" w:type="dxa"/>
            <w:vAlign w:val="bottom"/>
            <w:gridSpan w:val="7"/>
          </w:tcPr>
          <w:p>
            <w:pPr>
              <w:jc w:val="right"/>
              <w:ind w:right="4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260" w:type="dxa"/>
            <w:vAlign w:val="bottom"/>
            <w:gridSpan w:val="7"/>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9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1,105</w:t>
            </w:r>
          </w:p>
        </w:tc>
        <w:tc>
          <w:tcPr>
            <w:tcW w:w="1260" w:type="dxa"/>
            <w:vAlign w:val="bottom"/>
            <w:gridSpan w:val="7"/>
            <w:shd w:val="clear" w:color="auto" w:fill="CCEEFF"/>
          </w:tcPr>
          <w:p>
            <w:pPr>
              <w:jc w:val="right"/>
              <w:ind w:right="12"/>
              <w:spacing w:after="0"/>
              <w:rPr>
                <w:sz w:val="20"/>
                <w:szCs w:val="20"/>
                <w:color w:val="auto"/>
              </w:rPr>
            </w:pPr>
            <w:r>
              <w:rPr>
                <w:rFonts w:ascii="Arial" w:cs="Arial" w:eastAsia="Arial" w:hAnsi="Arial"/>
                <w:sz w:val="18"/>
                <w:szCs w:val="18"/>
                <w:color w:val="auto"/>
              </w:rPr>
              <w:t>1,092</w:t>
            </w:r>
          </w:p>
        </w:tc>
        <w:tc>
          <w:tcPr>
            <w:tcW w:w="9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3"/>
          </w:tcPr>
          <w:p>
            <w:pPr>
              <w:spacing w:after="0"/>
              <w:rPr>
                <w:sz w:val="19"/>
                <w:szCs w:val="19"/>
                <w:color w:val="auto"/>
              </w:rPr>
            </w:pPr>
          </w:p>
        </w:tc>
        <w:tc>
          <w:tcPr>
            <w:tcW w:w="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4"/>
              </w:rPr>
              <w:t>1,199</w:t>
            </w:r>
          </w:p>
        </w:tc>
        <w:tc>
          <w:tcPr>
            <w:tcW w:w="40" w:type="dxa"/>
            <w:vAlign w:val="bottom"/>
            <w:tcBorders>
              <w:bottom w:val="single" w:sz="8" w:color="auto"/>
            </w:tcBorders>
          </w:tcPr>
          <w:p>
            <w:pPr>
              <w:spacing w:after="0"/>
              <w:rPr>
                <w:sz w:val="19"/>
                <w:szCs w:val="19"/>
                <w:color w:val="auto"/>
              </w:rPr>
            </w:pPr>
          </w:p>
        </w:tc>
        <w:tc>
          <w:tcPr>
            <w:tcW w:w="740" w:type="dxa"/>
            <w:vAlign w:val="bottom"/>
            <w:gridSpan w:val="4"/>
          </w:tcPr>
          <w:p>
            <w:pPr>
              <w:spacing w:after="0"/>
              <w:rPr>
                <w:sz w:val="19"/>
                <w:szCs w:val="19"/>
                <w:color w:val="auto"/>
              </w:rPr>
            </w:pPr>
          </w:p>
        </w:tc>
        <w:tc>
          <w:tcPr>
            <w:tcW w:w="4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84"/>
              </w:rPr>
              <w:t>1,197</w:t>
            </w:r>
          </w:p>
        </w:tc>
        <w:tc>
          <w:tcPr>
            <w:tcW w:w="520" w:type="dxa"/>
            <w:vAlign w:val="bottom"/>
            <w:gridSpan w:val="4"/>
          </w:tcPr>
          <w:p>
            <w:pPr>
              <w:spacing w:after="0"/>
              <w:rPr>
                <w:sz w:val="19"/>
                <w:szCs w:val="19"/>
                <w:color w:val="auto"/>
              </w:rPr>
            </w:pPr>
          </w:p>
        </w:tc>
        <w:tc>
          <w:tcPr>
            <w:tcW w:w="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88"/>
              </w:rPr>
              <w:t>1,146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2,547</w:t>
            </w:r>
          </w:p>
        </w:tc>
        <w:tc>
          <w:tcPr>
            <w:tcW w:w="1260" w:type="dxa"/>
            <w:vAlign w:val="bottom"/>
            <w:gridSpan w:val="7"/>
            <w:shd w:val="clear" w:color="auto" w:fill="CCEEFF"/>
          </w:tcPr>
          <w:p>
            <w:pPr>
              <w:jc w:val="right"/>
              <w:ind w:right="12"/>
              <w:spacing w:after="0"/>
              <w:rPr>
                <w:sz w:val="20"/>
                <w:szCs w:val="20"/>
                <w:color w:val="auto"/>
              </w:rPr>
            </w:pPr>
            <w:r>
              <w:rPr>
                <w:rFonts w:ascii="Arial" w:cs="Arial" w:eastAsia="Arial" w:hAnsi="Arial"/>
                <w:sz w:val="18"/>
                <w:szCs w:val="18"/>
                <w:color w:val="auto"/>
              </w:rPr>
              <w:t>2,511</w:t>
            </w:r>
          </w:p>
        </w:tc>
        <w:tc>
          <w:tcPr>
            <w:tcW w:w="9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2,386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2012 versus June 30, 2011</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in the 2012 period of $33 million, as compared to net income of $71 million in the 2011 period. The changes in the Company’s operating results during these periods are described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Net revenue in the 2012 period decreased $41 million, or 9%, with operating revenue decreasing $35 million, or 7%, respectively, as compared to the 2011 period. Fees from investment banking and other advisory activities decreased $3 million, or 1%, primarily due to an $18 million, or 38%, decline in Restructuring revenue and a $10 million, or 39%, decline in other advisory fee revenue, partially offset by an increase of $25 million, or 15%, in M&amp;A and Strategic Advisory fee revenue. Such increase reflected a higher level of revenues earned from our top 10 clients as compared to the 2011 period. The decrease in Restructuring revenue primarily resulted from lower average fees for assignments with completion fees greater than $1 million, and was consistent with the continuing industry-wide decline of corporate restructuring activity. Money management fees decreased $29 million, or 13%, during the 2012 period primarily due to a $10 billion, or 6%, decrease in average AUM, on which management fees are earned, generally reflecting market depreciation and a slight shift in the mix of AUM into lower margin products. In the aggregate, interest income, other revenue and interest expense contributed to a decrease in net revenue of $9 million as compared to the corresponding period in 2011.</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Compensation and benefits expense in the 2012 period was $283 million, as compared to $286 million in the corresponding prior year period. Adjusted compensation and benefits expense (which excludes certain items, and which we believe allows for improved comparability between interim periods, as described above) was $285 million in the 2012 period, substantially unchanged when compared to the 2011 period. The resulting ratio of adjusted compensation and benefits expense to operating revenue was 62.3% for the 2012 period, versus 57.9% and 61.7% for the second quarter and full year of 2011, respectively. The ratio in the 2012 period was negatively impacted by higher amortization of deferred incentive compensation awards as described in more detail in the discussion below regarding year-to-date results. Further,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Non-compensation expense in the 2012 period was $106 million, an increase of $7 million, or 7%, as compared to $99 million in the corresponding period in 2011. When excluding non-compensation costs relating to noncontrolling interests, adjusted non-compensation expense in the second quarter of 2012 increased $6 million, or 6%, primarily attributable to higher occupancy costs in the 2012 period as a result of our amended lease and associated build-out costs of our Rockefeller Center facility. The ratio of adjusted non-compensation expense to operating revenue was 22.9% in the 2012 period versus 20.0% for the corresponding period in 2011.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was $3 million in the 2012 period, as compared to $2 million in the 2011 period.</w:t>
      </w:r>
    </w:p>
    <w:p>
      <w:pPr>
        <w:spacing w:after="0" w:line="17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Operating income in the 2012 period was $45 million, a decrease of $45 million, or 50%, as compared to operating income of $90 million in the 2011 period, and, as a percentage of net revenue, was 10.4% as compared to 18.9% in the 2011 period. Earnings from operations (which represent operating revenue less (i) adjusted compensation and benefits expense and (ii) adjusted non-compensation expense) were $68 million and $109 million for the 2012 and 2011 periods, respectively, and, as a percentage of operating revenue, were 14.8% as compared to 22.1% in the 2011 period.</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provision for income taxes was $11 million and $14 million for the 2012 and 2011 periods, respectively, representing effective tax rates of 23.2% and 15.2% for the respective periods.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Net income attributable to noncontrolling interests was $2 million and $6 million in the 2012 and 2011 periods, respectively. The decrease of $4 million primarily reflects a lower level of earnings in the 2012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versus June 30, 2011</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in the 2012 period of $59 million, as compared to net income of $133 million in the 2011 period. The changes in the Company’s operating results during these periods are described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Net revenue and operating revenue were essentially unchanged in the 2012 period, both increasing $2 million, as compared to the 2011 period. Fees from investment banking and other advisory activities increased $50 million, or 11%, primarily due to increases in M&amp;A and Strategic Advisory fee revenue of $54 million, or 16%, and Restructuring fee revenue of $16 million, or 20%, partially offset by a decrease in other advisory fee revenue of $20 million, or 43%. The increase in M&amp;A and Strategic Advisory fee revenue was driven by the breadth and volume of our global M&amp;A and Sovereign Advisory businesses, as well as the strong performance of Lazard Middle Market and higher fees earned from our top 10 clients, reflecting the closing of several significant M&amp;A and sovereign and government advisory transactions during the 2012 period. Although global corporate restructuring activity continues to be in an industry-wide decline, the increase in Restructuring fee revenue in the 2012 period was driven primarily by a higher number of closings in the first quarter of 2012 which resulted in an increase in average fees for assignments with completion fees greater than $1 million. Money management fees decreased $39 million, or 9%, during the 2012 period primarily due to a $10 billion, or 6%, decrease in average AUM, on which management fees are earned, primarily the result of market depreciation in the second half of 2011. In the aggregate, interest income, other revenue and interest expense contributed to a decrease in net revenue of $9 million as compared to the corresponding period in 2011.</w:t>
      </w:r>
    </w:p>
    <w:p>
      <w:pPr>
        <w:spacing w:after="0" w:line="127"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color w:val="auto"/>
        </w:rPr>
        <w:t>Compensation and benefits expense in the 2012 period was $622 million, as compared to $556 million in the corresponding prior year period, and included a $22 million first quarter 2012 charge associated with staff reductions, representing severance costs and benefit payments, of which $7 million related to the acceleration of unrecognized amortization expense of deferred incentive compensation previously granted to individuals being terminated. Also contributing to the increase was a higher level of amortization of deferred incentive compensation awards, and increased salaries and benefits. Adjusted compensation and benefits expense (which excludes certain items, and which we believe allows for improved comparability between interim periods, as described above), was $598 million in the 2012 period, an increase of $43 million, or 8%, when compared to $555 million in the 2011 period. The resulting ratio of adjusted compensation and benefits expense to operating revenue was 62.7% for the 2012 period, which compares to 58.3% and 61.7% for the first half of and full year of 2011, respectively. The first half 2012 ratio of adjusted compensation and benefits expense to operating revenue assumed, based on current market conditions, a ratio of awarded compensation and benefits expense to operating revenue of approximately 60% for the full year of 2012, as compared to 61.5% for the full year of 2011.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currently expect that amortization of deferred incentive compensation awards will approximate $341 million for the full year of 2012, compared to $289 million for the full year of 2011, when excluding the $7 million charge in 2012 related to staff reductions. Approximately $41 million, or 79%, of the increased amortization in 2012 is related to the 2008 plan year deferred incentive compensation awards (the “2008 grant”), approximately $23 million of which was expensed in the first half of 2012, representing approximately 2.4% of operating revenue. The 2008 grant had a four year vesting period and is the last grant with a vesting period in excess of three years. Amortization of deferred incentive compensation expense is expected to revert to a lower level after the first quarter of 2013 following the full vesting of the 2008 grant.</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Non-compensation expense in the 2012 period was $214 million, an increase of $22 million, or 12%, as compared to $192 million in the corresponding period in 2011. Non-compensation expense in the first half of 2012 included charges totaling $3 million associated with the staff reductions. When excluding such charges, as well as non-compensation costs relating to noncontrolling interests, adjusted non-compensation expense in the first half of 2012 increased $19 million, or 10%, primarily attributable to (i) higher occupancy costs in the 2012 period as a result of our amended lease and associated build-out costs of our Rockefeller Center facility and (ii) deal-related costs specifically related to transactions that closed in the 2012 period. The ratio of adjusted non-compensation expense to operating revenue was 22.0% in the 2012 period versus 20.1% for the corresponding period in 2011. We currently estimate that, on a full year basis in 2012 as compared to 2011, our occupancy-related costs associated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with the amended lease at our Rockefeller Center facility will increase by approximately $12 million. We have initiated, and continue to pursue, reductions of non-compensation expense.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2011 period.</w:t>
      </w:r>
    </w:p>
    <w:p>
      <w:pPr>
        <w:spacing w:after="0" w:line="171"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Operating income in the 2012 period (including the above-mentioned charges relating to staff reductions aggregating $25 million) was $78 million, a decrease of $86 million, or 53%, as compared to operating income of $164 million in the 2011 period, and, as a percentage of net revenue, was 8.5%, as compared to 17.9% in the 2011 period. Earnings from operations were $146 million and $205 million for the 2012 and 2011 periods, respectively, and, as a percentage of operating revenue, were 15.3% as compared to 21.6% in the 2011 period.</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provision for income taxes was $15 million and $24 million for the 2012 and 2011 periods, respectively, representing effective tax rates of 19.7% and 14.7% for the respective periods.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Net income attributable to noncontrolling interests was $4 million and $7 million in the 2012 and 2011 periods, respectively. The decrease of $3 million primarily reflects a lower level of earnings in the 2012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revenue, headcount, square footage and other factors.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of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5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5"/>
          </w:tcPr>
          <w:p>
            <w:pPr>
              <w:jc w:val="right"/>
              <w:ind w:right="1072"/>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90"/>
              </w:rPr>
              <w:t>$195,383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170,568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387,994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334,320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Capital Markets and Other Advisory</w:t>
            </w: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17,174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30,290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31,544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59,826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212,557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200,858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419,538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394,146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30,067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48,333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100,282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83,890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Revenue</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242,624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249,191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519,820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478,036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231,200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214,217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481,097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427,783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96"/>
              </w:rPr>
              <w:t>$ 11,424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38,723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50,253</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3"/>
            <w:vMerge w:val="continue"/>
          </w:tcPr>
          <w:p>
            <w:pPr>
              <w:spacing w:after="0"/>
              <w:rPr>
                <w:sz w:val="18"/>
                <w:szCs w:val="18"/>
                <w:color w:val="auto"/>
              </w:rPr>
            </w:pPr>
          </w:p>
        </w:tc>
        <w:tc>
          <w:tcPr>
            <w:tcW w:w="1260" w:type="dxa"/>
            <w:vAlign w:val="bottom"/>
            <w:gridSpan w:val="2"/>
          </w:tcPr>
          <w:p>
            <w:pPr>
              <w:jc w:val="right"/>
              <w:ind w:right="332"/>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160" w:type="dxa"/>
            <w:vAlign w:val="bottom"/>
            <w:gridSpan w:val="2"/>
          </w:tcPr>
          <w:p>
            <w:pPr>
              <w:jc w:val="right"/>
              <w:ind w:right="37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While the M&amp;A industry data described above on completed and announced transactions reflects decreased M&amp;A activity in the first half of 2012 as compared to the corresponding period in 2011, our M&amp;A and Strategic Advisory revenue (which includes Sovereign and Government Advisory revenue) increased 16% in the 2012 six month period as compared to the 2011 period.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client statistics and global industry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540" w:type="dxa"/>
            <w:vAlign w:val="bottom"/>
            <w:gridSpan w:val="4"/>
          </w:tcPr>
          <w:p>
            <w:pPr>
              <w:jc w:val="center"/>
              <w:ind w:left="99"/>
              <w:spacing w:after="0"/>
              <w:rPr>
                <w:sz w:val="20"/>
                <w:szCs w:val="20"/>
                <w:color w:val="auto"/>
              </w:rPr>
            </w:pPr>
            <w:r>
              <w:rPr>
                <w:rFonts w:ascii="Arial" w:cs="Arial" w:eastAsia="Arial" w:hAnsi="Arial"/>
                <w:sz w:val="14"/>
                <w:szCs w:val="14"/>
                <w:b w:val="1"/>
                <w:bCs w:val="1"/>
                <w:color w:val="auto"/>
                <w:w w:val="89"/>
              </w:rPr>
              <w:t>Three Months Ended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180" w:type="dxa"/>
            <w:vAlign w:val="bottom"/>
          </w:tcPr>
          <w:p>
            <w:pPr>
              <w:spacing w:after="0"/>
              <w:rPr>
                <w:sz w:val="12"/>
                <w:szCs w:val="12"/>
                <w:color w:val="auto"/>
              </w:rPr>
            </w:pPr>
          </w:p>
        </w:tc>
        <w:tc>
          <w:tcPr>
            <w:tcW w:w="3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3"/>
              </w:rPr>
              <w:t>2012</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196"/>
        </w:trPr>
        <w:tc>
          <w:tcPr>
            <w:tcW w:w="7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54</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49</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M&amp;A and Strategic Advisory</w:t>
            </w:r>
          </w:p>
        </w:tc>
        <w:tc>
          <w:tcPr>
            <w:tcW w:w="300" w:type="dxa"/>
            <w:vAlign w:val="bottom"/>
          </w:tcPr>
          <w:p>
            <w:pPr>
              <w:ind w:left="120"/>
              <w:spacing w:after="0"/>
              <w:rPr>
                <w:sz w:val="20"/>
                <w:szCs w:val="20"/>
                <w:color w:val="auto"/>
              </w:rPr>
            </w:pPr>
            <w:r>
              <w:rPr>
                <w:rFonts w:ascii="Arial" w:cs="Arial" w:eastAsia="Arial" w:hAnsi="Arial"/>
                <w:sz w:val="18"/>
                <w:szCs w:val="18"/>
                <w:color w:val="auto"/>
                <w:w w:val="79"/>
              </w:rPr>
              <w:t>43</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35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71</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44%</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22"/>
        </w:trPr>
        <w:tc>
          <w:tcPr>
            <w:tcW w:w="718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300" w:type="dxa"/>
            <w:vAlign w:val="bottom"/>
          </w:tcPr>
          <w:p>
            <w:pPr>
              <w:ind w:left="120"/>
              <w:spacing w:after="0"/>
              <w:rPr>
                <w:sz w:val="20"/>
                <w:szCs w:val="20"/>
                <w:color w:val="auto"/>
              </w:rPr>
            </w:pPr>
            <w:r>
              <w:rPr>
                <w:rFonts w:ascii="Arial" w:cs="Arial" w:eastAsia="Arial" w:hAnsi="Arial"/>
                <w:sz w:val="18"/>
                <w:szCs w:val="18"/>
                <w:color w:val="auto"/>
                <w:w w:val="79"/>
              </w:rPr>
              <w:t>13</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17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July 11, 2012.</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right"/>
              <w:ind w:right="15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2012 versus June 30, 2011</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Sovereign, Capital Markets, Private Funds and Other Advisory businesses, increased $12 million, or 6%, and Restructuring revenue decreased $18 million, or 38%, as compared to the 2011 period.</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M&amp;A and Strategic Advisory revenue increased $25 million, or 15% as compared to the 2011 period. Capital Markets and Other Advisory revenue decreased $13 million, or 43%. The increase in M&amp;A and Strategic Advisory revenue was principally due to a higher level of fees earned from our top 10 clients, which reflected the closing of several significant M&amp;A transactions. Our major clients, which, in the aggregate, represented a significant portion of our M&amp;A and Strategic Advisory revenue for the second quarter of 2012, included Abertis Infraestructuras, Caisse des Dépôts, Central Vermont Public Service, Delphi Financial Group, France Telecom-Orange, Gloucester Coal, Google, Medco Health Solutions, Mirvac Group and Northeast Utilities. The decrease in Capital Markets and Other Advisory revenue in the 2012 period was primarily attributable to a lower level of closings by Private Fund Advisory.</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decrease in Restructuring revenue in the 2012 period was due to lower average fees for assignments with completion fees greater than $1 million. Notable assignments completed in the second quarter of 2012 included assignments for General Maritime, Crown of the State of New South Wales and Yucaipa Companies.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Operating expenses increased $17 million, or 8%, as compared to the 2011 period. The principal contributors to the increase were increases in compensation and benefits expense and occupancy costs in the 2012 period, the latter primarily as a result of our amended lease and associated build-out costs of our Rockefeller Center facility.</w:t>
      </w:r>
    </w:p>
    <w:p>
      <w:pPr>
        <w:spacing w:after="0" w:line="14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Financial Advisory operating income in the 2012 period was $11 million, a decrease of $24 million, or 67%, as compared to operating income of $35 million in the 2011 period and, as a percentage of net revenue, was 4.7% as compared to 14.0% in the 2011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versus June 30, 2011</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Sovereign, Capital Markets, Private Funds and Other Advisory businesses, increased $25 million, or 6%, and Restructuring revenue increased $16 million, or 20%, as compared to the 2011 period.</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M&amp;A and Strategic Advisory revenue increased $54 million, or 16%, as compared to the 2011 period. Capital Markets and Other Advisory revenue decreased $28 million, or 47%. The increase in M&amp;A and Strategic Advisory revenue was principally due to a higher level of fees earned from our top 10 clients, reflecting the closing of several significant M&amp;A and sovereign and government advisory transactions, as well as the strong performance of Lazard Middle Market. The decrease in Capital Markets and Other Advisory revenue in the 2012 period was primarily attributable to a lower level of closings by Private Fund Advisory.</w:t>
      </w:r>
    </w:p>
    <w:p>
      <w:pPr>
        <w:spacing w:after="0" w:line="143"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increase in Restructuring revenue in the 2012 period was driven by a comparatively strong 2012 first quarter and increased average fees for assignments with completion fees greater than $1 million.</w:t>
      </w:r>
    </w:p>
    <w:p>
      <w:pPr>
        <w:spacing w:after="0" w:line="132" w:lineRule="exact"/>
        <w:rPr>
          <w:sz w:val="20"/>
          <w:szCs w:val="20"/>
          <w:color w:val="auto"/>
        </w:rPr>
      </w:pPr>
    </w:p>
    <w:p>
      <w:pPr>
        <w:ind w:right="500" w:firstLine="456"/>
        <w:spacing w:after="0" w:line="335" w:lineRule="auto"/>
        <w:rPr>
          <w:sz w:val="20"/>
          <w:szCs w:val="20"/>
          <w:color w:val="auto"/>
        </w:rPr>
      </w:pPr>
      <w:r>
        <w:rPr>
          <w:rFonts w:ascii="Arial" w:cs="Arial" w:eastAsia="Arial" w:hAnsi="Arial"/>
          <w:sz w:val="15"/>
          <w:szCs w:val="15"/>
          <w:color w:val="auto"/>
        </w:rPr>
        <w:t>Operating expenses increased $53 million, or 12%, as compared to the 2011 period. The principal contributors to the increase were higher levels of compensation and benefits expense, deal-related costs specifically related to transactions that closed in the 2012 period, business development expense and occupancy costs in the 2012 period, the latter primarily as a result of our amended lease and associated build-out costs of our Rockefeller Center facility.</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Financial Advisory operating income in the 2012 period was $39 million, a decrease of $11 million, or 23%, as compared to operating income of $50 million in the 2011 period and, as a percentage of net revenue, was 7.4% as compared to 10.5% in the 2011 period.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72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9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jc w:val="center"/>
              <w:ind w:left="355"/>
              <w:spacing w:after="0" w:line="155" w:lineRule="exact"/>
              <w:rPr>
                <w:sz w:val="20"/>
                <w:szCs w:val="20"/>
                <w:color w:val="auto"/>
              </w:rPr>
            </w:pPr>
            <w:r>
              <w:rPr>
                <w:rFonts w:ascii="Arial" w:cs="Arial" w:eastAsia="Arial" w:hAnsi="Arial"/>
                <w:sz w:val="14"/>
                <w:szCs w:val="14"/>
                <w:b w:val="1"/>
                <w:bCs w:val="1"/>
                <w:color w:val="auto"/>
                <w:w w:val="86"/>
              </w:rPr>
              <w:t>($ in millions)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29,506</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27,599</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Global Equities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73,158</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68,584</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U.S. Equities</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19,495</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Total Equities</w:t>
            </w: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122,159</w:t>
            </w:r>
          </w:p>
        </w:tc>
        <w:tc>
          <w:tcPr>
            <w:tcW w:w="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116,362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European and International Fixed Income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13,901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12,293</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Global Fixed Income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2,579</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2,350</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U.S. Fixed Income</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Total Fixed Income</w:t>
            </w: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19,936</w:t>
            </w:r>
          </w:p>
        </w:tc>
        <w:tc>
          <w:tcPr>
            <w:tcW w:w="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Alternative Investments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5,349</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Private Equity</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1,486</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Management</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Total AUM</w:t>
            </w:r>
          </w:p>
        </w:tc>
        <w:tc>
          <w:tcPr>
            <w:tcW w:w="16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148,439</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141,039</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Average AUM for the 2012 and 2011 periods is set forth below. Average AUM is generally based on an average of quarterly ending balances for the respective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4"/>
          </w:tcPr>
          <w:p>
            <w:pPr>
              <w:ind w:left="500"/>
              <w:spacing w:after="0"/>
              <w:rPr>
                <w:sz w:val="20"/>
                <w:szCs w:val="20"/>
                <w:color w:val="auto"/>
              </w:rPr>
            </w:pPr>
            <w:r>
              <w:rPr>
                <w:rFonts w:ascii="Arial" w:cs="Arial" w:eastAsia="Arial" w:hAnsi="Arial"/>
                <w:sz w:val="14"/>
                <w:szCs w:val="14"/>
                <w:b w:val="1"/>
                <w:bCs w:val="1"/>
                <w:color w:val="auto"/>
              </w:rPr>
              <w:t>($ in millions)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7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$ 150,994</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$ 161,024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$ 149,203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$ 159,129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Total AUM at June 30, 2012 increased $7 billion, or 5%, as compared to total AUM of $141 billion at December 31, 2011, primarily due to market appreciation. Average AUM, however, for both the three month and six month periods ended June 30, 2012, was 6% lower than that for the corresponding periods in 2011. International, Global and U.S. equities represented 20%, 49% and 13% of total AUM at June 30, 2012, substantially unchanged from the respective percentages at December 31, 2011.</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June 30, 2012 and December 31, 2011, approximately 90% of our AUM was managed on behalf of institutional clients, including corporations, labor unions, public pension funds, insurance companies and banks, and through sub-advisory relationships, mutual fund sponsors, broker-dealers and registered advisors, and, as of such dates, 10% of our AUM was managed on behalf of individual client relationships, which are principally with family offices and individuals.</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June 30, 2012 and December 31, 2011, AUM denominated in foreign currencies represented approximately 60% and 61%, respectively, of our total AUM. Foreign denominated AUM declines in value with the strengthening of the U.S. Dollar and increases in value as the U.S. Dollar weakens.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2012 and 2011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June 30,</w:t>
            </w:r>
          </w:p>
        </w:tc>
        <w:tc>
          <w:tcPr>
            <w:tcW w:w="1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40" w:type="dxa"/>
            <w:vAlign w:val="bottom"/>
            <w:gridSpan w:val="4"/>
          </w:tcPr>
          <w:p>
            <w:pPr>
              <w:ind w:left="500"/>
              <w:spacing w:after="0" w:line="155" w:lineRule="exact"/>
              <w:rPr>
                <w:sz w:val="20"/>
                <w:szCs w:val="20"/>
                <w:color w:val="auto"/>
              </w:rPr>
            </w:pPr>
            <w:r>
              <w:rPr>
                <w:rFonts w:ascii="Arial" w:cs="Arial" w:eastAsia="Arial" w:hAnsi="Arial"/>
                <w:sz w:val="14"/>
                <w:szCs w:val="14"/>
                <w:b w:val="1"/>
                <w:bCs w:val="1"/>
                <w:color w:val="auto"/>
              </w:rPr>
              <w:t>($ in millions)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$156,708</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$160,451</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$141,039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$155,337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1,137</w:t>
            </w:r>
          </w:p>
        </w:tc>
        <w:tc>
          <w:tcPr>
            <w:tcW w:w="4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(327)</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975</w:t>
            </w:r>
          </w:p>
        </w:tc>
        <w:tc>
          <w:tcPr>
            <w:tcW w:w="66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(Depreciation) Appreciation</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AUM—End of Period</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148,439</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161,597</w:t>
            </w:r>
          </w:p>
        </w:tc>
        <w:tc>
          <w:tcPr>
            <w:tcW w:w="4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148,439</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161,597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2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inflows of $9,262 and $5,262 and outflows of $8,125 and $5,589 for the three month periods in 2012 and 2011, respectively, and inflows of $16,057 and $11,075 and outflows of $15,082 and $10,707 for the six month periods in 2012 and 2011, respectively.</w:t>
      </w:r>
    </w:p>
    <w:p>
      <w:pPr>
        <w:spacing w:after="0" w:line="85"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During the 2012 period, inflows were principally in Global and International Equities and International Fixed Income, primarily due to increased investments in existing accounts, as well as new accounts. Outflows during the 2012 period were principally in Global and International Equities and U.S. Equities, primarily resulting from withdrawals in existing accounts and accounts lost.</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July 27, 2012, AUM was $151.0 billion, an increase of $2.6 billion since June 30, 2012. The increase in AUM was due to market/foreign exchange appreciation of $1.1 billion and net inflows of $1.5 billion. Market appreciation was approximately 1% of AUM since June 30, 2012, which was generally consistent with the increase in global market indices during that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of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5"/>
          </w:tcPr>
          <w:p>
            <w:pPr>
              <w:jc w:val="right"/>
              <w:ind w:right="103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195,223</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221,217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$395,083</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$427,985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12,126</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17,307</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24,197</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211,053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244,855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425,580</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471,708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156,616</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160,914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317,106</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108,474</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161,590</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7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1500" w:type="dxa"/>
            <w:vAlign w:val="bottom"/>
            <w:gridSpan w:val="3"/>
          </w:tcPr>
          <w:p>
            <w:pPr>
              <w:jc w:val="right"/>
              <w:ind w:right="372"/>
              <w:spacing w:after="0"/>
              <w:rPr>
                <w:sz w:val="20"/>
                <w:szCs w:val="20"/>
                <w:color w:val="auto"/>
              </w:rPr>
            </w:pPr>
            <w:r>
              <w:rPr>
                <w:rFonts w:ascii="Arial" w:cs="Arial" w:eastAsia="Arial" w:hAnsi="Arial"/>
                <w:sz w:val="18"/>
                <w:szCs w:val="18"/>
                <w:color w:val="auto"/>
              </w:rPr>
              <w:t>25.5%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2300" w:hanging="5612"/>
        <w:spacing w:after="0" w:line="440" w:lineRule="auto"/>
        <w:tabs>
          <w:tab w:leader="none" w:pos="4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 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right"/>
              <w:ind w:right="15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2012 versus June 30, 2011</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Asset Management net revenue decreased $34 million, or 14%, as compared to the 2011 period. Management fees decreased $26 million, or 12%, as compared to the 2011 period, driven primarily by a 6% decrease in average AUM, generally reflecting market depreciation and a slight shift in the mix of AUM into lower margin products. Incentive fees, principally consisting of traditional long-only strategies, decreased $3 million, or 41%, as compared to the 2011 period, primarily due to a change in fee structure on one mandate from a quarterly to an annual performance fee basis. Other revenue decreased $5 million, or 30%, as compared to the 2011 period, primarily due to a decline in commissions and custody fees.</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Operating expenses decreased $4 million, or 3%, as compared to the 2011 period, with such decrease primarily due to a decrease in compensation and benefits expense and lower fees for fund administration related to the decrease in average AUM, partially offset by higher occupancy costs in the 2012 period, the latter primarily as a result of our amended lease and associated build-out costs of our Rockefeller Center facility.</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Asset Management operating income was $54 million, a decrease of $30 million, or 35%, as compared to operating income of $84 million in the 2011 period and, as a percentage of net revenue, was 25.8%, as compared to 34.3% in the 2011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versus June 30, 2011</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Asset Management net revenue decreased $46 million, or 10%, as compared to the 2011 period. Management fees decreased $33 million, or 8%, as compared to the 2011 period, driven primarily by a 6% decrease in average AUM, generally reflecting market depreciation in the second half of 2011. Incentive fees, principally consisting of traditional long-only strategies, decreased $5 million, or 45%, as compared to the 2011 period, primarily due to a change in fee structure on one mandate from a quarterly to an annual performance fee basis. Other revenue decreased $8 million, or 25%, as compared to the 2011 period, primarily due to a decline in commissions and custody fees from an unusually strong 2011 period.</w:t>
      </w:r>
    </w:p>
    <w:p>
      <w:pPr>
        <w:spacing w:after="0" w:line="11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Operating expenses increased $7 million, or 2%, as compared to the 2011 period, with such increase primarily due to an increase in compensation and benefits expense and higher occupancy costs in the 2012 period, the latter primarily as a result of our amended lease and associated build-out costs of our Rockefeller Center facility, partially offset by lower fees for fund administration related to a decrease in average AUM.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Asset Management operating income was $109 million, a decrease of $53 million, or 33%, as compared to operating income of $162 million in the 2011 period and, as a percentage of net revenue, was 25.5%, as compared to 34.3% in the 2011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of the Corporate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5"/>
          </w:tcPr>
          <w:p>
            <w:pPr>
              <w:jc w:val="right"/>
              <w:ind w:right="932"/>
              <w:spacing w:after="0" w:line="142" w:lineRule="exact"/>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3,891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Expense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12"/>
              <w:spacing w:after="0"/>
              <w:rPr>
                <w:sz w:val="20"/>
                <w:szCs w:val="20"/>
                <w:color w:val="auto"/>
              </w:rPr>
            </w:pPr>
            <w:r>
              <w:rPr>
                <w:rFonts w:ascii="Arial" w:cs="Arial" w:eastAsia="Arial" w:hAnsi="Arial"/>
                <w:sz w:val="18"/>
                <w:szCs w:val="18"/>
                <w:color w:val="auto"/>
                <w:w w:val="89"/>
              </w:rPr>
              <w:t>(23,189)</w:t>
            </w:r>
          </w:p>
        </w:tc>
        <w:tc>
          <w:tcPr>
            <w:tcW w:w="1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(23,641)</w:t>
            </w:r>
          </w:p>
        </w:tc>
        <w:tc>
          <w:tcPr>
            <w:tcW w:w="120" w:type="dxa"/>
            <w:vAlign w:val="bottom"/>
          </w:tcPr>
          <w:p>
            <w:pPr>
              <w:spacing w:after="0"/>
              <w:rPr>
                <w:sz w:val="18"/>
                <w:szCs w:val="18"/>
                <w:color w:val="auto"/>
              </w:rPr>
            </w:pPr>
          </w:p>
        </w:tc>
        <w:tc>
          <w:tcPr>
            <w:tcW w:w="1080" w:type="dxa"/>
            <w:vAlign w:val="bottom"/>
            <w:gridSpan w:val="2"/>
          </w:tcPr>
          <w:p>
            <w:pPr>
              <w:jc w:val="right"/>
              <w:ind w:right="392"/>
              <w:spacing w:after="0"/>
              <w:rPr>
                <w:sz w:val="20"/>
                <w:szCs w:val="20"/>
                <w:color w:val="auto"/>
              </w:rPr>
            </w:pPr>
            <w:r>
              <w:rPr>
                <w:rFonts w:ascii="Arial" w:cs="Arial" w:eastAsia="Arial" w:hAnsi="Arial"/>
                <w:sz w:val="18"/>
                <w:szCs w:val="18"/>
                <w:color w:val="auto"/>
                <w:w w:val="89"/>
              </w:rPr>
              <w:t>(45,809)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(47,375)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9"/>
              </w:rPr>
              <w:t>(19,298)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(20,128)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9"/>
              </w:rPr>
              <w:t>(38,708)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Revenue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72"/>
              <w:spacing w:after="0"/>
              <w:rPr>
                <w:sz w:val="20"/>
                <w:szCs w:val="20"/>
                <w:color w:val="auto"/>
              </w:rPr>
            </w:pPr>
            <w:r>
              <w:rPr>
                <w:rFonts w:ascii="Arial" w:cs="Arial" w:eastAsia="Arial" w:hAnsi="Arial"/>
                <w:sz w:val="18"/>
                <w:szCs w:val="18"/>
                <w:color w:val="auto"/>
              </w:rPr>
              <w:t>2,558</w:t>
            </w: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3,794</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10,773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9"/>
              </w:rPr>
              <w:t>(16,740)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(16,334)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9"/>
              </w:rPr>
              <w:t>(27,935)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(33,819)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Expenses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72"/>
              <w:spacing w:after="0"/>
              <w:rPr>
                <w:sz w:val="20"/>
                <w:szCs w:val="20"/>
                <w:color w:val="auto"/>
              </w:rPr>
            </w:pPr>
            <w:r>
              <w:rPr>
                <w:rFonts w:ascii="Arial" w:cs="Arial" w:eastAsia="Arial" w:hAnsi="Arial"/>
                <w:sz w:val="18"/>
                <w:szCs w:val="18"/>
                <w:color w:val="auto"/>
              </w:rPr>
              <w:t>3,667</w:t>
            </w: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12,129</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41,230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13,676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9"/>
              </w:rPr>
              <w:t>(20,407)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(28,463)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9"/>
              </w:rPr>
              <w:t>(69,165)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(47,495)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2012 versus June 30,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$1 million, or 4%, as compared to the 2011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$1 million, or 33%, primarily resulting from a decrease in investment gains versus the 2011 period.</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Operating expenses decreased $8 million, primarily due to decreased compensation and benefits expense, partially offset by higher occupancy costs in the 2012 period as a result of our amended lease and associated build-out costs of our Rockefeller Center facility and increased technology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versus June 30,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$2 million, or 4%, as compared to the 2011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increased $4 million, primarily due to a higher level of investment gains versus the 2011 period.</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Operating expenses in the 2012 period (including the above-mentioned $25 million charge in the first quarter of 2012 relating to staff reductions) increased $28 million. Excluding the impact of such staff reduction charge, operating expenses in the 2012 period increased $3 million, or 21%, as compared to the 2011 period, primarily due to (i) higher occupancy costs in the 2012 period as a result of our amended lease and associated build-out costs of our Rockefeller Center facility and (ii) increased technology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Company’s cash flows are influenced by the timing of the receipt of Financial Advisory and Asset Management fees, the timing of distributions to members, payments of incentive compensation to managing directors and employees and purchases of Class A common stock. M&amp;A, Strategic Advisory, and Asset Management fees are generally collected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4"/>
          </w:tcPr>
          <w:p>
            <w:pPr>
              <w:jc w:val="center"/>
              <w:ind w:left="55"/>
              <w:spacing w:after="0"/>
              <w:rPr>
                <w:sz w:val="20"/>
                <w:szCs w:val="20"/>
                <w:color w:val="auto"/>
              </w:rPr>
            </w:pPr>
            <w:r>
              <w:rPr>
                <w:rFonts w:ascii="Arial" w:cs="Arial" w:eastAsia="Arial" w:hAnsi="Arial"/>
                <w:sz w:val="14"/>
                <w:szCs w:val="14"/>
                <w:b w:val="1"/>
                <w:bCs w:val="1"/>
                <w:color w:val="auto"/>
                <w:w w:val="87"/>
              </w:rPr>
              <w:t>Six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800" w:type="dxa"/>
            <w:vAlign w:val="bottom"/>
            <w:tcBorders>
              <w:bottom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left="215"/>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62.7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340" w:type="dxa"/>
            <w:vAlign w:val="bottom"/>
          </w:tcPr>
          <w:p>
            <w:pPr>
              <w:spacing w:after="0"/>
              <w:rPr>
                <w:sz w:val="18"/>
                <w:szCs w:val="18"/>
                <w:color w:val="auto"/>
              </w:rPr>
            </w:pPr>
          </w:p>
        </w:tc>
        <w:tc>
          <w:tcPr>
            <w:tcW w:w="1160" w:type="dxa"/>
            <w:vAlign w:val="bottom"/>
            <w:gridSpan w:val="2"/>
          </w:tcPr>
          <w:p>
            <w:pPr>
              <w:jc w:val="right"/>
              <w:ind w:right="632"/>
              <w:spacing w:after="0"/>
              <w:rPr>
                <w:sz w:val="20"/>
                <w:szCs w:val="20"/>
                <w:color w:val="auto"/>
              </w:rPr>
            </w:pPr>
            <w:r>
              <w:rPr>
                <w:rFonts w:ascii="Arial" w:cs="Arial" w:eastAsia="Arial" w:hAnsi="Arial"/>
                <w:sz w:val="18"/>
                <w:szCs w:val="18"/>
                <w:color w:val="auto"/>
                <w:w w:val="97"/>
              </w:rPr>
              <w:t>196.5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7"/>
              </w:rPr>
              <w:t>(232.3)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 w:type="dxa"/>
            <w:vAlign w:val="bottom"/>
          </w:tcPr>
          <w:p>
            <w:pPr>
              <w:spacing w:after="0"/>
              <w:rPr>
                <w:sz w:val="19"/>
                <w:szCs w:val="19"/>
                <w:color w:val="auto"/>
              </w:rPr>
            </w:pPr>
          </w:p>
        </w:tc>
        <w:tc>
          <w:tcPr>
            <w:tcW w:w="83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632"/>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8"/>
        </w:trPr>
        <w:tc>
          <w:tcPr>
            <w:tcW w:w="8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(46.9)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340" w:type="dxa"/>
            <w:vAlign w:val="bottom"/>
          </w:tcPr>
          <w:p>
            <w:pPr>
              <w:spacing w:after="0"/>
              <w:rPr>
                <w:sz w:val="18"/>
                <w:szCs w:val="18"/>
                <w:color w:val="auto"/>
              </w:rPr>
            </w:pPr>
          </w:p>
        </w:tc>
        <w:tc>
          <w:tcPr>
            <w:tcW w:w="1160" w:type="dxa"/>
            <w:vAlign w:val="bottom"/>
            <w:gridSpan w:val="2"/>
          </w:tcPr>
          <w:p>
            <w:pPr>
              <w:jc w:val="right"/>
              <w:ind w:right="572"/>
              <w:spacing w:after="0"/>
              <w:rPr>
                <w:sz w:val="20"/>
                <w:szCs w:val="20"/>
                <w:color w:val="auto"/>
              </w:rPr>
            </w:pPr>
            <w:r>
              <w:rPr>
                <w:rFonts w:ascii="Arial" w:cs="Arial" w:eastAsia="Arial" w:hAnsi="Arial"/>
                <w:sz w:val="18"/>
                <w:szCs w:val="18"/>
                <w:color w:val="auto"/>
              </w:rPr>
              <w:t>(74.3)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572"/>
              <w:spacing w:after="0"/>
              <w:rPr>
                <w:sz w:val="20"/>
                <w:szCs w:val="20"/>
                <w:color w:val="auto"/>
              </w:rPr>
            </w:pPr>
            <w:r>
              <w:rPr>
                <w:rFonts w:ascii="Arial" w:cs="Arial" w:eastAsia="Arial" w:hAnsi="Arial"/>
                <w:sz w:val="18"/>
                <w:szCs w:val="18"/>
                <w:color w:val="auto"/>
              </w:rPr>
              <w:t>(95.6)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8"/>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340" w:type="dxa"/>
            <w:vAlign w:val="bottom"/>
          </w:tcPr>
          <w:p>
            <w:pPr>
              <w:spacing w:after="0"/>
              <w:rPr>
                <w:sz w:val="18"/>
                <w:szCs w:val="18"/>
                <w:color w:val="auto"/>
              </w:rPr>
            </w:pPr>
          </w:p>
        </w:tc>
        <w:tc>
          <w:tcPr>
            <w:tcW w:w="1160" w:type="dxa"/>
            <w:vAlign w:val="bottom"/>
            <w:gridSpan w:val="2"/>
          </w:tcPr>
          <w:p>
            <w:pPr>
              <w:jc w:val="right"/>
              <w:ind w:right="632"/>
              <w:spacing w:after="0"/>
              <w:rPr>
                <w:sz w:val="20"/>
                <w:szCs w:val="20"/>
                <w:color w:val="auto"/>
              </w:rPr>
            </w:pPr>
            <w:r>
              <w:rPr>
                <w:rFonts w:ascii="Arial" w:cs="Arial" w:eastAsia="Arial" w:hAnsi="Arial"/>
                <w:sz w:val="18"/>
                <w:szCs w:val="18"/>
                <w:color w:val="auto"/>
                <w:w w:val="97"/>
              </w:rPr>
              <w:t>821.0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1,024.8</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50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$ 725.4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60" w:type="dxa"/>
            <w:vAlign w:val="bottom"/>
            <w:tcBorders>
              <w:bottom w:val="single" w:sz="8" w:color="auto"/>
            </w:tcBorders>
          </w:tcPr>
          <w:p>
            <w:pPr>
              <w:spacing w:after="0"/>
              <w:rPr>
                <w:sz w:val="8"/>
                <w:szCs w:val="8"/>
                <w:color w:val="auto"/>
              </w:rPr>
            </w:pPr>
          </w:p>
        </w:tc>
        <w:tc>
          <w:tcPr>
            <w:tcW w:w="8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16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14.8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340" w:type="dxa"/>
            <w:vAlign w:val="bottom"/>
          </w:tcPr>
          <w:p>
            <w:pPr>
              <w:spacing w:after="0"/>
              <w:rPr>
                <w:sz w:val="18"/>
                <w:szCs w:val="18"/>
                <w:color w:val="auto"/>
              </w:rPr>
            </w:pPr>
          </w:p>
        </w:tc>
        <w:tc>
          <w:tcPr>
            <w:tcW w:w="1160" w:type="dxa"/>
            <w:vAlign w:val="bottom"/>
            <w:gridSpan w:val="2"/>
          </w:tcPr>
          <w:p>
            <w:pPr>
              <w:jc w:val="right"/>
              <w:ind w:right="632"/>
              <w:spacing w:after="0"/>
              <w:rPr>
                <w:sz w:val="20"/>
                <w:szCs w:val="20"/>
                <w:color w:val="auto"/>
              </w:rPr>
            </w:pPr>
            <w:r>
              <w:rPr>
                <w:rFonts w:ascii="Arial" w:cs="Arial" w:eastAsia="Arial" w:hAnsi="Arial"/>
                <w:sz w:val="18"/>
                <w:szCs w:val="18"/>
                <w:color w:val="auto"/>
                <w:w w:val="97"/>
              </w:rPr>
              <w:t>172.4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Loss on sale of intercompany receivable</w:t>
            </w:r>
          </w:p>
        </w:tc>
        <w:tc>
          <w:tcPr>
            <w:tcW w:w="340" w:type="dxa"/>
            <w:vAlign w:val="bottom"/>
          </w:tcPr>
          <w:p>
            <w:pPr>
              <w:spacing w:after="0"/>
              <w:rPr>
                <w:sz w:val="18"/>
                <w:szCs w:val="18"/>
                <w:color w:val="auto"/>
              </w:rPr>
            </w:pPr>
          </w:p>
        </w:tc>
        <w:tc>
          <w:tcPr>
            <w:tcW w:w="1160" w:type="dxa"/>
            <w:vAlign w:val="bottom"/>
            <w:gridSpan w:val="2"/>
          </w:tcPr>
          <w:p>
            <w:pPr>
              <w:jc w:val="right"/>
              <w:ind w:right="632"/>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50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$ 196.5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300" w:hanging="452"/>
        <w:spacing w:after="0" w:line="255"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settlements of vested restricted stock units (“RSU”s), distributions to members and noncontrolling interest holders and activity relating to borrowings, and, in the 2012 period, proceeds from the sale of an intercompany receivable to a subsidiary of Lazard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revenue, operating income and cash receipts fluctuate significantly between quarters. In the case of Financial Advisory, fee receipts are generally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purchases of shares of Class A common stock and Lazard Group common membership interests and matters relating to liquidity and to compliance with regulatory net capital requirements. At June 30, 2012, Lazard had approximately $725 million of cash, with such amount including approximately $290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June 30, 2012, Lazard had approximately $299 million in unused lines of credit available to it, including a $150 million, three-year, senior revolving credit facility with a group of lenders that expires in April 2013 (the “Credit Facility”) (see “—Financing Activities” below) and unused lines of credit available to LFB of approximately $88 million (at June 30, 2012 exchange rates) and Edgewater of $55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table below sets forth our corporate indebtedness as of June 30, 2012 and December 31, 2011. The agreements with respect to this indebtedness are discussed in more detail in our condensed consolidated financial statements and related notes included elsewhere in this Form 10-Q and in our Form 10-K.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5"/>
              </w:rPr>
              <w:t>Maturity</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June 30,</w:t>
            </w:r>
          </w:p>
        </w:tc>
        <w:tc>
          <w:tcPr>
            <w:tcW w:w="6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Date</w:t>
            </w: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82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2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440"/>
              <w:spacing w:after="0"/>
              <w:rPr>
                <w:sz w:val="20"/>
                <w:szCs w:val="20"/>
                <w:color w:val="auto"/>
              </w:rPr>
            </w:pPr>
            <w:r>
              <w:rPr>
                <w:rFonts w:ascii="Arial" w:cs="Arial" w:eastAsia="Arial" w:hAnsi="Arial"/>
                <w:sz w:val="18"/>
                <w:szCs w:val="18"/>
                <w:color w:val="auto"/>
              </w:rPr>
              <w:t>7.125%</w:t>
            </w:r>
          </w:p>
        </w:tc>
        <w:tc>
          <w:tcPr>
            <w:tcW w:w="3500" w:type="dxa"/>
            <w:vAlign w:val="bottom"/>
            <w:gridSpan w:val="2"/>
          </w:tcPr>
          <w:p>
            <w:pPr>
              <w:jc w:val="center"/>
              <w:ind w:left="2912"/>
              <w:spacing w:after="0"/>
              <w:rPr>
                <w:sz w:val="20"/>
                <w:szCs w:val="20"/>
                <w:color w:val="auto"/>
              </w:rPr>
            </w:pPr>
            <w:r>
              <w:rPr>
                <w:rFonts w:ascii="Arial" w:cs="Arial" w:eastAsia="Arial" w:hAnsi="Arial"/>
                <w:sz w:val="18"/>
                <w:szCs w:val="18"/>
                <w:color w:val="auto"/>
                <w:w w:val="84"/>
              </w:rPr>
              <w:t>2015</w:t>
            </w:r>
          </w:p>
        </w:tc>
        <w:tc>
          <w:tcPr>
            <w:tcW w:w="7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  528.5</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3500" w:type="dxa"/>
            <w:vAlign w:val="bottom"/>
            <w:gridSpan w:val="2"/>
            <w:shd w:val="clear" w:color="auto" w:fill="CCEEFF"/>
          </w:tcPr>
          <w:p>
            <w:pPr>
              <w:jc w:val="center"/>
              <w:ind w:left="2912"/>
              <w:spacing w:after="0"/>
              <w:rPr>
                <w:sz w:val="20"/>
                <w:szCs w:val="20"/>
                <w:color w:val="auto"/>
              </w:rPr>
            </w:pPr>
            <w:r>
              <w:rPr>
                <w:rFonts w:ascii="Arial" w:cs="Arial" w:eastAsia="Arial" w:hAnsi="Arial"/>
                <w:sz w:val="18"/>
                <w:szCs w:val="18"/>
                <w:color w:val="auto"/>
                <w:w w:val="84"/>
              </w:rPr>
              <w:t>2017</w:t>
            </w:r>
          </w:p>
        </w:tc>
        <w:tc>
          <w:tcPr>
            <w:tcW w:w="7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548.4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Total Senior Debt</w:t>
            </w:r>
          </w:p>
        </w:tc>
        <w:tc>
          <w:tcPr>
            <w:tcW w:w="2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40" w:type="dxa"/>
            <w:vAlign w:val="bottom"/>
            <w:vMerge w:val="continue"/>
          </w:tcPr>
          <w:p>
            <w:pPr>
              <w:spacing w:after="0"/>
              <w:rPr>
                <w:sz w:val="19"/>
                <w:szCs w:val="19"/>
                <w:color w:val="auto"/>
              </w:rPr>
            </w:pPr>
          </w:p>
        </w:tc>
        <w:tc>
          <w:tcPr>
            <w:tcW w:w="2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1,076.9</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1,076.9</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80" w:type="dxa"/>
            <w:vAlign w:val="bottom"/>
            <w:vMerge w:val="restart"/>
          </w:tcPr>
          <w:p>
            <w:pPr>
              <w:jc w:val="right"/>
              <w:ind w:right="532"/>
              <w:spacing w:after="0"/>
              <w:rPr>
                <w:sz w:val="20"/>
                <w:szCs w:val="20"/>
                <w:color w:val="auto"/>
              </w:rPr>
            </w:pPr>
            <w:r>
              <w:rPr>
                <w:rFonts w:ascii="Arial" w:cs="Arial" w:eastAsia="Arial" w:hAnsi="Arial"/>
                <w:sz w:val="18"/>
                <w:szCs w:val="18"/>
                <w:color w:val="auto"/>
              </w:rPr>
              <w:t>59</w:t>
            </w: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June 30, 2012 Lazard Group was in compliance with such ratios, with its Consolidated Leverage Ratio being 2.20 to 1.00 and its Consolidated Interest Coverage Ratio being 7.11 to 1.00. In any event, no amounts were outstanding under the Credit Facility as of June 30, 2012.</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June 30, 2012,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10 of Notes to Condensed Consolidated Financial Statements for additional information regarding senior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June 30, 2012, total members’ equity was $769 million, as compared to $718 million at December 31, 2011, including $682 million and $614 million attributable to Lazard Group on the respective dates. The net activity in members’ equity during the six month period ended June 30, 2012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Equity—January 1, 2012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718</w:t>
            </w:r>
          </w:p>
        </w:tc>
        <w:tc>
          <w:tcPr>
            <w:tcW w:w="0" w:type="dxa"/>
            <w:vAlign w:val="bottom"/>
          </w:tcPr>
          <w:p>
            <w:pPr>
              <w:spacing w:after="0"/>
              <w:rPr>
                <w:sz w:val="1"/>
                <w:szCs w:val="1"/>
                <w:color w:val="auto"/>
              </w:rPr>
            </w:pPr>
          </w:p>
        </w:tc>
      </w:tr>
      <w:tr>
        <w:trPr>
          <w:trHeight w:val="323"/>
        </w:trPr>
        <w:tc>
          <w:tcPr>
            <w:tcW w:w="840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Amortization of share-based incentive compensation</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Class A common stock</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Delivery of Class A common stock in connection with share-based incentive compensation</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members and non controlling interests - net</w:t>
            </w: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Deconsolidation of investment companies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AOCI (including noncontrolling interests’ portion thereof)(*)</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Other - net</w:t>
            </w:r>
          </w:p>
        </w:tc>
        <w:tc>
          <w:tcPr>
            <w:tcW w:w="1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Equity—June 30, 2012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769</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 Includes:</w:t>
            </w: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foreign currency translation adjustments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Employee benefit plans and other adjustments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February 2011, October 2011 and April 2012, the Board of Directors of Lazard Ltd authorized the repurchase of up to $250 million, $125 million and $125 million, respectively, in aggregate cost of Class A common stock and Lazard Group common membership interests through December 31, 2012, December 31, 2013 and December 31, 2013, respectively. During the six month period ended June 30, 2012 Lazard Group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subsidiaries of Lazard Ltd repurchased 5,706,592 shares of Class A common stock, at an aggregate cost of $152 million (no Lazard Group common membership interests were purchased during such six month period). As of June 30, 2012, $185 million of the current aggregate share repurchase amount authorized as of such date remained available under the share repurchase program, all of which expires on December 31, 2013. Furthermore, under the terms of the 2005 Plan and the 2008 Plan, upon the vesting of RSUs, shares of Class A common stock may be withheld by the Company to cover estimated income taxes.</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first half of 2012, the Company had written trading plans under Rule 10b5-1 of the Securities Exchange Act of 1934 in place, pursuant to which it effected stock repurchases through the open market.</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to the repurchases of Class A common stock described above, during the six month period ended June 30, 2012, in order, among other reasons, to help neutralize the dilutive effect of our year-end share-based incentive compensation plans, the Company utilized $30 million to satisfy certain employees’ withholding tax obligations on vested RSUs and delivery of restricted Class A common stock in lieu of issuing 995,957 shares of Class A common stock directly by Lazard Ltd or by delivery of shares held by Lazard Group or other subsidiaries of Lazard Ltd.</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plans to deploy excess cash and may do so in a variety of ways, including by repurchasing outstanding shares of Class A common stock, making distributions to members and repurchasing its outstanding debt.</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See Notes 12 and 13 of Notes to Condensed Consolidated Financial Statements for additional information regarding Lazard’s members’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1-Business—Regulation” included in the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4"/>
              </w:rPr>
              <w:t>Contractual Obligations Due by Period</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7"/>
              </w:rPr>
              <w:t>Less than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6"/>
              </w:rPr>
              <w:t>3-5 Years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6"/>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$ 1,377,627</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75,218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$ 678,935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$ 623,474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Operating Leases (exclusive of $162,394 of sublease income)</w:t>
            </w:r>
          </w:p>
        </w:tc>
        <w:tc>
          <w:tcPr>
            <w:tcW w:w="2180" w:type="dxa"/>
            <w:vAlign w:val="bottom"/>
            <w:gridSpan w:val="3"/>
          </w:tcPr>
          <w:p>
            <w:pPr>
              <w:jc w:val="right"/>
              <w:ind w:right="100"/>
              <w:spacing w:after="0"/>
              <w:rPr>
                <w:sz w:val="20"/>
                <w:szCs w:val="20"/>
                <w:color w:val="auto"/>
              </w:rPr>
            </w:pPr>
            <w:r>
              <w:rPr>
                <w:rFonts w:ascii="Arial" w:cs="Arial" w:eastAsia="Arial" w:hAnsi="Arial"/>
                <w:sz w:val="18"/>
                <w:szCs w:val="18"/>
                <w:color w:val="auto"/>
              </w:rPr>
              <w:t>1,061,331</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61,617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146,668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723,024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21,940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3,693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1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35,726</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24,921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9,668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1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$ 2,496,624</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$ 165,449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$ 841,157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$ 766,994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723,024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 Note 10 of Notes to Condensed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11, 13, 14 and 15 of Notes to Condensed Consolidated Financial Statements regarding information in connection with commitments, incentive plans, employee benefit plans and income taxes,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32"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At December 31, 2011, the Company recorded deferred tax assets of approximately $189 million, with such amount partially offset by a valuation allowance of approximately $89 million due to the uncertainty of realizing the benefits of the book versus tax basis differences and certain net operating loss carry-forwards (and have not changed our assessment regarding the level of valuation allowance as of June 30, 2012). In assessing the realizability of deferred tax assets, we consider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We consider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reduced or is no longer necessary. The portion reduced would result in a reduction in the provision for income taxes. A change in the valuation allowance could materially impact Lazard’s consolidated financial position and results of operations. Furthermore, we apply the “more likely than not” criteria prior to the recognition of a financial statement benefit of a tax position taken or expected to be taken in a tax return with respect to uncertainties in income taxes.</w:t>
      </w:r>
    </w:p>
    <w:p>
      <w:pPr>
        <w:spacing w:after="0" w:line="11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Tax contingencies can involve complex issues and may require an extended period of time to resolve. Changes in the geographic mix or estimated level of annual pre-tax income can affect Lazard’s overall effective tax rate. Significant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“Risk Factors” and Note 19 of Notes to Consolidated Financial Statements in our Form 10-K for additional information related to income taxes.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Investments consist principally of debt securities, equities, interests in alternative asset management funds, fixed income funds and other private equity investments.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These investments are carried at either (a)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(b) if designated as “held-to-maturity” securities, amortized cost on the consolidated statements of financial condition. Any declines in the fair value of “available-for-sale” and “held-to-maturity” securities that are determined to be other than temporary are charged to earnings. As of December 31, 2010 and subsequent thereto, Lazard did not own any securities designated as “available-for-sale” or “held-to-maturity”.</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if applicable, AOCI and therefore subject Lazard to market and credit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is set forth below (in millions of dollars):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w w:val="96"/>
              </w:rPr>
              <w:t>June 30, 2012 (a)</w:t>
            </w:r>
          </w:p>
        </w:tc>
        <w:tc>
          <w:tcPr>
            <w:tcW w:w="120" w:type="dxa"/>
            <w:vAlign w:val="bottom"/>
          </w:tcPr>
          <w:p>
            <w:pPr>
              <w:spacing w:after="0"/>
              <w:rPr>
                <w:sz w:val="14"/>
                <w:szCs w:val="14"/>
                <w:color w:val="auto"/>
              </w:rPr>
            </w:pPr>
          </w:p>
        </w:tc>
        <w:tc>
          <w:tcPr>
            <w:tcW w:w="16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8"/>
              </w:rPr>
              <w:t>December 31, 2011 (a)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Equity securities (net of $1 and $4 of securities sold, not yet purchased, at June 30,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2"/>
          </w:tcPr>
          <w:p>
            <w:pPr>
              <w:ind w:left="200"/>
              <w:spacing w:after="0"/>
              <w:rPr>
                <w:sz w:val="20"/>
                <w:szCs w:val="20"/>
                <w:color w:val="auto"/>
              </w:rPr>
            </w:pPr>
            <w:r>
              <w:rPr>
                <w:rFonts w:ascii="Arial" w:cs="Arial" w:eastAsia="Arial" w:hAnsi="Arial"/>
                <w:sz w:val="18"/>
                <w:szCs w:val="18"/>
                <w:color w:val="auto"/>
              </w:rPr>
              <w:t>2012 and December 31, 2011, respectively) (c)</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152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asset management funds owned (principally general partnership interests in</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Lazard-managed hedge funds) (d)</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Private equity owned (e)</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94</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104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funds (f)</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Other (g)</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30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3"/>
            <w:vMerge w:val="continue"/>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$3,111</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8"/>
                <w:szCs w:val="18"/>
                <w:color w:val="auto"/>
                <w:w w:val="86"/>
              </w:rPr>
              <w:t>$ 3,037</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investments, as a percentage of total assets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investments held in connection with Lazard Fund Interests and other similar deferred compensation arrangements granted, with an aggregate fair value of $97 million and $27 million at June 30, 2012 and December 31, 2011, respectively. The majority of the market risk associated with such investments is equally offset by the market risk associated with the derivative liability with respect to such awards.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 Derivatives</w:t>
      </w:r>
      <w:r>
        <w:rPr>
          <w:rFonts w:ascii="Arial" w:cs="Arial" w:eastAsia="Arial" w:hAnsi="Arial"/>
          <w:sz w:val="18"/>
          <w:szCs w:val="18"/>
          <w:color w:val="auto"/>
        </w:rPr>
        <w:t>” for risk management information relating to derivatives.</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Debt securities primarily consist of seed investments in Asset Management products and U.S. and non-U.S. government debt securities.</w:t>
      </w:r>
    </w:p>
    <w:p>
      <w:pPr>
        <w:spacing w:after="0" w:line="90"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Equity securities primarily consist of seed investments in Asset Management products, which in turn invest in marketable equity securities of large-, mid-and small-cap domestic, international and global companies and include investments in public and private asset management funds managed both by LAM and third-party asset managers. Hedging strategies are employed to attempt to reduce market risk, and, in turn, the volatility to earnings. In addition, equity securities include amounts relating to Lazard Fund Interests awards and other similar deferred compensation arrangements (see (a) above).</w:t>
      </w:r>
    </w:p>
    <w:p>
      <w:pPr>
        <w:spacing w:after="0" w:line="112" w:lineRule="exact"/>
        <w:rPr>
          <w:rFonts w:ascii="Arial" w:cs="Arial" w:eastAsia="Arial" w:hAnsi="Arial"/>
          <w:sz w:val="16"/>
          <w:szCs w:val="16"/>
          <w:color w:val="auto"/>
        </w:rPr>
      </w:pPr>
    </w:p>
    <w:p>
      <w:pPr>
        <w:ind w:left="460" w:right="160"/>
        <w:spacing w:after="0" w:line="259" w:lineRule="auto"/>
        <w:rPr>
          <w:rFonts w:ascii="Arial" w:cs="Arial" w:eastAsia="Arial" w:hAnsi="Arial"/>
          <w:sz w:val="16"/>
          <w:szCs w:val="16"/>
          <w:color w:val="auto"/>
        </w:rPr>
      </w:pPr>
      <w:r>
        <w:rPr>
          <w:rFonts w:ascii="Arial" w:cs="Arial" w:eastAsia="Arial" w:hAnsi="Arial"/>
          <w:sz w:val="18"/>
          <w:szCs w:val="18"/>
          <w:color w:val="auto"/>
        </w:rPr>
        <w:t>At June 30, 2012 and December 31, 2011, investments in asset management funds, including amounts related to both seed investments and Lazard Fund Interests, represented 82% and 79%, respectively, of total equity securities. The remaining 18% and 21% at such respective dates represented investments in marketable equity securities, which were invested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June 30,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84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196"/>
        </w:trPr>
        <w:tc>
          <w:tcPr>
            <w:tcW w:w="842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42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84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r>
      <w:tr>
        <w:trPr>
          <w:trHeight w:val="216"/>
        </w:trPr>
        <w:tc>
          <w:tcPr>
            <w:tcW w:w="8420" w:type="dxa"/>
            <w:vAlign w:val="bottom"/>
          </w:tcPr>
          <w:p>
            <w:pPr>
              <w:ind w:left="1480"/>
              <w:spacing w:after="0"/>
              <w:rPr>
                <w:sz w:val="20"/>
                <w:szCs w:val="20"/>
                <w:color w:val="auto"/>
              </w:rPr>
            </w:pPr>
            <w:r>
              <w:rPr>
                <w:rFonts w:ascii="Arial" w:cs="Arial" w:eastAsia="Arial" w:hAnsi="Arial"/>
                <w:sz w:val="18"/>
                <w:szCs w:val="18"/>
                <w:color w:val="auto"/>
              </w:rPr>
              <w:t>Energy</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r>
      <w:tr>
        <w:trPr>
          <w:trHeight w:val="216"/>
        </w:trPr>
        <w:tc>
          <w:tcPr>
            <w:tcW w:w="84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Industrial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8420" w:type="dxa"/>
            <w:vAlign w:val="bottom"/>
          </w:tcPr>
          <w:p>
            <w:pPr>
              <w:ind w:left="1480"/>
              <w:spacing w:after="0"/>
              <w:rPr>
                <w:sz w:val="20"/>
                <w:szCs w:val="20"/>
                <w:color w:val="auto"/>
              </w:rPr>
            </w:pPr>
            <w:r>
              <w:rPr>
                <w:rFonts w:ascii="Arial" w:cs="Arial" w:eastAsia="Arial" w:hAnsi="Arial"/>
                <w:sz w:val="18"/>
                <w:szCs w:val="18"/>
                <w:color w:val="auto"/>
              </w:rPr>
              <w:t>Basic materials</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84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22"/>
        </w:trPr>
        <w:tc>
          <w:tcPr>
            <w:tcW w:w="8420" w:type="dxa"/>
            <w:vAlign w:val="bottom"/>
          </w:tcPr>
          <w:p>
            <w:pPr>
              <w:ind w:left="1480"/>
              <w:spacing w:after="0"/>
              <w:rPr>
                <w:sz w:val="20"/>
                <w:szCs w:val="20"/>
                <w:color w:val="auto"/>
              </w:rPr>
            </w:pPr>
            <w:r>
              <w:rPr>
                <w:rFonts w:ascii="Arial" w:cs="Arial" w:eastAsia="Arial" w:hAnsi="Arial"/>
                <w:sz w:val="18"/>
                <w:szCs w:val="18"/>
                <w:color w:val="auto"/>
              </w:rPr>
              <w:t>Total</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0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broadly diversified and may incorporate particular strategies; however, there are no investments in funds with a single sector strategy.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9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Comprised principally of investments in private equity funds that are generally not subject to short-term market fluctuation, but may subject Lazard to market or credit risk. Private equity investments primarily include (i) a mezzanine fund, which invests in mezzanine debt of a diversified selection of small-to mid-cap European companies; (ii) CP II, a private equity fund targeting significant noncontrolling investments in established public and private companies; (iii) Senior Housing, which targets controlling interests in companies and assets in senior housing, extended stay and shopping center sectors, (iv) Edgewater Growth Capital Partners III, L.P., a private equity fund primarily making growth equity and buyout investments in high-quality, lower middle market companies and (v) COF 2, a Lazard-managed Australian private equity fund.</w:t>
      </w:r>
    </w:p>
    <w:p>
      <w:pPr>
        <w:spacing w:after="0" w:line="39"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Fixed income funds primarily consist of seed investments in Asset Management products which invest in fixed income securities. Hedging strategies are employed to attempt to reduce market risk and, in turn, the volatility to earnings. In addition, fixed income funds include amounts relating to Lazard Fund Interests (see (a) above).</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investments (i) accounted for under the equity method of accounting and (ii) private equity and other interests that are consolidated but owned by noncontrolling interests, and therefore do not subject the Company to market or credit risk. The applicable noncontrolling interests are presented within “members’ equity” on the consolidated statements of financial condition.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June 30, 2012 and December 31, 2011, $119 million and $133 million, respectively, of our total investments at a fair value of $427 million and $351 million, respectively, or 28% and 38%, respectively, were classified as Level 3 assets. Substantially all of our Level 3 investments in both periods are priced based on a NAV or its equivalent. During the six month periods ended June 30, 2012 and 2011, gains of approximately $12 million and $4 million, respectively, were recognized in “revenue-other” on the condensed consolidated statements of operations pertaining to Level 3 investments.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additional information regarding risks associated with our investments, see “Risk Factors—Other Business Risks—Our results of operations may be affected by market fluctuations related to positions held in our investment portfolios” in our Form 10-K.</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prices provided by external pricing services. Accordingly, significant estimates and judgments are generally not involved in the calculation of the value of our AUM.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See Note 9 of Notes to Condensed Consolidated Financial Statements for additional information regarding goodwill.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59" w:lineRule="exact"/>
        <w:rPr>
          <w:sz w:val="20"/>
          <w:szCs w:val="20"/>
          <w:color w:val="auto"/>
        </w:rPr>
      </w:pPr>
    </w:p>
    <w:p>
      <w:pPr>
        <w:ind w:left="1480" w:hanging="446"/>
        <w:spacing w:after="0" w:line="256" w:lineRule="auto"/>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62" w:lineRule="exact"/>
        <w:rPr>
          <w:rFonts w:ascii="Arial" w:cs="Arial" w:eastAsia="Arial" w:hAnsi="Arial"/>
          <w:sz w:val="18"/>
          <w:szCs w:val="18"/>
          <w:color w:val="auto"/>
        </w:rPr>
      </w:pPr>
    </w:p>
    <w:p>
      <w:pPr>
        <w:ind w:left="1480" w:right="360" w:hanging="446"/>
        <w:spacing w:after="0" w:line="332" w:lineRule="auto"/>
        <w:tabs>
          <w:tab w:leader="none" w:pos="1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 Those VIEs include company-sponsored venture capital investment vehicles established in connection with Lazard’s compensation plans.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encounter risk in the normal course of business, and therefore, in order to help manage and monitor such risks, we have designed risk management processes which consider both the nature of our business and our operating model. We are subject to varying degrees of credit and market risk, including risks related to the level of soundness of our clients, financial, governmental and other institutions and third parties, as well as operational and liquidity risks (see “— Liquidity and Capital Resources”) and we monitor these risks at both an entity level and on a consolidated basis. Management within each of Lazard’s operating locations is principally responsible for managing the risks within its respective businesses on a day-to-day basis.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Market and credit risks related to our investing activities are discussed under “Critical Accounting Policies and Estimates—</w:t>
      </w:r>
      <w:r>
        <w:rPr>
          <w:rFonts w:ascii="Arial" w:cs="Arial" w:eastAsia="Arial" w:hAnsi="Arial"/>
          <w:sz w:val="18"/>
          <w:szCs w:val="18"/>
          <w:i w:val="1"/>
          <w:iCs w:val="1"/>
          <w:color w:val="auto"/>
        </w:rPr>
        <w:t>Investments</w:t>
      </w:r>
      <w:r>
        <w:rPr>
          <w:rFonts w:ascii="Arial" w:cs="Arial" w:eastAsia="Arial" w:hAnsi="Arial"/>
          <w:sz w:val="18"/>
          <w:szCs w:val="18"/>
          <w:color w:val="auto"/>
        </w:rPr>
        <w:t>” above. Risks related to Lazard’s other activities are presented below. Lazard has established procedures to assess credit and market risks, as well as specific interest rate and currency risk, and has established limits related to various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June 30, 2012, total receivables amounted to $680 million, net of an allowance for doubtful accounts of $21 million. As of that date, Financial Advisory and Asset Management fees, customer and related party receivables comprised 57%, 12% and 31% of total receivables, respectively. At December 31, 2011, total receivables amounted to $691 million, net of an allowance for doubtful accounts of $19 million. As of that date, Financial Advisory and Asset Management fees, customer and related party receivables comprised 58%, 12% and 30% of total receivables, respectively. At both June 30, 2012 and December 31, 2011, the Company had receivables past due of approximately $23 million. See also “Critical Accounting Policies and Estimates—</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above and Note 3 of Notes to Condensed Consolidated Financial Statements for additional information regarding receivables.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LFB engages in lending activities, including commitments to extend credit. At June 30, 2012 and December 31, 2011, customer receivables included $24 million and $29 million of LFB loans, respectively. Such loans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closely monitored for counterparty creditworthiness to help minimize exposure. In addition, as of June 30, 2012, LFB had commitments to lend totaling $22 million, which are fully collateralized and generally contain requirements for the counterparty to maintain a minimum collateral level.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and, in addition, LFB has in place concentration risk limits. At June 30, 2012, excluding inter-bank counterparties, LFB had no exposure to an individual counterparty that exceeded $21 million, with such amount being fully collateralized. With respect to activities outside LFB, as of June 30, 2012, the Company’s largest individual counterparty exposure was a Financial Advisory fee receivable of $19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equity investments. At June 30, 2012 and December 31, 2011, such derivative contracts are recorded at fair value. Derivative assets amounted to $4 million and $7 million at June 30, 2012 and December 31, 2011, respectively, and derivative liabilities, excluding the derivative liability arising from the Company’s obligation with respect to Lazard Fund Interests and other similar deferred compensation arrangements, amounted to $2 million and $1 million at such respective dates.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also records derivative liabilities relating to its obligations pertaining to Lazard Fund Interests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currently expected to be delivered upon settlement of Lazard Fund Interests awards. Derivative liabilities relating to Lazard Fund Interests amounted to $86 million and $30 million at June 30, 2012 and December 31, 2011, respectively.</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June 30, 2012, the impact of potential significant movements in either the currency or interest rate markets on LFB’s positions would not materially affect the Company’s annual operating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June 30, 2012, Lazard estimates that its annual operating income relating to cash and short-term investments and corporate indebtedness would increase by approximately $7 million in the event interest rates were to increase by 1% and decrease by approximately $2 million if rates were to decrease by 1%.</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June 30, 2012, the Company’s cash and cash equivalents totaled approximately $725 million. Substantially all of the Company’s cash and cash equivalents were invested in highly liquid institutional money market funds (a significant majority of which were invested solely in U.S. Government or agency money market funds)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40"/>
          </w:cols>
          <w:pgMar w:left="240" w:top="459" w:right="3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5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w w:val="91"/>
              </w:rPr>
              <w:t>Item 6.</w:t>
            </w:r>
          </w:p>
        </w:tc>
        <w:tc>
          <w:tcPr>
            <w:tcW w:w="10640" w:type="dxa"/>
            <w:vAlign w:val="bottom"/>
          </w:tcPr>
          <w:p>
            <w:pPr>
              <w:ind w:left="300"/>
              <w:spacing w:after="0"/>
              <w:rPr>
                <w:sz w:val="20"/>
                <w:szCs w:val="20"/>
                <w:color w:val="auto"/>
              </w:rPr>
            </w:pPr>
            <w:r>
              <w:rPr>
                <w:rFonts w:ascii="Arial" w:cs="Arial" w:eastAsia="Arial" w:hAnsi="Arial"/>
                <w:sz w:val="18"/>
                <w:szCs w:val="18"/>
                <w:b w:val="1"/>
                <w:bCs w:val="1"/>
                <w:color w:val="auto"/>
              </w:rPr>
              <w:t>Exhibits</w:t>
            </w:r>
          </w:p>
        </w:tc>
      </w:tr>
      <w:tr>
        <w:trPr>
          <w:trHeight w:val="520"/>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3.1</w:t>
            </w:r>
          </w:p>
        </w:tc>
        <w:tc>
          <w:tcPr>
            <w:tcW w:w="10640" w:type="dxa"/>
            <w:vAlign w:val="bottom"/>
          </w:tcPr>
          <w:p>
            <w:pPr>
              <w:ind w:left="180"/>
              <w:spacing w:after="0"/>
              <w:rPr>
                <w:sz w:val="20"/>
                <w:szCs w:val="20"/>
                <w:color w:val="auto"/>
              </w:rPr>
            </w:pPr>
            <w:r>
              <w:rPr>
                <w:rFonts w:ascii="Arial" w:cs="Arial" w:eastAsia="Arial" w:hAnsi="Arial"/>
                <w:sz w:val="18"/>
                <w:szCs w:val="18"/>
                <w:color w:val="auto"/>
                <w:w w:val="89"/>
              </w:rPr>
              <w:t>Certificate of Formation of the Registrant (incorporated by reference to Exhibit 3.1 to the Registrant’s Registration Statement (File No. 333-126751)</w:t>
            </w:r>
          </w:p>
        </w:tc>
      </w:tr>
      <w:tr>
        <w:trPr>
          <w:trHeight w:val="222"/>
        </w:trPr>
        <w:tc>
          <w:tcPr>
            <w:tcW w:w="74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on Form S-4 filed on July 21, 2005).</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3.2</w:t>
            </w:r>
          </w:p>
        </w:tc>
        <w:tc>
          <w:tcPr>
            <w:tcW w:w="10640" w:type="dxa"/>
            <w:vAlign w:val="bottom"/>
          </w:tcPr>
          <w:p>
            <w:pPr>
              <w:ind w:left="180"/>
              <w:spacing w:after="0"/>
              <w:rPr>
                <w:sz w:val="20"/>
                <w:szCs w:val="20"/>
                <w:color w:val="auto"/>
              </w:rPr>
            </w:pPr>
            <w:r>
              <w:rPr>
                <w:rFonts w:ascii="Arial" w:cs="Arial" w:eastAsia="Arial" w:hAnsi="Arial"/>
                <w:sz w:val="18"/>
                <w:szCs w:val="18"/>
                <w:color w:val="auto"/>
                <w:w w:val="90"/>
              </w:rPr>
              <w:t>Certificate of Amendment of Certificate of Formation of the Registrant, changing name to Lazard Group LLC (incorporated by reference to Exhibit</w:t>
            </w:r>
          </w:p>
        </w:tc>
      </w:tr>
      <w:tr>
        <w:trPr>
          <w:trHeight w:val="222"/>
        </w:trPr>
        <w:tc>
          <w:tcPr>
            <w:tcW w:w="74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3.2 to the Registrant’s Registration Statement (File No. 333-126751) on Form S-4 filed on July 21, 2005).</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3.3</w:t>
            </w:r>
          </w:p>
        </w:tc>
        <w:tc>
          <w:tcPr>
            <w:tcW w:w="10640" w:type="dxa"/>
            <w:vAlign w:val="bottom"/>
          </w:tcPr>
          <w:p>
            <w:pPr>
              <w:ind w:left="180"/>
              <w:spacing w:after="0"/>
              <w:rPr>
                <w:sz w:val="20"/>
                <w:szCs w:val="20"/>
                <w:color w:val="auto"/>
              </w:rPr>
            </w:pPr>
            <w:r>
              <w:rPr>
                <w:rFonts w:ascii="Arial" w:cs="Arial" w:eastAsia="Arial" w:hAnsi="Arial"/>
                <w:sz w:val="18"/>
                <w:szCs w:val="18"/>
                <w:color w:val="auto"/>
                <w:w w:val="90"/>
              </w:rPr>
              <w:t>Operating Agreement of Lazard Group LLC, dated as of May 10, 2005 (incorporated by reference to Exhibit 10.2 to Lazard Ltd’s Quarterly Report</w:t>
            </w:r>
          </w:p>
        </w:tc>
      </w:tr>
      <w:tr>
        <w:trPr>
          <w:trHeight w:val="222"/>
        </w:trPr>
        <w:tc>
          <w:tcPr>
            <w:tcW w:w="74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(File No. 001-32492) on Form 10-Q filed on June 16, 2005).</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3.4</w:t>
            </w:r>
          </w:p>
        </w:tc>
        <w:tc>
          <w:tcPr>
            <w:tcW w:w="10640" w:type="dxa"/>
            <w:vAlign w:val="bottom"/>
          </w:tcPr>
          <w:p>
            <w:pPr>
              <w:ind w:left="180"/>
              <w:spacing w:after="0"/>
              <w:rPr>
                <w:sz w:val="20"/>
                <w:szCs w:val="20"/>
                <w:color w:val="auto"/>
              </w:rPr>
            </w:pPr>
            <w:r>
              <w:rPr>
                <w:rFonts w:ascii="Arial" w:cs="Arial" w:eastAsia="Arial" w:hAnsi="Arial"/>
                <w:sz w:val="18"/>
                <w:szCs w:val="18"/>
                <w:color w:val="auto"/>
                <w:w w:val="89"/>
              </w:rPr>
              <w:t>Amendment No. 1 to the Operating Agreement of Lazard Group LLC, dated as of December 19, 2005 (incorporated by reference to Exhibit 3.01 to</w:t>
            </w:r>
          </w:p>
        </w:tc>
      </w:tr>
      <w:tr>
        <w:trPr>
          <w:trHeight w:val="222"/>
        </w:trPr>
        <w:tc>
          <w:tcPr>
            <w:tcW w:w="74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the Registrant’s Current Report on Form 8-K (File No. 333-126751) filed on December 19, 2005).</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3.5</w:t>
            </w:r>
          </w:p>
        </w:tc>
        <w:tc>
          <w:tcPr>
            <w:tcW w:w="10640" w:type="dxa"/>
            <w:vAlign w:val="bottom"/>
          </w:tcPr>
          <w:p>
            <w:pPr>
              <w:ind w:left="180"/>
              <w:spacing w:after="0"/>
              <w:rPr>
                <w:sz w:val="20"/>
                <w:szCs w:val="20"/>
                <w:color w:val="auto"/>
              </w:rPr>
            </w:pPr>
            <w:r>
              <w:rPr>
                <w:rFonts w:ascii="Arial" w:cs="Arial" w:eastAsia="Arial" w:hAnsi="Arial"/>
                <w:sz w:val="18"/>
                <w:szCs w:val="18"/>
                <w:color w:val="auto"/>
                <w:w w:val="94"/>
              </w:rPr>
              <w:t>Amendment No. 2, dated as of May 7, 2008, to the Operating Agreement of Lazard Group LLC, dated as of May 10, 2005 (incorporated by</w:t>
            </w:r>
          </w:p>
        </w:tc>
      </w:tr>
      <w:tr>
        <w:trPr>
          <w:trHeight w:val="222"/>
        </w:trPr>
        <w:tc>
          <w:tcPr>
            <w:tcW w:w="74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reference to Exhibit 3.1 to the Registrant’s Current Report on Form 8-K (File No. 333-126751) filed on May 8, 2008).</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3.6</w:t>
            </w:r>
          </w:p>
        </w:tc>
        <w:tc>
          <w:tcPr>
            <w:tcW w:w="10640" w:type="dxa"/>
            <w:vAlign w:val="bottom"/>
          </w:tcPr>
          <w:p>
            <w:pPr>
              <w:ind w:left="180"/>
              <w:spacing w:after="0"/>
              <w:rPr>
                <w:sz w:val="20"/>
                <w:szCs w:val="20"/>
                <w:color w:val="auto"/>
              </w:rPr>
            </w:pPr>
            <w:r>
              <w:rPr>
                <w:rFonts w:ascii="Arial" w:cs="Arial" w:eastAsia="Arial" w:hAnsi="Arial"/>
                <w:sz w:val="18"/>
                <w:szCs w:val="18"/>
                <w:color w:val="auto"/>
                <w:w w:val="93"/>
              </w:rPr>
              <w:t>Amendment No. 3, dated as of April 27, 2010, to the Operating Agreement of Lazard Group LLC, dated as of May 10, 2005 (incorporated by</w:t>
            </w:r>
          </w:p>
        </w:tc>
      </w:tr>
      <w:tr>
        <w:trPr>
          <w:trHeight w:val="222"/>
        </w:trPr>
        <w:tc>
          <w:tcPr>
            <w:tcW w:w="74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reference to Exhibit 3.6 to the Registrant’s Quarterly Report (File No. 333-126751) on Form 10-Q filed on April 30, 2010).</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4.1</w:t>
            </w:r>
          </w:p>
        </w:tc>
        <w:tc>
          <w:tcPr>
            <w:tcW w:w="10640" w:type="dxa"/>
            <w:vAlign w:val="bottom"/>
          </w:tcPr>
          <w:p>
            <w:pPr>
              <w:ind w:left="180"/>
              <w:spacing w:after="0"/>
              <w:rPr>
                <w:sz w:val="20"/>
                <w:szCs w:val="20"/>
                <w:color w:val="auto"/>
              </w:rPr>
            </w:pPr>
            <w:r>
              <w:rPr>
                <w:rFonts w:ascii="Arial" w:cs="Arial" w:eastAsia="Arial" w:hAnsi="Arial"/>
                <w:sz w:val="18"/>
                <w:szCs w:val="18"/>
                <w:color w:val="auto"/>
                <w:w w:val="88"/>
              </w:rPr>
              <w:t>Indenture, dated as of May 10, 2005, by and between the Registrant and The Bank of New York, as Trustee (incorporated by reference to Exhibit 4.1</w:t>
            </w:r>
          </w:p>
        </w:tc>
      </w:tr>
      <w:tr>
        <w:trPr>
          <w:trHeight w:val="222"/>
        </w:trPr>
        <w:tc>
          <w:tcPr>
            <w:tcW w:w="74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to the Registrant’s Registration Statement (File No. 333-126751) on Form S-4 filed on July 21, 2005).</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4.2</w:t>
            </w:r>
          </w:p>
        </w:tc>
        <w:tc>
          <w:tcPr>
            <w:tcW w:w="10640" w:type="dxa"/>
            <w:vAlign w:val="bottom"/>
          </w:tcPr>
          <w:p>
            <w:pPr>
              <w:ind w:left="180"/>
              <w:spacing w:after="0"/>
              <w:rPr>
                <w:sz w:val="20"/>
                <w:szCs w:val="20"/>
                <w:color w:val="auto"/>
              </w:rPr>
            </w:pPr>
            <w:r>
              <w:rPr>
                <w:rFonts w:ascii="Arial" w:cs="Arial" w:eastAsia="Arial" w:hAnsi="Arial"/>
                <w:sz w:val="18"/>
                <w:szCs w:val="18"/>
                <w:color w:val="auto"/>
                <w:w w:val="92"/>
              </w:rPr>
              <w:t>Amended and Restated Third Supplemental Indenture, dated as of May 15, 2008, by and among the Registrant and The Bank of New York, as</w:t>
            </w:r>
          </w:p>
        </w:tc>
      </w:tr>
      <w:tr>
        <w:trPr>
          <w:trHeight w:val="216"/>
        </w:trPr>
        <w:tc>
          <w:tcPr>
            <w:tcW w:w="740" w:type="dxa"/>
            <w:vAlign w:val="bottom"/>
          </w:tcPr>
          <w:p>
            <w:pPr>
              <w:spacing w:after="0"/>
              <w:rPr>
                <w:sz w:val="18"/>
                <w:szCs w:val="18"/>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w w:val="91"/>
              </w:rPr>
              <w:t>trustee (and incorporated by reference to Exhibit 4.1 to the Registrants’ Current Report on Form 8-K (Commission File No. 333-126751) filed on</w:t>
            </w:r>
          </w:p>
        </w:tc>
      </w:tr>
      <w:tr>
        <w:trPr>
          <w:trHeight w:val="222"/>
        </w:trPr>
        <w:tc>
          <w:tcPr>
            <w:tcW w:w="74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May 16, 2008).</w:t>
            </w:r>
          </w:p>
        </w:tc>
      </w:tr>
      <w:tr>
        <w:trPr>
          <w:trHeight w:val="331"/>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4.3</w:t>
            </w:r>
          </w:p>
        </w:tc>
        <w:tc>
          <w:tcPr>
            <w:tcW w:w="10640" w:type="dxa"/>
            <w:vAlign w:val="bottom"/>
          </w:tcPr>
          <w:p>
            <w:pPr>
              <w:ind w:left="180"/>
              <w:spacing w:after="0"/>
              <w:rPr>
                <w:sz w:val="20"/>
                <w:szCs w:val="20"/>
                <w:color w:val="auto"/>
              </w:rPr>
            </w:pPr>
            <w:r>
              <w:rPr>
                <w:rFonts w:ascii="Arial" w:cs="Arial" w:eastAsia="Arial" w:hAnsi="Arial"/>
                <w:sz w:val="18"/>
                <w:szCs w:val="18"/>
                <w:color w:val="auto"/>
                <w:w w:val="87"/>
              </w:rPr>
              <w:t>Fourth Supplemental Indenture, dated as of June 21, 2007, between the Registrant and The Bank of New York, as trustee (incorporated by reference</w:t>
            </w:r>
          </w:p>
        </w:tc>
      </w:tr>
      <w:tr>
        <w:trPr>
          <w:trHeight w:val="222"/>
        </w:trPr>
        <w:tc>
          <w:tcPr>
            <w:tcW w:w="74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to Exhibit 4.1 to the Registrant’s Current Report on Form 8-K (File No. 333-126751) filed on June 22, 2007).</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4.4</w:t>
            </w:r>
          </w:p>
        </w:tc>
        <w:tc>
          <w:tcPr>
            <w:tcW w:w="10640" w:type="dxa"/>
            <w:vAlign w:val="bottom"/>
          </w:tcPr>
          <w:p>
            <w:pPr>
              <w:ind w:left="180"/>
              <w:spacing w:after="0"/>
              <w:rPr>
                <w:sz w:val="20"/>
                <w:szCs w:val="20"/>
                <w:color w:val="auto"/>
              </w:rPr>
            </w:pPr>
            <w:r>
              <w:rPr>
                <w:rFonts w:ascii="Arial" w:cs="Arial" w:eastAsia="Arial" w:hAnsi="Arial"/>
                <w:sz w:val="18"/>
                <w:szCs w:val="18"/>
                <w:color w:val="auto"/>
              </w:rPr>
              <w:t>Form of Senior Note (included in Exhibit 4.2).</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4.5</w:t>
            </w:r>
          </w:p>
        </w:tc>
        <w:tc>
          <w:tcPr>
            <w:tcW w:w="10640" w:type="dxa"/>
            <w:vAlign w:val="bottom"/>
          </w:tcPr>
          <w:p>
            <w:pPr>
              <w:ind w:left="180"/>
              <w:spacing w:after="0"/>
              <w:rPr>
                <w:sz w:val="20"/>
                <w:szCs w:val="20"/>
                <w:color w:val="auto"/>
              </w:rPr>
            </w:pPr>
            <w:r>
              <w:rPr>
                <w:rFonts w:ascii="Arial" w:cs="Arial" w:eastAsia="Arial" w:hAnsi="Arial"/>
                <w:sz w:val="18"/>
                <w:szCs w:val="18"/>
                <w:color w:val="auto"/>
                <w:w w:val="88"/>
              </w:rPr>
              <w:t>$546 million, 7.125% Senior Notes Due 2015, issued by the Registrant (incorporated by reference to Exhibit 4.5 to the Registrant’s Quarterly Report</w:t>
            </w:r>
          </w:p>
        </w:tc>
      </w:tr>
      <w:tr>
        <w:trPr>
          <w:trHeight w:val="222"/>
        </w:trPr>
        <w:tc>
          <w:tcPr>
            <w:tcW w:w="74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(File No. 333-126751) on Form 10-Q filed on November 14, 2005).</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10.1</w:t>
            </w:r>
          </w:p>
        </w:tc>
        <w:tc>
          <w:tcPr>
            <w:tcW w:w="10640" w:type="dxa"/>
            <w:vAlign w:val="bottom"/>
          </w:tcPr>
          <w:p>
            <w:pPr>
              <w:ind w:left="180"/>
              <w:spacing w:after="0"/>
              <w:rPr>
                <w:sz w:val="20"/>
                <w:szCs w:val="20"/>
                <w:color w:val="auto"/>
              </w:rPr>
            </w:pPr>
            <w:r>
              <w:rPr>
                <w:rFonts w:ascii="Arial" w:cs="Arial" w:eastAsia="Arial" w:hAnsi="Arial"/>
                <w:sz w:val="18"/>
                <w:szCs w:val="18"/>
                <w:color w:val="auto"/>
                <w:w w:val="91"/>
              </w:rPr>
              <w:t>Master Separation Agreement, dated as of May 10, 2005, by and among the Registrant, Lazard Ltd, LAZ-MD Holdings LLC and LFCM Holdings</w:t>
            </w:r>
          </w:p>
        </w:tc>
      </w:tr>
      <w:tr>
        <w:trPr>
          <w:trHeight w:val="222"/>
        </w:trPr>
        <w:tc>
          <w:tcPr>
            <w:tcW w:w="74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w w:val="94"/>
              </w:rPr>
              <w:t>LLC (incorporated by reference to Exhibit 2.1 to Lazard Ltd’s Quarterly Report (File No. 001-32492) on Form 10-Q filed on June 16, 2005).</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10.2</w:t>
            </w:r>
          </w:p>
        </w:tc>
        <w:tc>
          <w:tcPr>
            <w:tcW w:w="10640" w:type="dxa"/>
            <w:vAlign w:val="bottom"/>
          </w:tcPr>
          <w:p>
            <w:pPr>
              <w:ind w:left="180"/>
              <w:spacing w:after="0"/>
              <w:rPr>
                <w:sz w:val="20"/>
                <w:szCs w:val="20"/>
                <w:color w:val="auto"/>
              </w:rPr>
            </w:pPr>
            <w:r>
              <w:rPr>
                <w:rFonts w:ascii="Arial" w:cs="Arial" w:eastAsia="Arial" w:hAnsi="Arial"/>
                <w:sz w:val="18"/>
                <w:szCs w:val="18"/>
                <w:color w:val="auto"/>
                <w:w w:val="90"/>
              </w:rPr>
              <w:t>Amendment No. 1, dated as of November 6, 2006, to the Master Separation Agreement, dated as of May 10, 2005, by and among the Registrant,</w:t>
            </w:r>
          </w:p>
        </w:tc>
      </w:tr>
      <w:tr>
        <w:trPr>
          <w:trHeight w:val="216"/>
        </w:trPr>
        <w:tc>
          <w:tcPr>
            <w:tcW w:w="740" w:type="dxa"/>
            <w:vAlign w:val="bottom"/>
          </w:tcPr>
          <w:p>
            <w:pPr>
              <w:spacing w:after="0"/>
              <w:rPr>
                <w:sz w:val="18"/>
                <w:szCs w:val="18"/>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w w:val="92"/>
              </w:rPr>
              <w:t>Lazard Ltd and LAZ-MD Holdings LLC (incorporated by reference to Exhibit 10.2 to the Registrant’s Quarterly Report (File No. 333-126751) on</w:t>
            </w:r>
          </w:p>
        </w:tc>
      </w:tr>
      <w:tr>
        <w:trPr>
          <w:trHeight w:val="222"/>
        </w:trPr>
        <w:tc>
          <w:tcPr>
            <w:tcW w:w="74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Form 10-Q filed on November 7, 2006).</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10.3</w:t>
            </w:r>
          </w:p>
        </w:tc>
        <w:tc>
          <w:tcPr>
            <w:tcW w:w="10640" w:type="dxa"/>
            <w:vAlign w:val="bottom"/>
          </w:tcPr>
          <w:p>
            <w:pPr>
              <w:ind w:left="180"/>
              <w:spacing w:after="0"/>
              <w:rPr>
                <w:sz w:val="20"/>
                <w:szCs w:val="20"/>
                <w:color w:val="auto"/>
              </w:rPr>
            </w:pPr>
            <w:r>
              <w:rPr>
                <w:rFonts w:ascii="Arial" w:cs="Arial" w:eastAsia="Arial" w:hAnsi="Arial"/>
                <w:sz w:val="18"/>
                <w:szCs w:val="18"/>
                <w:color w:val="auto"/>
                <w:w w:val="91"/>
              </w:rPr>
              <w:t>Second Amendment, dated as of May 7, 2008, to the Master Separation Agreement, dated as of May 10, 2005, as amended, by and among the</w:t>
            </w:r>
          </w:p>
        </w:tc>
      </w:tr>
      <w:tr>
        <w:trPr>
          <w:trHeight w:val="216"/>
        </w:trPr>
        <w:tc>
          <w:tcPr>
            <w:tcW w:w="740" w:type="dxa"/>
            <w:vAlign w:val="bottom"/>
          </w:tcPr>
          <w:p>
            <w:pPr>
              <w:spacing w:after="0"/>
              <w:rPr>
                <w:sz w:val="18"/>
                <w:szCs w:val="18"/>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w w:val="91"/>
              </w:rPr>
              <w:t>Registrant, Lazard Ltd and LAZ-MD Holdings LLC (incorporated by reference to Exhibit 2.1 to the Registrant’s Current Report on Form 8-K (File</w:t>
            </w:r>
          </w:p>
        </w:tc>
      </w:tr>
      <w:tr>
        <w:trPr>
          <w:trHeight w:val="222"/>
        </w:trPr>
        <w:tc>
          <w:tcPr>
            <w:tcW w:w="74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No. 333-126751) filed on May 9, 2008).</w:t>
            </w:r>
          </w:p>
        </w:tc>
      </w:tr>
      <w:tr>
        <w:trPr>
          <w:trHeight w:val="365"/>
        </w:trPr>
        <w:tc>
          <w:tcPr>
            <w:tcW w:w="740" w:type="dxa"/>
            <w:vAlign w:val="bottom"/>
          </w:tcPr>
          <w:p>
            <w:pPr>
              <w:spacing w:after="0"/>
              <w:rPr>
                <w:sz w:val="24"/>
                <w:szCs w:val="24"/>
                <w:color w:val="auto"/>
              </w:rPr>
            </w:pPr>
          </w:p>
        </w:tc>
        <w:tc>
          <w:tcPr>
            <w:tcW w:w="10640" w:type="dxa"/>
            <w:vAlign w:val="bottom"/>
          </w:tcPr>
          <w:p>
            <w:pPr>
              <w:ind w:left="4880"/>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Class B-l and Class C Members Transaction Agreement (incorporated by reference to Exhibit 2.2 to Lazard Ltd’s Registration Statement (File No.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333-121407) on Form S-l filed on December 17, 2004).</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Lazard Ltd and certain</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members of LAZ-MD Holdings LLC (incorporated by reference to Exhibit 10.4 to the Registrant’s Quarterly Report (File No. 333-126751) on</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Form 10-Q filed on November 7,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First Amendment, dated as of May 7, 2008, to the Amended and Restated Stockholders’ Agreement dated as of November 6, 2006, between LAZ-</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MD Holdings LLC and Lazard Ltd (incorporated by reference to Exhibit 10.6 to the Registrant’s Quarterly Report (File No. 333-126751) on Form</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10-Q filed on May 9, 2008).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Employee Benefits Agreement, dated as of May 10, 2005, by and among the Registrant, Lazard Ltd, LAZ-MD Holdings LLC and LFCM Holdings</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LLC (incorporated by reference to Exhibit 10.4 to Lazard Ltd’s Quarterly Report (File No. 001-32492) on Form 10-Q filed on June 16,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Insurance Matters Agreement, dated as of May 10, 2005, by and between Lazard Group LLC and LFCM Holdings LLC (incorporated by reference</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to Exhibit 10.5 to Lazard Ltd’s Quarterly Report (File No. 001-32492) on Form 10-Q filed on June 16,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License Agreement, dated as of May 10, 2005, by and among Lazard Strategic Coordination Company LLC, Lazard Fréres &amp; Co. LLC, Lazard</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Fréres S.A.S., Lazard &amp; Co., Holdings Limited and LFCM Holdings LLC (incorporated by reference to Exhibit 10.6 to Lazard Ltd’s Quarterly</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Administrative Services Agreement, dated as of May 10, 2005, by and among LAZ-MD Holdings LLC, LFCM Holdings LLC and the Registrant</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6"/>
              </w:rPr>
              <w:t>(incorporated by reference to Exhibit 10.7 to Lazard Ltd’s Quarterly Report (File No. 001-32492) on Form 10-Q filed on June 16,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Business Alliance Agreement, dated as of May 10, 2005, by and between the Registrant and LFCM Holdings LLC (incorporated by reference to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Exhibit 10.8 to Lazard Ltd’s Quarterly Report (File No. 001-32492) on Form 10-Q filed on June 16,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Amendment and Consent, dated February 9, 2009, to the Business Alliance Agreement, dated as of May 10, 2005, by and between the Registrant</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and LFCM Holdings LLC (incorporated by reference to Exhibit 10.12 to Lazard Ltd’s Annual Report (File No. 001-32492) on Form 10-K filed on</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March 2, 2009).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Amended and Restated Operating Agreement of Lazard Strategic Coordination Company LLC, dated as of January 1, 2002 (incorporated by</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9"/>
              </w:rPr>
              <w:t>reference to Exhibit 10.16 to Lazard Ltd’s Registration Statement (File No. 333-121407) on Form S-l/A filed on February 11,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Lease, dated as of January 27, 1994, by and between Rockefeller Center Properties and Lazard Fréres &amp; Co. LLC (incorporated by reference to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Exhibit 10.19 to Lazard Ltd’s Registration Statement (File No. 333-121407) on Form S-l/A filed on February 11,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Amendment dated as of February 16, 2011, by and among RCPI Landmark Properties, L.L.C. (as the successor in interest to Rockefeller Center</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Properties), RCPI 30 Rock 22234849, L.L.C. and Lazard Group LLC (as the successor in interest to Lazard Fréres &amp; Co. LLC), to the Lease dated</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as of January 27, 1994, by and among Rockefeller Center Properties and Lazard Fréres &amp; Co. LLC (incorporated by reference to Exhibit 10.15 to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the Registrant’s Quarterly Report (File No. 333-126751) on Form 10-Q filed on April 29, 2011).</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Lease with an Option to Purchase, dated as of July 11, 1990, by and between Sicomibail and Finabail and SCI du 121 Boulevard Hausmann</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(English translation) (incorporated by reference to Exhibit 10.20 to the Lazard Ltd’s Registration Statement (File No. 333-121407) on Form S-l/A</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filed on February 11, 2005).</w:t>
            </w:r>
          </w:p>
        </w:tc>
      </w:tr>
      <w:tr>
        <w:trPr>
          <w:trHeight w:val="365"/>
        </w:trPr>
        <w:tc>
          <w:tcPr>
            <w:tcW w:w="720" w:type="dxa"/>
            <w:vAlign w:val="bottom"/>
          </w:tcPr>
          <w:p>
            <w:pPr>
              <w:spacing w:after="0"/>
              <w:rPr>
                <w:sz w:val="24"/>
                <w:szCs w:val="24"/>
                <w:color w:val="auto"/>
              </w:rPr>
            </w:pPr>
          </w:p>
        </w:tc>
        <w:tc>
          <w:tcPr>
            <w:tcW w:w="10680" w:type="dxa"/>
            <w:vAlign w:val="bottom"/>
          </w:tcPr>
          <w:p>
            <w:pPr>
              <w:ind w:left="490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10.17</w:t>
            </w:r>
          </w:p>
        </w:tc>
        <w:tc>
          <w:tcPr>
            <w:tcW w:w="10620" w:type="dxa"/>
            <w:vAlign w:val="bottom"/>
          </w:tcPr>
          <w:p>
            <w:pPr>
              <w:ind w:left="280"/>
              <w:spacing w:after="0"/>
              <w:rPr>
                <w:sz w:val="20"/>
                <w:szCs w:val="20"/>
                <w:color w:val="auto"/>
              </w:rPr>
            </w:pPr>
            <w:r>
              <w:rPr>
                <w:rFonts w:ascii="Arial" w:cs="Arial" w:eastAsia="Arial" w:hAnsi="Arial"/>
                <w:sz w:val="18"/>
                <w:szCs w:val="18"/>
                <w:color w:val="auto"/>
                <w:w w:val="92"/>
              </w:rPr>
              <w:t>Occupational Lease, dated as of August 9, 2002, by and among Burford (Stratton) Nominee 1 Limited, Burford (Stratton) Nominee 2 Limited,</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4"/>
              </w:rPr>
              <w:t>Burford (Stratton) Limited, Lazard &amp; Co., Limited and Lazard LLC (incorporated by reference to Exhibit 10.21 to Lazard Ltd’s Registration</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Statement (File No. 333-121407) on Form S-l/A filed on February 11,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10.18*</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Lazard Ltd’s 2005 Equity Incentive Plan (incorporated by reference to Exhibit 10.21 to Lazard Ltd’s Registration Statement (File No. 333-121407)</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on Form S-l/A filed on May 2,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10.19*</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Lazard Ltd’s 2008 Incentive Compensation Plan (incorporated by reference to Annex B to Lazard Ltd’s Definitive Proxy Statement on Schedule</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14A (File No. 001-32492) filed on March 24, 2008).</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10.20*</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Lazard Ltd’s 2005 Bonus Plan (incorporated by reference to Exhibit 10.23 to Lazard Ltd’s Registration Statement (File No. 333-121407) on Form</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S-l/A filed on March 21,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10.21*</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Form of Agreement Relating to Retention and Noncompetition and Other Covenants, dated as of May 4, 2005, applicable to, and related Schedule</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I for each of Michael J. Castellano and Scott D. Hoffman (incorporated by reference to Exhibit 10.26 to Lazard Ltd’s Quarterly Report (File No.</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001-32492) on Form 10-Q filed on June 16,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10.22*</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Form of First Amendment, dated as of May 7, 2008, to Agreement Relating to Retention and Noncompetition and Other Covenants, dated as of</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May 4, 2005, for each of Michael J. Castellano and Scott D. Hoffman (incorporated by reference to Exhibit 10.2 to the Registrant’s Current Report</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on Form 8-K (File No. 333-126751) filed on May 9, 2008).</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10.23*</w:t>
            </w:r>
          </w:p>
        </w:tc>
        <w:tc>
          <w:tcPr>
            <w:tcW w:w="10620" w:type="dxa"/>
            <w:vAlign w:val="bottom"/>
          </w:tcPr>
          <w:p>
            <w:pPr>
              <w:ind w:left="280"/>
              <w:spacing w:after="0"/>
              <w:rPr>
                <w:sz w:val="20"/>
                <w:szCs w:val="20"/>
                <w:color w:val="auto"/>
              </w:rPr>
            </w:pPr>
            <w:r>
              <w:rPr>
                <w:rFonts w:ascii="Arial" w:cs="Arial" w:eastAsia="Arial" w:hAnsi="Arial"/>
                <w:sz w:val="18"/>
                <w:szCs w:val="18"/>
                <w:color w:val="auto"/>
                <w:w w:val="87"/>
              </w:rPr>
              <w:t>Second Amendment, dated as of February 26, 2009, to the Agreement Relating to Retention and Noncompetition and Other Covenants, dated as of</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May 4, 2005 (as amended from time to time), for Michael J. Castellano (incorporated by reference to Exhibit 10.26 to Registrant’s Annual Report</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(File No. 333-126751) on Form 10-K filed on March 2, 2009).</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10.24*</w:t>
            </w:r>
          </w:p>
        </w:tc>
        <w:tc>
          <w:tcPr>
            <w:tcW w:w="10620" w:type="dxa"/>
            <w:vAlign w:val="bottom"/>
          </w:tcPr>
          <w:p>
            <w:pPr>
              <w:ind w:left="280"/>
              <w:spacing w:after="0"/>
              <w:rPr>
                <w:sz w:val="20"/>
                <w:szCs w:val="20"/>
                <w:color w:val="auto"/>
              </w:rPr>
            </w:pPr>
            <w:r>
              <w:rPr>
                <w:rFonts w:ascii="Arial" w:cs="Arial" w:eastAsia="Arial" w:hAnsi="Arial"/>
                <w:sz w:val="18"/>
                <w:szCs w:val="18"/>
                <w:color w:val="auto"/>
                <w:w w:val="87"/>
              </w:rPr>
              <w:t>Second Amendment, dated as of February 23, 2011, to the Agreement Relating to Retention and Noncompetition and Other Covenants, dated as of</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3"/>
              </w:rPr>
              <w:t>May 4, 2005 and amended as of May 7, 2008, for Scott D. Hoffman (incorporated by reference to Exhibit 10.24 to the Registrant’s Quarterly</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10.25*</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Form of Agreement Relating to Retention and Noncompetition and Other Covenants (incorporated by reference to Exhibit 10.27 to Lazard Ltd’s</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Registration Statement (File No. 333-121407) on Form S-l/A filed on April 11,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10.26*</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Agreement Relating to Retention and Noncompetition and Other Covenants, dated as of October 4, 2004, by and between the Registrant and</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Alexander F. Stern (incorporated by reference to Exhibit 10.28 to Registrant’s Annual Report (File No. 333-126751) on Form 10-K filed on March</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2, 2009).</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10.27*</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First Amendment, dated as of March 23, 2010, to the Agreement Relating to Retention and Noncompetition and Other Covenants, dated as of</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October 4, 2004, with Alexander F. Stern (incorporated by reference to Exhibit 10.2 to the Registrant’s Current Report on Form 8-K (File No. 333-</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126751) filed on March 23, 2010).</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10.28*</w:t>
            </w:r>
          </w:p>
        </w:tc>
        <w:tc>
          <w:tcPr>
            <w:tcW w:w="10620" w:type="dxa"/>
            <w:vAlign w:val="bottom"/>
          </w:tcPr>
          <w:p>
            <w:pPr>
              <w:ind w:left="280"/>
              <w:spacing w:after="0"/>
              <w:rPr>
                <w:sz w:val="20"/>
                <w:szCs w:val="20"/>
                <w:color w:val="auto"/>
              </w:rPr>
            </w:pPr>
            <w:r>
              <w:rPr>
                <w:rFonts w:ascii="Arial" w:cs="Arial" w:eastAsia="Arial" w:hAnsi="Arial"/>
                <w:sz w:val="18"/>
                <w:szCs w:val="18"/>
                <w:color w:val="auto"/>
                <w:w w:val="92"/>
              </w:rPr>
              <w:t>Agreement Relating to Retention and Noncompetition and Other Covenants, dated as of March 18, 2005, by and between the Registrant and</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Kenneth M. Jacobs (incorporated by reference to Exhibit 10.29 to the Registrant’s Annual Report on Form 10-K (File No. 333-126751) filed on</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March 1, 2010).</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10.29*</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First Amendment, dated as of March 23, 2010, to the Agreement Relating to Retention and Noncompetition and Other Covenants, dated as of</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March 18, 2005, with Kenneth M. Jacobs (incorporated by reference to Exhibit 10.1 to the Registrant’s Current Report on Form 8-K (File No. 333-</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126751) filed on March 23, 2010).</w:t>
            </w:r>
          </w:p>
        </w:tc>
      </w:tr>
      <w:tr>
        <w:trPr>
          <w:trHeight w:val="365"/>
        </w:trPr>
        <w:tc>
          <w:tcPr>
            <w:tcW w:w="760" w:type="dxa"/>
            <w:vAlign w:val="bottom"/>
          </w:tcPr>
          <w:p>
            <w:pPr>
              <w:spacing w:after="0"/>
              <w:rPr>
                <w:sz w:val="24"/>
                <w:szCs w:val="24"/>
                <w:color w:val="auto"/>
              </w:rPr>
            </w:pPr>
          </w:p>
        </w:tc>
        <w:tc>
          <w:tcPr>
            <w:tcW w:w="10620" w:type="dxa"/>
            <w:vAlign w:val="bottom"/>
          </w:tcPr>
          <w:p>
            <w:pPr>
              <w:ind w:left="486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10.30*</w:t>
            </w: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Agreement Relating to Retention and Noncompetition and Other Covenants, dated as of October 4, 2004, by and between the Registrant and</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Matthieu Bucaille (incorporated by reference to Exhibit 10.30 to the Registrant’s Quarterly Report (File No. 333-126751) on Form 10-Q filed on</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April 29, 2011).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10.31*</w:t>
            </w: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First Amendment, dated as of April 1, 2011, to the Agreement Relating to Retention and Noncompetition and Other Covenants, dated as of</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October 4, 2004, between the Registrant and Matthieu Bucaille (incorporated by reference to Exhibit 10.31 to the Registrant’s Quarterly Report</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(File No. 333-126751) on Form 10-Q filed on April 29, 2011).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10.32*</w:t>
            </w:r>
          </w:p>
        </w:tc>
        <w:tc>
          <w:tcPr>
            <w:tcW w:w="10660" w:type="dxa"/>
            <w:vAlign w:val="bottom"/>
          </w:tcPr>
          <w:p>
            <w:pPr>
              <w:ind w:left="280"/>
              <w:spacing w:after="0"/>
              <w:rPr>
                <w:sz w:val="20"/>
                <w:szCs w:val="20"/>
                <w:color w:val="auto"/>
              </w:rPr>
            </w:pPr>
            <w:r>
              <w:rPr>
                <w:rFonts w:ascii="Arial" w:cs="Arial" w:eastAsia="Arial" w:hAnsi="Arial"/>
                <w:sz w:val="18"/>
                <w:szCs w:val="18"/>
                <w:color w:val="auto"/>
                <w:w w:val="95"/>
              </w:rPr>
              <w:t>Amended and Restated Letter Agreement, effective as of January 1, 2004, between Vernon E. Jordan, Jr. and Lazard Fréres &amp; Co. LLC</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5"/>
              </w:rPr>
              <w:t>(incorporated by reference to Exhibit 10.28 to Lazard Ltd’s Quarterly Report (File No. 001-32492) on Form 10-Q filed on June 16,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10.33*</w:t>
            </w:r>
          </w:p>
        </w:tc>
        <w:tc>
          <w:tcPr>
            <w:tcW w:w="10660" w:type="dxa"/>
            <w:vAlign w:val="bottom"/>
          </w:tcPr>
          <w:p>
            <w:pPr>
              <w:ind w:left="280"/>
              <w:spacing w:after="0"/>
              <w:rPr>
                <w:sz w:val="20"/>
                <w:szCs w:val="20"/>
                <w:color w:val="auto"/>
              </w:rPr>
            </w:pPr>
            <w:r>
              <w:rPr>
                <w:rFonts w:ascii="Arial" w:cs="Arial" w:eastAsia="Arial" w:hAnsi="Arial"/>
                <w:sz w:val="18"/>
                <w:szCs w:val="18"/>
                <w:color w:val="auto"/>
                <w:w w:val="88"/>
              </w:rPr>
              <w:t>Acknowledgement Letter, dated as of November 6, 2006 from the Registrant to certain managing directors of the Registrant modifying the terms of</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88"/>
              </w:rPr>
              <w:t>the retention agreements of persons party to the Amended and Restated Stockholders’ Agreement, dated as of November 6, 2006 (incorporated by</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reference to Exhibit 10.23 to the Registrant’s Quarterly Report (File No. 333-126751) on Form 10-Q filed on November 7,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10.34</w:t>
            </w:r>
          </w:p>
        </w:tc>
        <w:tc>
          <w:tcPr>
            <w:tcW w:w="10660" w:type="dxa"/>
            <w:vAlign w:val="bottom"/>
          </w:tcPr>
          <w:p>
            <w:pPr>
              <w:ind w:left="280"/>
              <w:spacing w:after="0"/>
              <w:rPr>
                <w:sz w:val="20"/>
                <w:szCs w:val="20"/>
                <w:color w:val="auto"/>
              </w:rPr>
            </w:pPr>
            <w:r>
              <w:rPr>
                <w:rFonts w:ascii="Arial" w:cs="Arial" w:eastAsia="Arial" w:hAnsi="Arial"/>
                <w:sz w:val="18"/>
                <w:szCs w:val="18"/>
                <w:color w:val="auto"/>
                <w:w w:val="94"/>
              </w:rPr>
              <w:t>Letter Agreement, dated as of March 15, 2005, from IXIS Corporate and Investment Bank to Lazard LLC and Lazard Ltd (incorporated by</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reference to Exhibit 10.27 to Lazard Ltd’s Registration Statement (File No. 333-121407) on Form S-l/A filed on March 21,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10.35</w:t>
            </w:r>
          </w:p>
        </w:tc>
        <w:tc>
          <w:tcPr>
            <w:tcW w:w="10660" w:type="dxa"/>
            <w:vAlign w:val="bottom"/>
          </w:tcPr>
          <w:p>
            <w:pPr>
              <w:ind w:left="280"/>
              <w:spacing w:after="0"/>
              <w:rPr>
                <w:sz w:val="20"/>
                <w:szCs w:val="20"/>
                <w:color w:val="auto"/>
              </w:rPr>
            </w:pPr>
            <w:r>
              <w:rPr>
                <w:rFonts w:ascii="Arial" w:cs="Arial" w:eastAsia="Arial" w:hAnsi="Arial"/>
                <w:sz w:val="18"/>
                <w:szCs w:val="18"/>
                <w:color w:val="auto"/>
                <w:w w:val="94"/>
              </w:rPr>
              <w:t>Registration Rights Agreement, dated as of May 10, 2005, by and among Lazard Group Finance LLC, the Registrant, Lazard Ltd and IXIS</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Corporate and Investment Bank (incorporated by reference to Exhibit 10.30 to Lazard Ltd’s Quarterly Report (File No. 001-32492) on Form 10-Q</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filed on June 16,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10.36*</w:t>
            </w: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Description of Non-Executive Director Compensation (incorporated by reference to Exhibit 10.33 to Lazard Ltd’s Quarterly Report (File No. 001-</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32492) on Form 10-Q for the quarter ended June 30,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10.37*</w:t>
            </w: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Form of Award Letter for Annual Grant of Deferred Stock Units to Non-Executive Directors (incorporated by reference to Exhibit 99.1 to Lazard</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Ltd’s Current Report on Form 8-K (File No. 001-32492) filed on September 8,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10.38*</w:t>
            </w: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Form of Agreement evidencing a grant of Restricted Stock Units to Executive Officers under the 2005 Equity Incentive Plan (incorporated by</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10.39*</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2008 Incentive Compensation Plan (incorporated</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by reference to Exhibit 10.41 to Lazard Ltd’s Annual Report (File No. 001-32492) on Form 10-K filed on March 2, 2009).</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10.40*</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Form of Agreement evidencing a grant of Deferred Cash Award to Executive Officers under the 2008 Incentive Compensation Plan (incorporated</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by reference to Exhibit 10.42 to Lazard Ltd’s Annual Report (File No. 001-32492) on Form 10-K filed on March 2, 2009).</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10.41*</w:t>
            </w: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Directors’ Fee Deferral Unit Plan (incorporated by reference to Exhibit 10.39 to Lazard Ltd’s Quarterly Report (File No. 001-32492) on Form 10-</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Q filed on May 11,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10.42*</w:t>
            </w:r>
          </w:p>
        </w:tc>
        <w:tc>
          <w:tcPr>
            <w:tcW w:w="10660" w:type="dxa"/>
            <w:vAlign w:val="bottom"/>
          </w:tcPr>
          <w:p>
            <w:pPr>
              <w:ind w:left="280"/>
              <w:spacing w:after="0"/>
              <w:rPr>
                <w:sz w:val="20"/>
                <w:szCs w:val="20"/>
                <w:color w:val="auto"/>
              </w:rPr>
            </w:pPr>
            <w:r>
              <w:rPr>
                <w:rFonts w:ascii="Arial" w:cs="Arial" w:eastAsia="Arial" w:hAnsi="Arial"/>
                <w:sz w:val="18"/>
                <w:szCs w:val="18"/>
                <w:color w:val="auto"/>
                <w:w w:val="94"/>
              </w:rPr>
              <w:t>First Amended Form of Agreement evidencing a grant of Restricted Stock Units to Executive Officers under the 2005 Equity Incentive Plan</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7"/>
              </w:rPr>
              <w:t>(incorporated by reference to Exhibit 10.43 to Lazard Ltd’s Annual Report (File No. 001-32492) on Form 10-K filed on March 1, 2007).</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10.43</w:t>
            </w: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Agreement and Plan of Merger, dated as of August 14, 2008, by and among Lazard Ltd, LAZ Sub I, Lazard Asset Management LLC and Lazard</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Asset Management Limited (incorporated by reference to Exhibit 2.1 to Lazard Ltd’s Current Report on Form 8-K (File No. 001-32492) filed on</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August 15, 2008).</w:t>
            </w:r>
          </w:p>
        </w:tc>
      </w:tr>
      <w:tr>
        <w:trPr>
          <w:trHeight w:val="365"/>
        </w:trPr>
        <w:tc>
          <w:tcPr>
            <w:tcW w:w="760" w:type="dxa"/>
            <w:vAlign w:val="bottom"/>
          </w:tcPr>
          <w:p>
            <w:pPr>
              <w:spacing w:after="0"/>
              <w:rPr>
                <w:sz w:val="24"/>
                <w:szCs w:val="24"/>
                <w:color w:val="auto"/>
              </w:rPr>
            </w:pPr>
          </w:p>
        </w:tc>
        <w:tc>
          <w:tcPr>
            <w:tcW w:w="10660" w:type="dxa"/>
            <w:vAlign w:val="bottom"/>
          </w:tcPr>
          <w:p>
            <w:pPr>
              <w:ind w:left="4860"/>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10.44*</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Letter Agreement regarding employment dated as of April 21, 2010 between Lazard Group LLC and Gary W. Parr (incorporated by reference to</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2010).</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10.45*</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Amendment, dated as of February 27, 2012 to Letter Agreement regarding employment, dated as of April 21, 2010, between Lazard Group LLC</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and Gary W. Parr (incorporated by reference to Exhibit 10.45 to the Registrant’s Quarterly Report (File No. 333-126751) on Form 10-Q filed on</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May 2, 2012).</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10.46</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Senior Revolving Credit Agreement, dated as of April 29, 2010, among the Registrant, the Banks from time to time parties thereto, and Citibank,</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N.A., as Administrative Agent (incorporated by reference to Exhibit 10.50 to the Registrant’s Quarterly Report (File No. 333-126751) on Form 10-</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Q filed on August 4, 2011).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10.47</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Amendment No. 1, dated as of August 12, 2010, to the Senior Revolving Credit Agreement, dated as of April 29, 2010, among the Registrant, the</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7"/>
              </w:rPr>
              <w:t>Banks from time to time parties thereto, and Citibank, N.A., as Administrative Agent (incorporated by reference to Exhibit 10.47 to the</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Registrant’s Annual Report (File No 333-126751) on Form 10-K filed on February 28, 2011).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10.48</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Amendment No. 2, dated as of December 17, 2010, to the Senior Revolving Credit Agreement, dated as of April 29, 2010, among the Registrant,</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4"/>
              </w:rPr>
              <w:t>the Banks from time to time parties thereto, and Citibank, N.A., as Administrative Agent (incorporated by reference to Exhibit 10.48 to the</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Registrant’s Annual Report (File No. 333-126751) on Form 10-K filed on February 28, 2011).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10.49</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Amendment No. 3, dated as of March 31, 2012, to the Senior Revolving Credit Agreement, dated as of April 29, 2010, among the Registrant, the</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7"/>
              </w:rPr>
              <w:t>Banks from time to time parties thereto, and Citibank, N.A., as Administrative Agent (incorporated by reference to Exhibit 10.49 to the</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Registrant’s Quarterly Report (File No. 333-126751) on Form 10-Q filed on May 2, 2012).</w:t>
            </w: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10.50*</w:t>
            </w: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Form of Agreement evidencing a grant of Restricted Stock under the 2008 Incentive Compensation Plan (incorporated by reference to Exhibit</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10.54 to the Registrant’s Quarterly Report (File No. 333-126751) on Form 10-Q filed on April 30, 2010).</w:t>
            </w: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10.51*</w:t>
            </w:r>
          </w:p>
        </w:tc>
        <w:tc>
          <w:tcPr>
            <w:tcW w:w="10640" w:type="dxa"/>
            <w:vAlign w:val="bottom"/>
          </w:tcPr>
          <w:p>
            <w:pPr>
              <w:ind w:left="280"/>
              <w:spacing w:after="0"/>
              <w:rPr>
                <w:sz w:val="20"/>
                <w:szCs w:val="20"/>
                <w:color w:val="auto"/>
              </w:rPr>
            </w:pPr>
            <w:r>
              <w:rPr>
                <w:rFonts w:ascii="Arial" w:cs="Arial" w:eastAsia="Arial" w:hAnsi="Arial"/>
                <w:sz w:val="18"/>
                <w:szCs w:val="18"/>
                <w:color w:val="auto"/>
                <w:w w:val="88"/>
              </w:rPr>
              <w:t>Form of Agreement evidencing a grant of Lazard Fund Interests under the 2008 Incentive Compensation Plan (incorporated by reference to Exhibit</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10.54 to the Registrant’s Quarterly Report (File No. 333-126751) on Form 10-Q filed on April 29, 2011).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10.52*</w:t>
            </w: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Form of Agreement evidencing a grant of Restricted Stock Units and Restricted Stock to Executive Officers who are or may become eligible for</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retirement under the 2008 Incentive Compensation Plan (incorporated by reference to Exhibit 10.52 to the Registrant’s Quarterly Report (File No.</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333-126751) on Form 10-Q filed on May 2, 2012).</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10.53*</w:t>
            </w: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First Amendment, dated as of August 2, 2011, to the Agreement Relating to Retention and Noncompetition and Other Covenants, dated as of</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March 15, 2005, between the Registrant and Ashish Bhutani (incorporated by reference to Exhibit 10.55 to the Registrant’s Quarterly Report</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(File No. 333-126751) on Form 10-Q filed on August 4, 2011).</w:t>
            </w: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12.1</w:t>
            </w:r>
          </w:p>
        </w:tc>
        <w:tc>
          <w:tcPr>
            <w:tcW w:w="10640" w:type="dxa"/>
            <w:vAlign w:val="bottom"/>
          </w:tcPr>
          <w:p>
            <w:pPr>
              <w:ind w:left="28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tcPr>
          <w:p>
            <w:pPr>
              <w:ind w:left="28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tcPr>
          <w:p>
            <w:pPr>
              <w:ind w:left="280"/>
              <w:spacing w:after="0"/>
              <w:rPr>
                <w:sz w:val="20"/>
                <w:szCs w:val="20"/>
                <w:color w:val="auto"/>
              </w:rPr>
            </w:pPr>
            <w:r>
              <w:rPr>
                <w:rFonts w:ascii="Arial" w:cs="Arial" w:eastAsia="Arial" w:hAnsi="Arial"/>
                <w:sz w:val="18"/>
                <w:szCs w:val="18"/>
                <w:color w:val="auto"/>
              </w:rPr>
              <w:t>Rule l3a-14(a) Certification of Matthieu Bucaille.</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10640" w:type="dxa"/>
            <w:vAlign w:val="bottom"/>
          </w:tcPr>
          <w:p>
            <w:pPr>
              <w:ind w:left="280"/>
              <w:spacing w:after="0"/>
              <w:rPr>
                <w:sz w:val="20"/>
                <w:szCs w:val="20"/>
                <w:color w:val="auto"/>
              </w:rPr>
            </w:pPr>
            <w:r>
              <w:rPr>
                <w:rFonts w:ascii="Arial" w:cs="Arial" w:eastAsia="Arial" w:hAnsi="Arial"/>
                <w:sz w:val="18"/>
                <w:szCs w:val="18"/>
                <w:color w:val="auto"/>
              </w:rPr>
              <w:t>Section 1350 Certification for Kenneth M. Jacobs.</w:t>
            </w:r>
          </w:p>
        </w:tc>
      </w:tr>
      <w:tr>
        <w:trPr>
          <w:trHeight w:val="365"/>
        </w:trPr>
        <w:tc>
          <w:tcPr>
            <w:tcW w:w="760" w:type="dxa"/>
            <w:vAlign w:val="bottom"/>
          </w:tcPr>
          <w:p>
            <w:pPr>
              <w:spacing w:after="0"/>
              <w:rPr>
                <w:sz w:val="24"/>
                <w:szCs w:val="24"/>
                <w:color w:val="auto"/>
              </w:rPr>
            </w:pPr>
          </w:p>
        </w:tc>
        <w:tc>
          <w:tcPr>
            <w:tcW w:w="10640" w:type="dxa"/>
            <w:vAlign w:val="bottom"/>
          </w:tcPr>
          <w:p>
            <w:pPr>
              <w:ind w:left="486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3980" w:type="dxa"/>
            <w:vAlign w:val="bottom"/>
          </w:tcPr>
          <w:p>
            <w:pPr>
              <w:ind w:left="360"/>
              <w:spacing w:after="0"/>
              <w:rPr>
                <w:sz w:val="20"/>
                <w:szCs w:val="20"/>
                <w:color w:val="auto"/>
              </w:rPr>
            </w:pPr>
            <w:r>
              <w:rPr>
                <w:rFonts w:ascii="Arial" w:cs="Arial" w:eastAsia="Arial" w:hAnsi="Arial"/>
                <w:sz w:val="18"/>
                <w:szCs w:val="18"/>
                <w:color w:val="auto"/>
                <w:w w:val="95"/>
              </w:rPr>
              <w:t>Section 1350 Certification for Matthieu Bucaille.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398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398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3980" w:type="dxa"/>
            <w:vAlign w:val="bottom"/>
          </w:tcPr>
          <w:p>
            <w:pPr>
              <w:ind w:left="360"/>
              <w:spacing w:after="0"/>
              <w:rPr>
                <w:sz w:val="20"/>
                <w:szCs w:val="20"/>
                <w:color w:val="auto"/>
              </w:rPr>
            </w:pPr>
            <w:r>
              <w:rPr>
                <w:rFonts w:ascii="Arial" w:cs="Arial" w:eastAsia="Arial" w:hAnsi="Arial"/>
                <w:sz w:val="18"/>
                <w:szCs w:val="18"/>
                <w:color w:val="auto"/>
                <w:w w:val="92"/>
              </w:rPr>
              <w:t>XBRL Taxonomy Extension Calculation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3980" w:type="dxa"/>
            <w:vAlign w:val="bottom"/>
          </w:tcPr>
          <w:p>
            <w:pPr>
              <w:ind w:left="360"/>
              <w:spacing w:after="0"/>
              <w:rPr>
                <w:sz w:val="20"/>
                <w:szCs w:val="20"/>
                <w:color w:val="auto"/>
              </w:rPr>
            </w:pPr>
            <w:r>
              <w:rPr>
                <w:rFonts w:ascii="Arial" w:cs="Arial" w:eastAsia="Arial" w:hAnsi="Arial"/>
                <w:sz w:val="18"/>
                <w:szCs w:val="18"/>
                <w:color w:val="auto"/>
                <w:w w:val="95"/>
              </w:rPr>
              <w:t>XBRL Taxonomy Extension Definition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3980" w:type="dxa"/>
            <w:vAlign w:val="bottom"/>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3980" w:type="dxa"/>
            <w:vAlign w:val="bottom"/>
          </w:tcPr>
          <w:p>
            <w:pPr>
              <w:ind w:left="360"/>
              <w:spacing w:after="0"/>
              <w:rPr>
                <w:sz w:val="20"/>
                <w:szCs w:val="20"/>
                <w:color w:val="auto"/>
              </w:rPr>
            </w:pPr>
            <w:r>
              <w:rPr>
                <w:rFonts w:ascii="Arial" w:cs="Arial" w:eastAsia="Arial" w:hAnsi="Arial"/>
                <w:sz w:val="18"/>
                <w:szCs w:val="18"/>
                <w:color w:val="auto"/>
                <w:w w:val="89"/>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219"/>
          </w:cols>
          <w:pgMar w:left="240" w:top="45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Matthieu Bucaille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J. Hittner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Richard J. Hittner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41"/>
              <w:spacing w:after="0"/>
              <w:rPr>
                <w:sz w:val="20"/>
                <w:szCs w:val="20"/>
                <w:color w:val="auto"/>
              </w:rPr>
            </w:pPr>
            <w:r>
              <w:rPr>
                <w:rFonts w:ascii="Arial" w:cs="Arial" w:eastAsia="Arial" w:hAnsi="Arial"/>
                <w:sz w:val="14"/>
                <w:szCs w:val="14"/>
                <w:b w:val="1"/>
                <w:bCs w:val="1"/>
                <w:color w:val="auto"/>
                <w:w w:val="85"/>
              </w:rPr>
              <w:t>Six</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Months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9"/>
              </w:rPr>
              <w:t>Year Ended December 31,</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center"/>
              <w:ind w:right="1"/>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gridSpan w:val="4"/>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9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w w:val="97"/>
              </w:rPr>
              <w:t>(dollars in thousands)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241,791</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$246,809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(181,988)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42,029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$436,064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57,122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114,998</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121,656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132,785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161,665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154,790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135,154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356,789</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368,465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(49,203)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203,694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590,854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94,211</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$102,249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113,280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141,413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$136,529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20,787</w:t>
            </w:r>
          </w:p>
        </w:tc>
        <w:tc>
          <w:tcPr>
            <w:tcW w:w="3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19,407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20,252</w:t>
            </w:r>
          </w:p>
        </w:tc>
        <w:tc>
          <w:tcPr>
            <w:tcW w:w="660" w:type="dxa"/>
            <w:vAlign w:val="bottom"/>
          </w:tcPr>
          <w:p>
            <w:pPr>
              <w:jc w:val="right"/>
              <w:spacing w:after="0"/>
              <w:rPr>
                <w:sz w:val="20"/>
                <w:szCs w:val="20"/>
                <w:color w:val="auto"/>
              </w:rPr>
            </w:pPr>
            <w:r>
              <w:rPr>
                <w:rFonts w:ascii="Arial" w:cs="Arial" w:eastAsia="Arial" w:hAnsi="Arial"/>
                <w:sz w:val="18"/>
                <w:szCs w:val="18"/>
                <w:color w:val="auto"/>
              </w:rPr>
              <w:t>18,261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114,998</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121,656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132,785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161,665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154,790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28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300" w:type="dxa"/>
            <w:vAlign w:val="bottom"/>
          </w:tcPr>
          <w:p>
            <w:pPr>
              <w:spacing w:after="0"/>
              <w:rPr>
                <w:sz w:val="24"/>
                <w:szCs w:val="24"/>
                <w:color w:val="auto"/>
              </w:rPr>
            </w:pPr>
          </w:p>
        </w:tc>
        <w:tc>
          <w:tcPr>
            <w:tcW w:w="1220" w:type="dxa"/>
            <w:vAlign w:val="bottom"/>
            <w:gridSpan w:val="4"/>
          </w:tcPr>
          <w:p>
            <w:pPr>
              <w:jc w:val="right"/>
              <w:ind w:right="340"/>
              <w:spacing w:after="0"/>
              <w:rPr>
                <w:sz w:val="20"/>
                <w:szCs w:val="20"/>
                <w:color w:val="auto"/>
              </w:rPr>
            </w:pPr>
            <w:r>
              <w:rPr>
                <w:rFonts w:ascii="Arial" w:cs="Arial" w:eastAsia="Arial" w:hAnsi="Arial"/>
                <w:sz w:val="18"/>
                <w:szCs w:val="18"/>
                <w:color w:val="auto"/>
              </w:rPr>
              <w:t>3.03(d)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–(e)</w:t>
            </w:r>
          </w:p>
        </w:tc>
        <w:tc>
          <w:tcPr>
            <w:tcW w:w="10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1.26(f)</w:t>
            </w:r>
          </w:p>
        </w:tc>
        <w:tc>
          <w:tcPr>
            <w:tcW w:w="66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Deficiency in the coverage of operating income (loss) before fixed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charges to total fixed charges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181,988</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28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(ii) a charge of $24,860 relating to the amendment of Lazard’s retirement policy with respect to RSU awards. Excluding the impact of such items, the ratio of earnings to fixed charges would have been 3.95.</w:t>
      </w:r>
    </w:p>
    <w:p>
      <w:pPr>
        <w:spacing w:after="0" w:line="59"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31"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 Operating income for the year ended December 31, 2008 is presented after giving effect to a charge of $199,550 relating to the LAM Merger. Excluding the impact of such charge, the ratio of earnings to fixed charges would have been 2.49.</w:t>
      </w:r>
    </w:p>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2012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2012</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2012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2012</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31,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2012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31,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2012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2"/>
    </w:lvl>
  </w:abstractNum>
  <w:abstractNum w:abstractNumId="7">
    <w:nsid w:val="7C3DBD3D"/>
    <w:multiLevelType w:val="hybridMultilevel"/>
    <w:lvl w:ilvl="0">
      <w:lvlJc w:val="left"/>
      <w:lvlText w:val="%1."/>
      <w:numFmt w:val="decimal"/>
      <w:start w:val="3"/>
    </w:lvl>
  </w:abstractNum>
  <w:abstractNum w:abstractNumId="8">
    <w:nsid w:val="737B8DDC"/>
    <w:multiLevelType w:val="hybridMultilevel"/>
    <w:lvl w:ilvl="0">
      <w:lvlJc w:val="left"/>
      <w:lvlText w:val="%1."/>
      <w:numFmt w:val="decimal"/>
      <w:start w:val="4"/>
    </w:lvl>
  </w:abstractNum>
  <w:abstractNum w:abstractNumId="9">
    <w:nsid w:val="6CEAF087"/>
    <w:multiLevelType w:val="hybridMultilevel"/>
    <w:lvl w:ilvl="0">
      <w:lvlJc w:val="left"/>
      <w:lvlText w:val="(%1)"/>
      <w:numFmt w:val="lowerLetter"/>
      <w:start w:val="1"/>
    </w:lvl>
  </w:abstractNum>
  <w:abstractNum w:abstractNumId="10">
    <w:nsid w:val="22221A70"/>
    <w:multiLevelType w:val="hybridMultilevel"/>
    <w:lvl w:ilvl="0">
      <w:lvlJc w:val="left"/>
      <w:lvlText w:val="%1."/>
      <w:numFmt w:val="decimal"/>
      <w:start w:val="5"/>
    </w:lvl>
  </w:abstractNum>
  <w:abstractNum w:abstractNumId="11">
    <w:nsid w:val="4516DDE9"/>
    <w:multiLevelType w:val="hybridMultilevel"/>
    <w:lvl w:ilvl="0">
      <w:lvlJc w:val="left"/>
      <w:lvlText w:val="(%1)"/>
      <w:numFmt w:val="lowerLetter"/>
      <w:start w:val="1"/>
    </w:lvl>
  </w:abstractNum>
  <w:abstractNum w:abstractNumId="12">
    <w:nsid w:val="3006C83E"/>
    <w:multiLevelType w:val="hybridMultilevel"/>
    <w:lvl w:ilvl="0">
      <w:lvlJc w:val="left"/>
      <w:lvlText w:val="%1."/>
      <w:numFmt w:val="decimal"/>
      <w:start w:val="6"/>
    </w:lvl>
  </w:abstractNum>
  <w:abstractNum w:abstractNumId="13">
    <w:nsid w:val="614FD4A1"/>
    <w:multiLevelType w:val="hybridMultilevel"/>
    <w:lvl w:ilvl="0">
      <w:lvlJc w:val="left"/>
      <w:lvlText w:val="%1."/>
      <w:numFmt w:val="decimal"/>
      <w:start w:val="7"/>
    </w:lvl>
  </w:abstractNum>
  <w:abstractNum w:abstractNumId="14">
    <w:nsid w:val="419AC241"/>
    <w:multiLevelType w:val="hybridMultilevel"/>
    <w:lvl w:ilvl="0">
      <w:lvlJc w:val="left"/>
      <w:lvlText w:val="%1."/>
      <w:numFmt w:val="decimal"/>
      <w:start w:val="8"/>
    </w:lvl>
  </w:abstractNum>
  <w:abstractNum w:abstractNumId="15">
    <w:nsid w:val="5577F8E1"/>
    <w:multiLevelType w:val="hybridMultilevel"/>
    <w:lvl w:ilvl="0">
      <w:lvlJc w:val="left"/>
      <w:lvlText w:val="%1."/>
      <w:numFmt w:val="decimal"/>
      <w:start w:val="9"/>
    </w:lvl>
  </w:abstractNum>
  <w:abstractNum w:abstractNumId="16">
    <w:nsid w:val="440BADFC"/>
    <w:multiLevelType w:val="hybridMultilevel"/>
    <w:lvl w:ilvl="0">
      <w:lvlJc w:val="left"/>
      <w:lvlText w:val="%1"/>
      <w:numFmt w:val="decimal"/>
      <w:start w:val="1"/>
    </w:lvl>
    <w:lvl w:ilvl="1">
      <w:lvlJc w:val="left"/>
      <w:lvlText w:val="(%2)"/>
      <w:numFmt w:val="lowerLetter"/>
      <w:start w:val="1"/>
    </w:lvl>
  </w:abstractNum>
  <w:abstractNum w:abstractNumId="17">
    <w:nsid w:val="5072367"/>
    <w:multiLevelType w:val="hybridMultilevel"/>
    <w:lvl w:ilvl="0">
      <w:lvlJc w:val="left"/>
      <w:lvlText w:val="%1."/>
      <w:numFmt w:val="decimal"/>
      <w:start w:val="10"/>
    </w:lvl>
    <w:lvl w:ilvl="1">
      <w:lvlJc w:val="left"/>
      <w:lvlText w:val="%2"/>
      <w:numFmt w:val="lowerLetter"/>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11"/>
    </w:lvl>
  </w:abstractNum>
  <w:abstractNum w:abstractNumId="21">
    <w:nsid w:val="5C482A97"/>
    <w:multiLevelType w:val="hybridMultilevel"/>
    <w:lvl w:ilvl="0">
      <w:lvlJc w:val="left"/>
      <w:lvlText w:val="%1."/>
      <w:numFmt w:val="decimal"/>
      <w:start w:val="12"/>
    </w:lvl>
  </w:abstractNum>
  <w:abstractNum w:abstractNumId="22">
    <w:nsid w:val="2463B9EA"/>
    <w:multiLevelType w:val="hybridMultilevel"/>
    <w:lvl w:ilvl="0">
      <w:lvlJc w:val="left"/>
      <w:lvlText w:val="%1."/>
      <w:numFmt w:val="decimal"/>
      <w:start w:val="13"/>
    </w:lvl>
  </w:abstractNum>
  <w:abstractNum w:abstractNumId="23">
    <w:nsid w:val="5E884ADC"/>
    <w:multiLevelType w:val="hybridMultilevel"/>
    <w:lvl w:ilvl="0">
      <w:lvlJc w:val="left"/>
      <w:lvlText w:val="%1."/>
      <w:numFmt w:val="decimal"/>
      <w:start w:val="14"/>
    </w:lvl>
  </w:abstractNum>
  <w:abstractNum w:abstractNumId="24">
    <w:nsid w:val="51EAD36B"/>
    <w:multiLevelType w:val="hybridMultilevel"/>
    <w:lvl w:ilvl="0">
      <w:lvlJc w:val="left"/>
      <w:lvlText w:val="%1"/>
      <w:numFmt w:val="decimal"/>
      <w:start w:val="1"/>
    </w:lvl>
    <w:lvl w:ilvl="1">
      <w:lvlJc w:val="left"/>
      <w:lvlText w:val="(%2)"/>
      <w:numFmt w:val="lowerLetter"/>
      <w:start w:val="1"/>
    </w:lvl>
  </w:abstractNum>
  <w:abstractNum w:abstractNumId="25">
    <w:nsid w:val="2D517796"/>
    <w:multiLevelType w:val="hybridMultilevel"/>
    <w:lvl w:ilvl="0">
      <w:lvlJc w:val="left"/>
      <w:lvlText w:val="%1."/>
      <w:numFmt w:val="decimal"/>
      <w:start w:val="15"/>
    </w:lvl>
    <w:lvl w:ilvl="1">
      <w:lvlJc w:val="left"/>
      <w:lvlText w:val="%2"/>
      <w:numFmt w:val="lowerLetter"/>
      <w:start w:val="1"/>
    </w:lvl>
  </w:abstractNum>
  <w:abstractNum w:abstractNumId="26">
    <w:nsid w:val="580BD78F"/>
    <w:multiLevelType w:val="hybridMultilevel"/>
    <w:lvl w:ilvl="0">
      <w:lvlJc w:val="left"/>
      <w:lvlText w:val="%1."/>
      <w:numFmt w:val="decimal"/>
      <w:start w:val="16"/>
    </w:lvl>
  </w:abstractNum>
  <w:abstractNum w:abstractNumId="27">
    <w:nsid w:val="153EA438"/>
    <w:multiLevelType w:val="hybridMultilevel"/>
    <w:lvl w:ilvl="0">
      <w:lvlJc w:val="left"/>
      <w:lvlText w:val="%1."/>
      <w:numFmt w:val="decimal"/>
      <w:start w:val="17"/>
    </w:lvl>
  </w:abstractNum>
  <w:abstractNum w:abstractNumId="28">
    <w:nsid w:val="3855585C"/>
    <w:multiLevelType w:val="hybridMultilevel"/>
    <w:lvl w:ilvl="0">
      <w:lvlJc w:val="left"/>
      <w:lvlText w:val="%1."/>
      <w:numFmt w:val="decimal"/>
      <w:start w:val="18"/>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1)"/>
      <w:numFmt w:val="lowerRoman"/>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1)"/>
      <w:numFmt w:val="lowerLetter"/>
      <w:start w:val="1"/>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1)"/>
      <w:numFmt w:val="lowerLetter"/>
      <w:start w:val="1"/>
    </w:lvl>
  </w:abstractNum>
  <w:abstractNum w:abstractNumId="43">
    <w:nsid w:val="684A481A"/>
    <w:multiLevelType w:val="hybridMultilevel"/>
    <w:lvl w:ilvl="0">
      <w:lvlJc w:val="left"/>
      <w:lvlText w:val="(%1)"/>
      <w:numFmt w:val="lowerLetter"/>
      <w:start w:val="2"/>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lowerLetter"/>
      <w:start w:val="3"/>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lowerLetter"/>
      <w:start w:val="4"/>
    </w:lvl>
  </w:abstractNum>
  <w:abstractNum w:abstractNumId="49">
    <w:nsid w:val="75C6C33A"/>
    <w:multiLevelType w:val="hybridMultilevel"/>
    <w:lvl w:ilvl="0">
      <w:lvlJc w:val="left"/>
      <w:lvlText w:val="(%1)"/>
      <w:numFmt w:val="lowerLetter"/>
      <w:start w:val="5"/>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1)"/>
      <w:numFmt w:val="lowerLetter"/>
      <w:start w:val="1"/>
    </w:lvl>
    <w:lvl w:ilvl="1">
      <w:lvlJc w:val="left"/>
      <w:lvlText w:val="•"/>
      <w:numFmt w:val="bullet"/>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2019-12-09T17:55:41Z</dcterms:created>
  <dcterms:modified xsi:type="dcterms:W3CDTF">2019-12-09T17:55:41Z</dcterms:modified>
</cp:coreProperties>
</file>