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22"/>
        </w:trPr>
        <w:tc>
          <w:tcPr>
            <w:tcW w:w="2380" w:type="dxa"/>
            <w:vAlign w:val="bottom"/>
          </w:tcPr>
          <w:p>
            <w:pPr>
              <w:jc w:val="right"/>
              <w:ind w:right="56"/>
              <w:spacing w:after="0"/>
              <w:rPr>
                <w:sz w:val="20"/>
                <w:szCs w:val="20"/>
                <w:color w:val="auto"/>
              </w:rPr>
            </w:pPr>
            <w:r>
              <w:rPr>
                <w:rFonts w:ascii="Arial" w:cs="Arial" w:eastAsia="Arial" w:hAnsi="Arial"/>
                <w:sz w:val="18"/>
                <w:szCs w:val="18"/>
                <w:b w:val="1"/>
                <w:bCs w:val="1"/>
                <w:color w:val="auto"/>
              </w:rPr>
              <w:t>001-32492</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29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-334645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LAZARD LTD</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sectPr>
      </w:pPr>
    </w:p>
    <w:p>
      <w:pPr>
        <w:spacing w:after="0" w:line="2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98-0437848</w:t>
      </w:r>
    </w:p>
    <w:p>
      <w:pPr>
        <w:spacing w:after="0" w:line="50" w:lineRule="exact"/>
        <w:rPr>
          <w:sz w:val="24"/>
          <w:szCs w:val="24"/>
          <w:color w:val="auto"/>
        </w:rPr>
      </w:pPr>
    </w:p>
    <w:p>
      <w:pPr>
        <w:sectPr>
          <w:pgSz w:w="11900" w:h="16838" w:orient="portrait"/>
          <w:cols w:equalWidth="0" w:num="2">
            <w:col w:w="7480" w:space="720"/>
            <w:col w:w="3140"/>
          </w:cols>
          <w:pgMar w:left="240" w:top="571" w:right="319" w:bottom="1440" w:gutter="0" w:footer="0" w:header="0"/>
          <w:type w:val="continuous"/>
        </w:sectPr>
      </w:pPr>
    </w:p>
    <w:p>
      <w:pPr>
        <w:jc w:val="center"/>
        <w:ind w:right="110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49" w:lineRule="exact"/>
        <w:rPr>
          <w:sz w:val="24"/>
          <w:szCs w:val="24"/>
          <w:color w:val="auto"/>
        </w:rPr>
      </w:pPr>
    </w:p>
    <w:p>
      <w:pPr>
        <w:sectPr>
          <w:pgSz w:w="11900" w:h="16838" w:orient="portrait"/>
          <w:cols w:equalWidth="0" w:num="2">
            <w:col w:w="6820" w:space="720"/>
            <w:col w:w="3800"/>
          </w:cols>
          <w:pgMar w:left="240" w:top="571"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 Church Street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Hamilton HM11, Bermuda</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340"/>
          </w:cols>
          <w:pgMar w:left="240" w:top="571" w:right="319" w:bottom="1440" w:gutter="0" w:footer="0" w:header="0"/>
          <w:type w:val="continuous"/>
        </w:sectPr>
      </w:pPr>
    </w:p>
    <w:p>
      <w:pPr>
        <w:spacing w:after="0" w:line="1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(441) 295-1422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0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40"/>
          </w:cols>
          <w:pgMar w:left="240" w:top="571" w:right="319" w:bottom="1440" w:gutter="0" w:footer="0" w:header="0"/>
          <w:type w:val="continuous"/>
        </w:sectPr>
      </w:pPr>
    </w:p>
    <w:p>
      <w:pPr>
        <w:spacing w:after="0" w:line="171" w:lineRule="exact"/>
        <w:rPr>
          <w:sz w:val="24"/>
          <w:szCs w:val="24"/>
          <w:color w:val="auto"/>
        </w:rPr>
      </w:pPr>
    </w:p>
    <w:p>
      <w:pPr>
        <w:ind w:left="580"/>
        <w:spacing w:after="0" w:line="369"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4">
            <w:col w:w="2040" w:space="80"/>
            <w:col w:w="2420" w:space="720"/>
            <w:col w:w="1760" w:space="80"/>
            <w:col w:w="4240"/>
          </w:cols>
          <w:pgMar w:left="240" w:top="571" w:right="319" w:bottom="1440" w:gutter="0" w:footer="0" w:header="0"/>
          <w:type w:val="continuous"/>
        </w:sectPr>
      </w:pPr>
    </w:p>
    <w:p>
      <w:pPr>
        <w:ind w:firstLine="518"/>
        <w:spacing w:after="0" w:line="214" w:lineRule="exact"/>
        <w:rPr>
          <w:sz w:val="20"/>
          <w:szCs w:val="20"/>
          <w:color w:val="auto"/>
        </w:rPr>
      </w:pPr>
      <w:r>
        <w:rPr>
          <w:rFonts w:ascii="Arial" w:cs="Arial" w:eastAsia="Arial" w:hAnsi="Arial"/>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spacing w:after="0" w:line="184" w:lineRule="exact"/>
        <w:tabs>
          <w:tab w:leader="none" w:pos="7860" w:val="left"/>
          <w:tab w:leader="none" w:pos="84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57" w:lineRule="exact"/>
        <w:rPr>
          <w:sz w:val="24"/>
          <w:szCs w:val="24"/>
          <w:color w:val="auto"/>
        </w:rPr>
      </w:pPr>
    </w:p>
    <w:p>
      <w:pPr>
        <w:ind w:left="520"/>
        <w:spacing w:after="0"/>
        <w:rPr>
          <w:sz w:val="20"/>
          <w:szCs w:val="20"/>
          <w:color w:val="auto"/>
        </w:rPr>
      </w:pPr>
      <w:r>
        <w:rPr>
          <w:rFonts w:ascii="Arial" w:cs="Arial" w:eastAsia="Arial" w:hAnsi="Arial"/>
          <w:sz w:val="15"/>
          <w:szCs w:val="15"/>
          <w:color w:val="auto"/>
        </w:rPr>
        <w:t>As of April 21, 2017, there were 129,766,091 shares of the Registrant’s Class A common stock outstanding (including 7,157,305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827405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March 31, 2017 of all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6. Exhibits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860" w:type="dxa"/>
            <w:vAlign w:val="bottom"/>
            <w:gridSpan w:val="6"/>
          </w:tcPr>
          <w:p>
            <w:pPr>
              <w:ind w:left="18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00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8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91"/>
        </w:trPr>
        <w:tc>
          <w:tcPr>
            <w:tcW w:w="76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Financial Condition as of March 31, 2017 and December 31, 2016</w:t>
              </w:r>
            </w:hyperlink>
          </w:p>
        </w:tc>
        <w:tc>
          <w:tcPr>
            <w:tcW w:w="320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318"/>
        </w:trPr>
        <w:tc>
          <w:tcPr>
            <w:tcW w:w="1086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 periods ended March 31, 2017 and 2016</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20"/>
        </w:trPr>
        <w:tc>
          <w:tcPr>
            <w:tcW w:w="4000" w:type="dxa"/>
            <w:vAlign w:val="bottom"/>
            <w:gridSpan w:val="2"/>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89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periods ended March 31, 2017 and 2016</w:t>
              </w:r>
            </w:hyperlink>
          </w:p>
        </w:tc>
        <w:tc>
          <w:tcPr>
            <w:tcW w:w="188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318"/>
        </w:trPr>
        <w:tc>
          <w:tcPr>
            <w:tcW w:w="1086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 periods ended March 31, 2017 and 2016</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20"/>
        </w:trPr>
        <w:tc>
          <w:tcPr>
            <w:tcW w:w="4000" w:type="dxa"/>
            <w:vAlign w:val="bottom"/>
            <w:gridSpan w:val="2"/>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96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Changes in Stockholders’ Equity for the three month periods ended March 31, 2017 and 2016</w:t>
              </w:r>
            </w:hyperlink>
          </w:p>
        </w:tc>
        <w:tc>
          <w:tcPr>
            <w:tcW w:w="122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318"/>
        </w:trPr>
        <w:tc>
          <w:tcPr>
            <w:tcW w:w="1086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0"/>
        </w:trPr>
        <w:tc>
          <w:tcPr>
            <w:tcW w:w="86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891,455</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1,158,785</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572,496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33,687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29,030</w:t>
            </w:r>
          </w:p>
        </w:tc>
        <w:tc>
          <w:tcPr>
            <w:tcW w:w="120" w:type="dxa"/>
            <w:vAlign w:val="bottom"/>
          </w:tcPr>
          <w:p>
            <w:pPr>
              <w:spacing w:after="0"/>
              <w:rPr>
                <w:sz w:val="19"/>
                <w:szCs w:val="19"/>
                <w:color w:val="auto"/>
              </w:rPr>
            </w:pPr>
          </w:p>
        </w:tc>
      </w:tr>
      <w:tr>
        <w:trPr>
          <w:trHeight w:val="215"/>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$29,662 and $16,386 at March 31,</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2017 and December 31, 2016, respectively):</w:t>
            </w:r>
          </w:p>
        </w:tc>
        <w:tc>
          <w:tcPr>
            <w:tcW w:w="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Fees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439,836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564,291</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6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73,991</w:t>
            </w:r>
          </w:p>
        </w:tc>
        <w:tc>
          <w:tcPr>
            <w:tcW w:w="120" w:type="dxa"/>
            <w:vAlign w:val="bottom"/>
            <w:shd w:val="clear" w:color="auto" w:fill="CFF0FC"/>
          </w:tcPr>
          <w:p>
            <w:pPr>
              <w:spacing w:after="0"/>
              <w:rPr>
                <w:sz w:val="19"/>
                <w:szCs w:val="19"/>
                <w:color w:val="auto"/>
              </w:rPr>
            </w:pPr>
          </w:p>
        </w:tc>
      </w:tr>
      <w:tr>
        <w:trPr>
          <w:trHeight w:val="223"/>
        </w:trPr>
        <w:tc>
          <w:tcPr>
            <w:tcW w:w="7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527,614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638,282</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shd w:val="clear" w:color="auto" w:fill="CFF0FC"/>
          </w:tcPr>
          <w:p>
            <w:pPr>
              <w:spacing w:after="0"/>
              <w:rPr>
                <w:sz w:val="19"/>
                <w:szCs w:val="19"/>
                <w:color w:val="auto"/>
              </w:rPr>
            </w:pPr>
          </w:p>
        </w:tc>
      </w:tr>
      <w:tr>
        <w:trPr>
          <w:trHeight w:val="215"/>
        </w:trPr>
        <w:tc>
          <w:tcPr>
            <w:tcW w:w="7180" w:type="dxa"/>
            <w:vAlign w:val="bottom"/>
          </w:tcPr>
          <w:p>
            <w:pPr>
              <w:spacing w:after="0"/>
              <w:rPr>
                <w:sz w:val="20"/>
                <w:szCs w:val="20"/>
                <w:color w:val="auto"/>
              </w:rPr>
            </w:pPr>
            <w:r>
              <w:rPr>
                <w:rFonts w:ascii="Arial" w:cs="Arial" w:eastAsia="Arial" w:hAnsi="Arial"/>
                <w:sz w:val="18"/>
                <w:szCs w:val="18"/>
                <w:color w:val="auto"/>
              </w:rPr>
              <w:t>Property (net of accumulated amortization and depreciation of $296,280 and $286,001</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at March 31, 2017 and December 31, 2016, respectively)</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206,143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209,021</w:t>
            </w:r>
          </w:p>
        </w:tc>
        <w:tc>
          <w:tcPr>
            <w:tcW w:w="120" w:type="dxa"/>
            <w:vAlign w:val="bottom"/>
          </w:tcPr>
          <w:p>
            <w:pPr>
              <w:spacing w:after="0"/>
              <w:rPr>
                <w:sz w:val="20"/>
                <w:szCs w:val="20"/>
                <w:color w:val="auto"/>
              </w:rPr>
            </w:pPr>
          </w:p>
        </w:tc>
      </w:tr>
      <w:tr>
        <w:trPr>
          <w:trHeight w:val="215"/>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 (net of accumulated amortization of $60,909 and</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$60,080 at March 31, 2017 and December 31, 2016, respectively)</w:t>
            </w:r>
          </w:p>
        </w:tc>
        <w:tc>
          <w:tcPr>
            <w:tcW w:w="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387,908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382,024</w:t>
            </w:r>
          </w:p>
        </w:tc>
        <w:tc>
          <w:tcPr>
            <w:tcW w:w="120" w:type="dxa"/>
            <w:vAlign w:val="bottom"/>
            <w:shd w:val="clear" w:color="auto" w:fill="CFF0FC"/>
          </w:tcPr>
          <w:p>
            <w:pPr>
              <w:spacing w:after="0"/>
              <w:rPr>
                <w:sz w:val="20"/>
                <w:szCs w:val="20"/>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Deferred tax assets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1,135,107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1,075,777</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184,499</w:t>
            </w:r>
          </w:p>
        </w:tc>
        <w:tc>
          <w:tcPr>
            <w:tcW w:w="120" w:type="dxa"/>
            <w:vAlign w:val="bottom"/>
            <w:shd w:val="clear" w:color="auto" w:fill="CFF0FC"/>
          </w:tcPr>
          <w:p>
            <w:pPr>
              <w:spacing w:after="0"/>
              <w:rPr>
                <w:sz w:val="19"/>
                <w:szCs w:val="19"/>
                <w:color w:val="auto"/>
              </w:rPr>
            </w:pPr>
          </w:p>
        </w:tc>
      </w:tr>
      <w:tr>
        <w:trPr>
          <w:trHeight w:val="223"/>
        </w:trPr>
        <w:tc>
          <w:tcPr>
            <w:tcW w:w="718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6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4,385,258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4,556,508</w:t>
            </w:r>
          </w:p>
        </w:tc>
        <w:tc>
          <w:tcPr>
            <w:tcW w:w="12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Liabilities: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625,797</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472,283</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288,987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541,588</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1,189,043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1,188,600</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Tax receivable agreement obligation</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512,874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513,610</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9,168</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Capital lease obligations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7,205</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10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530,241</w:t>
            </w:r>
          </w:p>
        </w:tc>
        <w:tc>
          <w:tcPr>
            <w:tcW w:w="120" w:type="dxa"/>
            <w:vAlign w:val="bottom"/>
            <w:shd w:val="clear" w:color="auto" w:fill="CFF0FC"/>
          </w:tcPr>
          <w:p>
            <w:pPr>
              <w:spacing w:after="0"/>
              <w:rPr>
                <w:sz w:val="19"/>
                <w:szCs w:val="19"/>
                <w:color w:val="auto"/>
              </w:rPr>
            </w:pPr>
          </w:p>
        </w:tc>
      </w:tr>
      <w:tr>
        <w:trPr>
          <w:trHeight w:val="223"/>
        </w:trPr>
        <w:tc>
          <w:tcPr>
            <w:tcW w:w="68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3,172,071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3,262,695</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500"/>
              <w:spacing w:after="0"/>
              <w:rPr>
                <w:sz w:val="20"/>
                <w:szCs w:val="20"/>
                <w:color w:val="auto"/>
              </w:rPr>
            </w:pPr>
            <w:r>
              <w:rPr>
                <w:rFonts w:ascii="Arial" w:cs="Arial" w:eastAsia="Arial" w:hAnsi="Arial"/>
                <w:sz w:val="18"/>
                <w:szCs w:val="18"/>
                <w:color w:val="auto"/>
              </w:rPr>
              <w:t>Series A - no shares issued and outstanding</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B - no shares issued and outstanding</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129,766,091 shares issued at March 31, 2017 and December 31, 2016,</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including shares held by subsidiaries as indicated below)</w:t>
            </w: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FF0FC"/>
          </w:tcPr>
          <w:p>
            <w:pPr>
              <w:spacing w:after="0"/>
              <w:rPr>
                <w:sz w:val="20"/>
                <w:szCs w:val="20"/>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Additional paid-in-capital</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608,073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688,231</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1,101,988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1,134,186</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(296,699)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(314,222)</w:t>
            </w:r>
          </w:p>
        </w:tc>
      </w:tr>
      <w:tr>
        <w:trPr>
          <w:trHeight w:val="223"/>
        </w:trPr>
        <w:tc>
          <w:tcPr>
            <w:tcW w:w="68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1,414,660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1,509,493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6860" w:type="dxa"/>
            <w:vAlign w:val="bottom"/>
          </w:tcPr>
          <w:p>
            <w:pPr>
              <w:ind w:left="260"/>
              <w:spacing w:after="0"/>
              <w:rPr>
                <w:sz w:val="20"/>
                <w:szCs w:val="20"/>
                <w:color w:val="auto"/>
              </w:rPr>
            </w:pPr>
            <w:r>
              <w:rPr>
                <w:rFonts w:ascii="Arial" w:cs="Arial" w:eastAsia="Arial" w:hAnsi="Arial"/>
                <w:sz w:val="18"/>
                <w:szCs w:val="18"/>
                <w:color w:val="auto"/>
              </w:rPr>
              <w:t>Class A common stock held by subsidiaries, at cost (6,879,471 and 7,628,786</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860" w:type="dxa"/>
            <w:vAlign w:val="bottom"/>
          </w:tcPr>
          <w:p>
            <w:pPr>
              <w:ind w:left="380"/>
              <w:spacing w:after="0"/>
              <w:rPr>
                <w:sz w:val="20"/>
                <w:szCs w:val="20"/>
                <w:color w:val="auto"/>
              </w:rPr>
            </w:pPr>
            <w:r>
              <w:rPr>
                <w:rFonts w:ascii="Arial" w:cs="Arial" w:eastAsia="Arial" w:hAnsi="Arial"/>
                <w:sz w:val="18"/>
                <w:szCs w:val="18"/>
                <w:color w:val="auto"/>
              </w:rPr>
              <w:t>shares at March 31, 2017 and December 31, 2016, respectively)</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(261,583)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(273,506)</w:t>
            </w:r>
          </w:p>
        </w:tc>
      </w:tr>
      <w:tr>
        <w:trPr>
          <w:trHeight w:val="223"/>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Lazard Ltd Stockholders’ Equity</w:t>
            </w:r>
          </w:p>
        </w:tc>
        <w:tc>
          <w:tcPr>
            <w:tcW w:w="10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1,153,077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1,235,987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60,110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57,826</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0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1,213,187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1,293,813</w:t>
            </w:r>
          </w:p>
        </w:tc>
        <w:tc>
          <w:tcPr>
            <w:tcW w:w="120" w:type="dxa"/>
            <w:vAlign w:val="bottom"/>
            <w:shd w:val="clear" w:color="auto" w:fill="CFF0FC"/>
          </w:tcPr>
          <w:p>
            <w:pPr>
              <w:spacing w:after="0"/>
              <w:rPr>
                <w:sz w:val="19"/>
                <w:szCs w:val="19"/>
                <w:color w:val="auto"/>
              </w:rPr>
            </w:pPr>
          </w:p>
        </w:tc>
      </w:tr>
      <w:tr>
        <w:trPr>
          <w:trHeight w:val="223"/>
        </w:trPr>
        <w:tc>
          <w:tcPr>
            <w:tcW w:w="68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0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4,385,258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4,556,508</w:t>
            </w:r>
          </w:p>
        </w:tc>
        <w:tc>
          <w:tcPr>
            <w:tcW w:w="1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334,916</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272,924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27,926</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637,420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13,956</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623,464</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498,218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361,801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19,752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11,462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9,257</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473,267</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150,197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39,767</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110,430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880" w:type="dxa"/>
            <w:vAlign w:val="bottom"/>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28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107,553</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66,823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ATTRIBUTABLE TO LAZARD LTD CLASS A</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280"/>
              <w:spacing w:after="0"/>
              <w:rPr>
                <w:sz w:val="20"/>
                <w:szCs w:val="20"/>
                <w:color w:val="auto"/>
              </w:rPr>
            </w:pPr>
            <w:r>
              <w:rPr>
                <w:rFonts w:ascii="Arial" w:cs="Arial" w:eastAsia="Arial" w:hAnsi="Arial"/>
                <w:sz w:val="18"/>
                <w:szCs w:val="18"/>
                <w:b w:val="1"/>
                <w:bCs w:val="1"/>
                <w:color w:val="auto"/>
              </w:rPr>
              <w:t>COMMON STOCKHOLDERS: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WEIGHTED AVERAGE SHARES OF COMMON STOCK</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OUTSTANDING:</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122,815,163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126,040,441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132,689,375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132,891,284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b w:val="1"/>
                <w:bCs w:val="1"/>
                <w:color w:val="auto"/>
              </w:rPr>
              <w:t>NET INCOME PER SHARE OF COMMON STOCK:</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50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Borders>
              <w:bottom w:val="single" w:sz="8" w:color="CFF0FC"/>
            </w:tcBorders>
          </w:tcPr>
          <w:p>
            <w:pPr>
              <w:spacing w:after="0"/>
              <w:rPr>
                <w:sz w:val="21"/>
                <w:szCs w:val="21"/>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7880" w:type="dxa"/>
            <w:vAlign w:val="bottom"/>
            <w:shd w:val="clear" w:color="auto" w:fill="CFF0FC"/>
          </w:tcPr>
          <w:p>
            <w:pPr>
              <w:ind w:left="260"/>
              <w:spacing w:after="0" w:line="192" w:lineRule="exact"/>
              <w:rPr>
                <w:sz w:val="20"/>
                <w:szCs w:val="20"/>
                <w:color w:val="auto"/>
              </w:rPr>
            </w:pPr>
            <w:r>
              <w:rPr>
                <w:rFonts w:ascii="Arial" w:cs="Arial" w:eastAsia="Arial" w:hAnsi="Arial"/>
                <w:sz w:val="18"/>
                <w:szCs w:val="18"/>
                <w:b w:val="1"/>
                <w:bCs w:val="1"/>
                <w:color w:val="auto"/>
              </w:rPr>
              <w:t>DIVIDENDS DECLARED PER SHARE OF</w:t>
            </w: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COMMON STOCK</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6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110,430</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70,723</w:t>
            </w:r>
          </w:p>
        </w:tc>
        <w:tc>
          <w:tcPr>
            <w:tcW w:w="100" w:type="dxa"/>
            <w:vAlign w:val="bottom"/>
            <w:shd w:val="clear" w:color="auto" w:fill="CFF0FC"/>
          </w:tcPr>
          <w:p>
            <w:pPr>
              <w:spacing w:after="0"/>
              <w:rPr>
                <w:sz w:val="19"/>
                <w:szCs w:val="19"/>
                <w:color w:val="auto"/>
              </w:rPr>
            </w:pPr>
          </w:p>
        </w:tc>
      </w:tr>
      <w:tr>
        <w:trPr>
          <w:trHeight w:val="205"/>
        </w:trPr>
        <w:tc>
          <w:tcPr>
            <w:tcW w:w="666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6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1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 (including a tax benefit of $1,146 for</w:t>
            </w:r>
          </w:p>
        </w:tc>
        <w:tc>
          <w:tcPr>
            <w:tcW w:w="1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the three months ended March 31, 2016)</w:t>
            </w:r>
          </w:p>
        </w:tc>
        <w:tc>
          <w:tcPr>
            <w:tcW w:w="1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16,932</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11,739</w:t>
            </w:r>
          </w:p>
        </w:tc>
        <w:tc>
          <w:tcPr>
            <w:tcW w:w="100" w:type="dxa"/>
            <w:vAlign w:val="bottom"/>
            <w:shd w:val="clear" w:color="auto" w:fill="CFF0FC"/>
          </w:tcPr>
          <w:p>
            <w:pPr>
              <w:spacing w:after="0"/>
              <w:rPr>
                <w:sz w:val="20"/>
                <w:szCs w:val="20"/>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loss (net of tax benefit of $261 and $70 for the</w:t>
            </w:r>
          </w:p>
        </w:tc>
        <w:tc>
          <w:tcPr>
            <w:tcW w:w="1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three months ended March 31, 2017 and 2016, respectively)</w:t>
            </w:r>
          </w:p>
        </w:tc>
        <w:tc>
          <w:tcPr>
            <w:tcW w:w="1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(495)</w:t>
            </w:r>
          </w:p>
        </w:tc>
        <w:tc>
          <w:tcPr>
            <w:tcW w:w="5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w:t>
            </w:r>
          </w:p>
        </w:tc>
      </w:tr>
      <w:tr>
        <w:trPr>
          <w:trHeight w:val="215"/>
        </w:trPr>
        <w:tc>
          <w:tcPr>
            <w:tcW w:w="666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 tax</w:t>
            </w: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tcPr>
          <w:p>
            <w:pPr>
              <w:ind w:left="640"/>
              <w:spacing w:after="0"/>
              <w:rPr>
                <w:sz w:val="20"/>
                <w:szCs w:val="20"/>
                <w:color w:val="auto"/>
              </w:rPr>
            </w:pPr>
            <w:r>
              <w:rPr>
                <w:rFonts w:ascii="Arial" w:cs="Arial" w:eastAsia="Arial" w:hAnsi="Arial"/>
                <w:sz w:val="18"/>
                <w:szCs w:val="18"/>
                <w:color w:val="auto"/>
              </w:rPr>
              <w:t>expense of $276 and $393 for the three months ended</w:t>
            </w: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6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March 31, 2017 and 2016, respectively)</w:t>
            </w:r>
          </w:p>
        </w:tc>
        <w:tc>
          <w:tcPr>
            <w:tcW w:w="130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30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FF0FC"/>
            </w:tcBorders>
          </w:tcPr>
          <w:p>
            <w:pPr>
              <w:spacing w:after="0"/>
              <w:rPr>
                <w:sz w:val="20"/>
                <w:szCs w:val="20"/>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17,523</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12,784</w:t>
            </w:r>
          </w:p>
        </w:tc>
        <w:tc>
          <w:tcPr>
            <w:tcW w:w="100" w:type="dxa"/>
            <w:vAlign w:val="bottom"/>
            <w:shd w:val="clear" w:color="auto" w:fill="CFF0FC"/>
          </w:tcPr>
          <w:p>
            <w:pPr>
              <w:spacing w:after="0"/>
              <w:rPr>
                <w:sz w:val="19"/>
                <w:szCs w:val="19"/>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127,953</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83,507</w:t>
            </w:r>
          </w:p>
        </w:tc>
        <w:tc>
          <w:tcPr>
            <w:tcW w:w="100" w:type="dxa"/>
            <w:vAlign w:val="bottom"/>
          </w:tcPr>
          <w:p>
            <w:pPr>
              <w:spacing w:after="0"/>
              <w:rPr>
                <w:sz w:val="19"/>
                <w:szCs w:val="19"/>
                <w:color w:val="auto"/>
              </w:rPr>
            </w:pPr>
          </w:p>
        </w:tc>
      </w:tr>
      <w:tr>
        <w:trPr>
          <w:trHeight w:val="211"/>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1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1300" w:type="dxa"/>
            <w:vAlign w:val="bottom"/>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3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FF0FC"/>
          </w:tcPr>
          <w:p>
            <w:pPr>
              <w:spacing w:after="0"/>
              <w:rPr>
                <w:sz w:val="20"/>
                <w:szCs w:val="20"/>
                <w:color w:val="auto"/>
              </w:rPr>
            </w:pPr>
          </w:p>
        </w:tc>
      </w:tr>
      <w:tr>
        <w:trPr>
          <w:trHeight w:val="205"/>
        </w:trPr>
        <w:tc>
          <w:tcPr>
            <w:tcW w:w="666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60" w:type="dxa"/>
            <w:vAlign w:val="bottom"/>
          </w:tcPr>
          <w:p>
            <w:pPr>
              <w:ind w:left="140"/>
              <w:spacing w:after="0"/>
              <w:rPr>
                <w:sz w:val="20"/>
                <w:szCs w:val="20"/>
                <w:color w:val="auto"/>
              </w:rPr>
            </w:pPr>
            <w:r>
              <w:rPr>
                <w:rFonts w:ascii="Arial" w:cs="Arial" w:eastAsia="Arial" w:hAnsi="Arial"/>
                <w:sz w:val="18"/>
                <w:szCs w:val="18"/>
                <w:b w:val="1"/>
                <w:bCs w:val="1"/>
                <w:color w:val="auto"/>
              </w:rPr>
              <w:t>LAZARD LTD</w:t>
            </w:r>
          </w:p>
        </w:tc>
        <w:tc>
          <w:tcPr>
            <w:tcW w:w="222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125,076</w:t>
            </w:r>
          </w:p>
        </w:tc>
        <w:tc>
          <w:tcPr>
            <w:tcW w:w="300" w:type="dxa"/>
            <w:vAlign w:val="bottom"/>
          </w:tcPr>
          <w:p>
            <w:pPr>
              <w:spacing w:after="0"/>
              <w:rPr>
                <w:sz w:val="20"/>
                <w:szCs w:val="20"/>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79,607</w:t>
            </w:r>
          </w:p>
        </w:tc>
        <w:tc>
          <w:tcPr>
            <w:tcW w:w="10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Net income</w:t>
            </w: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110,430</w:t>
            </w:r>
          </w:p>
        </w:tc>
        <w:tc>
          <w:tcPr>
            <w:tcW w:w="280" w:type="dxa"/>
            <w:vAlign w:val="bottom"/>
          </w:tcPr>
          <w:p>
            <w:pPr>
              <w:spacing w:after="0"/>
              <w:rPr>
                <w:sz w:val="18"/>
                <w:szCs w:val="18"/>
                <w:color w:val="auto"/>
              </w:rPr>
            </w:pP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70,723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7,662</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92,766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Amortization and other acquisition-related costs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3,574</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provision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17,520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(Increase) decrease in operating assets: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Deposits with banks and short-term investments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(146,251)</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(4,533)</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115,043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(11,757)</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66,979</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(73,026)</w:t>
            </w: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(46,592)</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Increase (decrease) in operating liabilities: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Deposits and other payables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146,271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(2,729)</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(242,052)</w:t>
            </w: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(354,436)</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provided by operating activities</w:t>
            </w:r>
          </w:p>
        </w:tc>
        <w:tc>
          <w:tcPr>
            <w:tcW w:w="1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94,383</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(99,891)</w:t>
            </w: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Additions to property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(3,847)</w:t>
            </w: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(5,454)</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Disposals of property</w:t>
            </w:r>
          </w:p>
        </w:tc>
        <w:tc>
          <w:tcPr>
            <w:tcW w:w="1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investing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(3,712)</w:t>
            </w: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(5,350)</w:t>
            </w: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Excess tax benefits from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Payments for:</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Capital lease obligations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(396)</w:t>
            </w: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(1,001)</w:t>
            </w: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Payments under tax receivable agreement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(736)</w:t>
            </w: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(10,086)</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Purchase of Class A common stock</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(106,048)</w:t>
            </w: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(83,140)</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Class A common stock dividends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(192,264)</w:t>
            </w: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(194,382)</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Settlement of vested share-based incentive compensation</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(61,478)</w:t>
            </w: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(50,455)</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financing activities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(7,947)</w:t>
            </w: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740"/>
              <w:spacing w:after="0"/>
              <w:rPr>
                <w:sz w:val="20"/>
                <w:szCs w:val="20"/>
                <w:color w:val="auto"/>
              </w:rPr>
            </w:pPr>
            <w:r>
              <w:rPr>
                <w:rFonts w:ascii="Arial" w:cs="Arial" w:eastAsia="Arial" w:hAnsi="Arial"/>
                <w:sz w:val="16"/>
                <w:szCs w:val="16"/>
                <w:color w:val="auto"/>
              </w:rPr>
              <w:t>Net cash used in financing activities</w:t>
            </w:r>
          </w:p>
        </w:tc>
        <w:tc>
          <w:tcPr>
            <w:tcW w:w="1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(369,870)</w:t>
            </w:r>
          </w:p>
        </w:tc>
        <w:tc>
          <w:tcPr>
            <w:tcW w:w="5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(337,705)</w:t>
            </w:r>
          </w:p>
        </w:tc>
        <w:tc>
          <w:tcPr>
            <w:tcW w:w="0" w:type="dxa"/>
            <w:vAlign w:val="bottom"/>
          </w:tcPr>
          <w:p>
            <w:pPr>
              <w:spacing w:after="0"/>
              <w:rPr>
                <w:sz w:val="1"/>
                <w:szCs w:val="1"/>
                <w:color w:val="auto"/>
              </w:rPr>
            </w:pPr>
          </w:p>
        </w:tc>
      </w:tr>
      <w:tr>
        <w:trPr>
          <w:trHeight w:val="21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EFFECT OF EXCHANGE RATE CHANGES ON CASH</w:t>
            </w:r>
          </w:p>
        </w:tc>
        <w:tc>
          <w:tcPr>
            <w:tcW w:w="1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11,869</w:t>
            </w:r>
          </w:p>
        </w:tc>
        <w:tc>
          <w:tcPr>
            <w:tcW w:w="2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12,187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40" w:type="dxa"/>
            <w:vAlign w:val="bottom"/>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(267,330)</w:t>
            </w:r>
          </w:p>
        </w:tc>
        <w:tc>
          <w:tcPr>
            <w:tcW w:w="5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(430,759)</w:t>
            </w:r>
          </w:p>
        </w:tc>
        <w:tc>
          <w:tcPr>
            <w:tcW w:w="0" w:type="dxa"/>
            <w:vAlign w:val="bottom"/>
          </w:tcPr>
          <w:p>
            <w:pPr>
              <w:spacing w:after="0"/>
              <w:rPr>
                <w:sz w:val="1"/>
                <w:szCs w:val="1"/>
                <w:color w:val="auto"/>
              </w:rPr>
            </w:pPr>
          </w:p>
        </w:tc>
      </w:tr>
      <w:tr>
        <w:trPr>
          <w:trHeight w:val="222"/>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EQUIVALENTS—January 1</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1,158,785</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1,132,083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b w:val="1"/>
                <w:bCs w:val="1"/>
                <w:color w:val="auto"/>
              </w:rPr>
              <w:t>CASH AND CASH EQUIVALENTS—March 31</w:t>
            </w: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891,455</w:t>
            </w:r>
          </w:p>
        </w:tc>
        <w:tc>
          <w:tcPr>
            <w:tcW w:w="280" w:type="dxa"/>
            <w:vAlign w:val="bottom"/>
          </w:tcPr>
          <w:p>
            <w:pPr>
              <w:spacing w:after="0"/>
              <w:rPr>
                <w:sz w:val="17"/>
                <w:szCs w:val="17"/>
                <w:color w:val="auto"/>
              </w:rPr>
            </w:pP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701,324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7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Class 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13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2"/>
              </w:rPr>
              <w:t>Series A</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Comprehensive</w:t>
            </w:r>
          </w:p>
        </w:tc>
        <w:tc>
          <w:tcPr>
            <w:tcW w:w="17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Common Stock</w:t>
            </w:r>
          </w:p>
        </w:tc>
        <w:tc>
          <w:tcPr>
            <w:tcW w:w="4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49"/>
        </w:trPr>
        <w:tc>
          <w:tcPr>
            <w:tcW w:w="130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Preferred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1300" w:type="dxa"/>
            <w:vAlign w:val="bottom"/>
          </w:tcPr>
          <w:p>
            <w:pPr>
              <w:spacing w:after="0"/>
              <w:rPr>
                <w:sz w:val="14"/>
                <w:szCs w:val="14"/>
                <w:color w:val="auto"/>
              </w:rPr>
            </w:pPr>
          </w:p>
        </w:tc>
        <w:tc>
          <w:tcPr>
            <w:tcW w:w="60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ind w:left="3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Paid-In-</w:t>
            </w:r>
          </w:p>
        </w:tc>
        <w:tc>
          <w:tcPr>
            <w:tcW w:w="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Retained</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7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Held By Subsidiaries</w:t>
            </w:r>
          </w:p>
        </w:tc>
        <w:tc>
          <w:tcPr>
            <w:tcW w:w="4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Stockholders’</w:t>
            </w: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Noncontrolling</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Stockholders’</w:t>
            </w:r>
          </w:p>
        </w:tc>
      </w:tr>
      <w:tr>
        <w:trPr>
          <w:trHeight w:val="156"/>
        </w:trPr>
        <w:tc>
          <w:tcPr>
            <w:tcW w:w="1300" w:type="dxa"/>
            <w:vAlign w:val="bottom"/>
          </w:tcPr>
          <w:p>
            <w:pPr>
              <w:spacing w:after="0"/>
              <w:rPr>
                <w:sz w:val="13"/>
                <w:szCs w:val="13"/>
                <w:color w:val="auto"/>
              </w:rPr>
            </w:pPr>
          </w:p>
        </w:tc>
        <w:tc>
          <w:tcPr>
            <w:tcW w:w="60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tcPr>
          <w:p>
            <w:pPr>
              <w:jc w:val="right"/>
              <w:ind w:right="186"/>
              <w:spacing w:after="0" w:line="155"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jc w:val="center"/>
              <w:ind w:left="43"/>
              <w:spacing w:after="0" w:line="155"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3"/>
                <w:szCs w:val="13"/>
                <w:color w:val="auto"/>
              </w:rPr>
            </w:pPr>
          </w:p>
        </w:tc>
        <w:tc>
          <w:tcPr>
            <w:tcW w:w="8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3"/>
                <w:szCs w:val="13"/>
                <w:color w:val="auto"/>
              </w:rPr>
            </w:pPr>
          </w:p>
        </w:tc>
        <w:tc>
          <w:tcPr>
            <w:tcW w:w="9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8"/>
              </w:rPr>
              <w:t>Net of Tax</w:t>
            </w:r>
          </w:p>
        </w:tc>
        <w:tc>
          <w:tcPr>
            <w:tcW w:w="90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3"/>
                <w:szCs w:val="13"/>
                <w:color w:val="auto"/>
              </w:rPr>
            </w:pPr>
          </w:p>
        </w:tc>
        <w:tc>
          <w:tcPr>
            <w:tcW w:w="7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1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w:t>
            </w:r>
          </w:p>
        </w:tc>
        <w:tc>
          <w:tcPr>
            <w:tcW w:w="4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16"/>
        </w:trPr>
        <w:tc>
          <w:tcPr>
            <w:tcW w:w="1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January 1, 2016</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7,921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620" w:type="dxa"/>
            <w:vAlign w:val="bottom"/>
            <w:gridSpan w:val="2"/>
            <w:shd w:val="clear" w:color="auto" w:fill="CFF0FC"/>
          </w:tcPr>
          <w:p>
            <w:pPr>
              <w:jc w:val="center"/>
              <w:ind w:left="43"/>
              <w:spacing w:after="0"/>
              <w:rPr>
                <w:sz w:val="20"/>
                <w:szCs w:val="20"/>
                <w:color w:val="auto"/>
              </w:rPr>
            </w:pPr>
            <w:r>
              <w:rPr>
                <w:rFonts w:ascii="Arial" w:cs="Arial" w:eastAsia="Arial" w:hAnsi="Arial"/>
                <w:sz w:val="16"/>
                <w:szCs w:val="16"/>
                <w:b w:val="1"/>
                <w:bCs w:val="1"/>
                <w:color w:val="auto"/>
                <w:w w:val="93"/>
              </w:rPr>
              <w:t>$ 1,298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600,034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1,123,728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(234,356)</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4,253,381</w:t>
            </w:r>
          </w:p>
        </w:tc>
        <w:tc>
          <w:tcPr>
            <w:tcW w:w="10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b w:val="1"/>
                <w:bCs w:val="1"/>
                <w:color w:val="auto"/>
                <w:w w:val="95"/>
              </w:rPr>
              <w:t>$ (177,249)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1,313,455</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4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53,851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1,367,306</w:t>
            </w:r>
          </w:p>
        </w:tc>
        <w:tc>
          <w:tcPr>
            <w:tcW w:w="60" w:type="dxa"/>
            <w:vAlign w:val="bottom"/>
            <w:shd w:val="clear" w:color="auto" w:fill="CFF0FC"/>
          </w:tcPr>
          <w:p>
            <w:pPr>
              <w:spacing w:after="0"/>
              <w:rPr>
                <w:sz w:val="18"/>
                <w:szCs w:val="18"/>
                <w:color w:val="auto"/>
              </w:rPr>
            </w:pP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rPr>
              <w:t>Comprehensive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300" w:type="dxa"/>
            <w:vAlign w:val="bottom"/>
          </w:tcPr>
          <w:p>
            <w:pPr>
              <w:spacing w:after="0"/>
              <w:rPr>
                <w:sz w:val="20"/>
                <w:szCs w:val="20"/>
                <w:color w:val="auto"/>
              </w:rPr>
            </w:pPr>
            <w:r>
              <w:rPr>
                <w:rFonts w:ascii="Arial" w:cs="Arial" w:eastAsia="Arial" w:hAnsi="Arial"/>
                <w:sz w:val="16"/>
                <w:szCs w:val="16"/>
                <w:color w:val="auto"/>
              </w:rPr>
              <w:t>income: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13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66,823</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70,723</w:t>
            </w:r>
          </w:p>
        </w:tc>
        <w:tc>
          <w:tcPr>
            <w:tcW w:w="60" w:type="dxa"/>
            <w:vAlign w:val="bottom"/>
            <w:shd w:val="clear" w:color="auto" w:fill="CFF0FC"/>
          </w:tcPr>
          <w:p>
            <w:pPr>
              <w:spacing w:after="0"/>
              <w:rPr>
                <w:sz w:val="19"/>
                <w:szCs w:val="19"/>
                <w:color w:val="auto"/>
              </w:rPr>
            </w:pPr>
          </w:p>
        </w:tc>
      </w:tr>
      <w:tr>
        <w:trPr>
          <w:trHeight w:val="206"/>
        </w:trPr>
        <w:tc>
          <w:tcPr>
            <w:tcW w:w="1300" w:type="dxa"/>
            <w:vAlign w:val="bottom"/>
          </w:tcPr>
          <w:p>
            <w:pPr>
              <w:ind w:left="140"/>
              <w:spacing w:after="0"/>
              <w:rPr>
                <w:sz w:val="20"/>
                <w:szCs w:val="20"/>
                <w:color w:val="auto"/>
              </w:rPr>
            </w:pPr>
            <w:r>
              <w:rPr>
                <w:rFonts w:ascii="Arial" w:cs="Arial" w:eastAsia="Arial" w:hAnsi="Arial"/>
                <w:sz w:val="16"/>
                <w:szCs w:val="16"/>
                <w:color w:val="auto"/>
              </w:rPr>
              <w:t>Other</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300" w:type="dxa"/>
            <w:vAlign w:val="bottom"/>
          </w:tcPr>
          <w:p>
            <w:pPr>
              <w:ind w:left="140"/>
              <w:spacing w:after="0"/>
              <w:rPr>
                <w:sz w:val="20"/>
                <w:szCs w:val="20"/>
                <w:color w:val="auto"/>
              </w:rPr>
            </w:pPr>
            <w:r>
              <w:rPr>
                <w:rFonts w:ascii="Arial" w:cs="Arial" w:eastAsia="Arial" w:hAnsi="Arial"/>
                <w:sz w:val="16"/>
                <w:szCs w:val="16"/>
                <w:color w:val="auto"/>
              </w:rPr>
              <w:t>comprehensive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300" w:type="dxa"/>
            <w:vAlign w:val="bottom"/>
          </w:tcPr>
          <w:p>
            <w:pPr>
              <w:ind w:left="140"/>
              <w:spacing w:after="0"/>
              <w:rPr>
                <w:sz w:val="20"/>
                <w:szCs w:val="20"/>
                <w:color w:val="auto"/>
              </w:rPr>
            </w:pPr>
            <w:r>
              <w:rPr>
                <w:rFonts w:ascii="Arial" w:cs="Arial" w:eastAsia="Arial" w:hAnsi="Arial"/>
                <w:sz w:val="16"/>
                <w:szCs w:val="16"/>
                <w:color w:val="auto"/>
              </w:rPr>
              <w:t>income - net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300" w:type="dxa"/>
            <w:vAlign w:val="bottom"/>
          </w:tcPr>
          <w:p>
            <w:pPr>
              <w:ind w:left="260"/>
              <w:spacing w:after="0"/>
              <w:rPr>
                <w:sz w:val="20"/>
                <w:szCs w:val="20"/>
                <w:color w:val="auto"/>
              </w:rPr>
            </w:pPr>
            <w:r>
              <w:rPr>
                <w:rFonts w:ascii="Arial" w:cs="Arial" w:eastAsia="Arial" w:hAnsi="Arial"/>
                <w:sz w:val="16"/>
                <w:szCs w:val="16"/>
                <w:color w:val="auto"/>
              </w:rPr>
              <w:t>of tax</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12,784</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12,784</w:t>
            </w:r>
          </w:p>
        </w:tc>
        <w:tc>
          <w:tcPr>
            <w:tcW w:w="60" w:type="dxa"/>
            <w:vAlign w:val="bottom"/>
          </w:tcPr>
          <w:p>
            <w:pPr>
              <w:spacing w:after="0"/>
              <w:rPr>
                <w:sz w:val="18"/>
                <w:szCs w:val="18"/>
                <w:color w:val="auto"/>
              </w:rPr>
            </w:pPr>
          </w:p>
        </w:tc>
      </w:tr>
      <w:tr>
        <w:trPr>
          <w:trHeight w:val="209"/>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share-based</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1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94,638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94,638</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94,638</w:t>
            </w:r>
          </w:p>
        </w:tc>
        <w:tc>
          <w:tcPr>
            <w:tcW w:w="60" w:type="dxa"/>
            <w:vAlign w:val="bottom"/>
            <w:shd w:val="clear" w:color="auto" w:fill="CFF0FC"/>
          </w:tcPr>
          <w:p>
            <w:pPr>
              <w:spacing w:after="0"/>
              <w:rPr>
                <w:sz w:val="18"/>
                <w:szCs w:val="18"/>
                <w:color w:val="auto"/>
              </w:rPr>
            </w:pP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rPr>
              <w:t>Dividend-</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300" w:type="dxa"/>
            <w:vAlign w:val="bottom"/>
          </w:tcPr>
          <w:p>
            <w:pPr>
              <w:spacing w:after="0"/>
              <w:rPr>
                <w:sz w:val="20"/>
                <w:szCs w:val="20"/>
                <w:color w:val="auto"/>
              </w:rPr>
            </w:pPr>
            <w:r>
              <w:rPr>
                <w:rFonts w:ascii="Arial" w:cs="Arial" w:eastAsia="Arial" w:hAnsi="Arial"/>
                <w:sz w:val="16"/>
                <w:szCs w:val="16"/>
                <w:color w:val="auto"/>
              </w:rPr>
              <w:t>equivalents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23,793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(25,361)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(1,568)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(1,568)</w:t>
            </w:r>
          </w:p>
        </w:tc>
      </w:tr>
      <w:tr>
        <w:trPr>
          <w:trHeight w:val="209"/>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Class A common</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stock dividends</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(194,382)</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(194,382)</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(194,382)</w:t>
            </w: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w w:val="98"/>
              </w:rPr>
              <w:t>Purchase of Class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300" w:type="dxa"/>
            <w:vAlign w:val="bottom"/>
          </w:tcPr>
          <w:p>
            <w:pPr>
              <w:spacing w:after="0"/>
              <w:rPr>
                <w:sz w:val="20"/>
                <w:szCs w:val="20"/>
                <w:color w:val="auto"/>
              </w:rPr>
            </w:pPr>
            <w:r>
              <w:rPr>
                <w:rFonts w:ascii="Arial" w:cs="Arial" w:eastAsia="Arial" w:hAnsi="Arial"/>
                <w:sz w:val="16"/>
                <w:szCs w:val="16"/>
                <w:color w:val="auto"/>
              </w:rPr>
              <w:t>A common stock</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2,424,571</w:t>
            </w: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(83,140)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(83,140)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(83,140)</w:t>
            </w:r>
          </w:p>
        </w:tc>
      </w:tr>
      <w:tr>
        <w:trPr>
          <w:trHeight w:val="209"/>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A common stock</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in</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share-based</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and related tax</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benefit</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1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$7,219</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3"/>
              </w:rPr>
              <w:t>(192,121)</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(3,674,957)</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148,885</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(43,236)</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(43,236)</w:t>
            </w: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rPr>
              <w:t>Distributions to</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300" w:type="dxa"/>
            <w:vAlign w:val="bottom"/>
          </w:tcPr>
          <w:p>
            <w:pPr>
              <w:spacing w:after="0"/>
              <w:rPr>
                <w:sz w:val="20"/>
                <w:szCs w:val="20"/>
                <w:color w:val="auto"/>
              </w:rPr>
            </w:pPr>
            <w:r>
              <w:rPr>
                <w:rFonts w:ascii="Arial" w:cs="Arial" w:eastAsia="Arial" w:hAnsi="Arial"/>
                <w:sz w:val="16"/>
                <w:szCs w:val="16"/>
                <w:color w:val="auto"/>
              </w:rPr>
              <w:t>noncontrolling</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300" w:type="dxa"/>
            <w:vAlign w:val="bottom"/>
          </w:tcPr>
          <w:p>
            <w:pPr>
              <w:spacing w:after="0"/>
              <w:rPr>
                <w:sz w:val="20"/>
                <w:szCs w:val="20"/>
                <w:color w:val="auto"/>
              </w:rPr>
            </w:pPr>
            <w:r>
              <w:rPr>
                <w:rFonts w:ascii="Arial" w:cs="Arial" w:eastAsia="Arial" w:hAnsi="Arial"/>
                <w:sz w:val="16"/>
                <w:szCs w:val="16"/>
                <w:color w:val="auto"/>
              </w:rPr>
              <w:t>interests,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300" w:type="dxa"/>
            <w:vAlign w:val="bottom"/>
          </w:tcPr>
          <w:p>
            <w:pPr>
              <w:ind w:left="120"/>
              <w:spacing w:after="0"/>
              <w:rPr>
                <w:sz w:val="20"/>
                <w:szCs w:val="20"/>
                <w:color w:val="auto"/>
              </w:rPr>
            </w:pPr>
            <w:r>
              <w:rPr>
                <w:rFonts w:ascii="Arial" w:cs="Arial" w:eastAsia="Arial" w:hAnsi="Arial"/>
                <w:sz w:val="16"/>
                <w:szCs w:val="16"/>
                <w:color w:val="auto"/>
              </w:rPr>
              <w:t>net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(331)</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(331)</w:t>
            </w:r>
          </w:p>
        </w:tc>
      </w:tr>
      <w:tr>
        <w:trPr>
          <w:trHeight w:val="219"/>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(46)</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w:t>
            </w:r>
          </w:p>
        </w:tc>
      </w:tr>
      <w:tr>
        <w:trPr>
          <w:trHeight w:val="196"/>
        </w:trPr>
        <w:tc>
          <w:tcPr>
            <w:tcW w:w="1300" w:type="dxa"/>
            <w:vAlign w:val="bottom"/>
          </w:tcPr>
          <w:p>
            <w:pPr>
              <w:spacing w:after="0"/>
              <w:rPr>
                <w:sz w:val="20"/>
                <w:szCs w:val="20"/>
                <w:color w:val="auto"/>
              </w:rPr>
            </w:pPr>
            <w:r>
              <w:rPr>
                <w:rFonts w:ascii="Arial" w:cs="Arial" w:eastAsia="Arial" w:hAnsi="Arial"/>
                <w:sz w:val="16"/>
                <w:szCs w:val="16"/>
                <w:b w:val="1"/>
                <w:bCs w:val="1"/>
                <w:color w:val="auto"/>
              </w:rPr>
              <w:t>Balance -</w:t>
            </w:r>
          </w:p>
        </w:tc>
        <w:tc>
          <w:tcPr>
            <w:tcW w:w="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300" w:type="dxa"/>
            <w:vAlign w:val="bottom"/>
          </w:tcPr>
          <w:p>
            <w:pPr>
              <w:spacing w:after="0"/>
              <w:rPr>
                <w:sz w:val="20"/>
                <w:szCs w:val="20"/>
                <w:color w:val="auto"/>
              </w:rPr>
            </w:pPr>
            <w:r>
              <w:rPr>
                <w:rFonts w:ascii="Arial" w:cs="Arial" w:eastAsia="Arial" w:hAnsi="Arial"/>
                <w:sz w:val="16"/>
                <w:szCs w:val="16"/>
                <w:b w:val="1"/>
                <w:bCs w:val="1"/>
                <w:color w:val="auto"/>
              </w:rPr>
              <w:t>March 31, 2016</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7,921</w:t>
            </w:r>
          </w:p>
        </w:tc>
        <w:tc>
          <w:tcPr>
            <w:tcW w:w="1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620" w:type="dxa"/>
            <w:vAlign w:val="bottom"/>
            <w:gridSpan w:val="2"/>
          </w:tcPr>
          <w:p>
            <w:pPr>
              <w:jc w:val="center"/>
              <w:ind w:left="43"/>
              <w:spacing w:after="0"/>
              <w:rPr>
                <w:sz w:val="20"/>
                <w:szCs w:val="20"/>
                <w:color w:val="auto"/>
              </w:rPr>
            </w:pPr>
            <w:r>
              <w:rPr>
                <w:rFonts w:ascii="Arial" w:cs="Arial" w:eastAsia="Arial" w:hAnsi="Arial"/>
                <w:sz w:val="16"/>
                <w:szCs w:val="16"/>
                <w:b w:val="1"/>
                <w:bCs w:val="1"/>
                <w:color w:val="auto"/>
                <w:w w:val="93"/>
              </w:rPr>
              <w:t>$ 1,298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526,298</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970,808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(221,572)</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3,002,995</w:t>
            </w: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95"/>
              </w:rPr>
              <w:t>$ (111,504)</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2"/>
              </w:rPr>
              <w:t>1,165,328</w:t>
            </w:r>
          </w:p>
        </w:tc>
        <w:tc>
          <w:tcPr>
            <w:tcW w:w="10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57,420</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w w:val="92"/>
              </w:rPr>
              <w:t>1,222,748</w:t>
            </w:r>
          </w:p>
        </w:tc>
        <w:tc>
          <w:tcPr>
            <w:tcW w:w="6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0"/>
              </w:rPr>
              <w:t>Other</w:t>
            </w:r>
          </w:p>
        </w:tc>
        <w:tc>
          <w:tcPr>
            <w:tcW w:w="1780" w:type="dxa"/>
            <w:vAlign w:val="bottom"/>
            <w:gridSpan w:val="4"/>
          </w:tcPr>
          <w:p>
            <w:pPr>
              <w:jc w:val="center"/>
              <w:ind w:right="79"/>
              <w:spacing w:after="0" w:line="149" w:lineRule="exact"/>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1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Additional</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5"/>
              </w:rPr>
              <w:t>Comprehensive</w:t>
            </w:r>
          </w:p>
        </w:tc>
        <w:tc>
          <w:tcPr>
            <w:tcW w:w="178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Lazard Ltd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19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Paid-In-</w:t>
            </w:r>
          </w:p>
        </w:tc>
        <w:tc>
          <w:tcPr>
            <w:tcW w:w="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108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w w:val="84"/>
              </w:rPr>
              <w:t>Income (Loss),</w:t>
            </w:r>
          </w:p>
        </w:tc>
        <w:tc>
          <w:tcPr>
            <w:tcW w:w="178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87"/>
              </w:rPr>
              <w:t>Held By Subsidiaries</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Noncontrolling</w:t>
            </w: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r>
      <w:tr>
        <w:trPr>
          <w:trHeight w:val="156"/>
        </w:trPr>
        <w:tc>
          <w:tcPr>
            <w:tcW w:w="1980" w:type="dxa"/>
            <w:vAlign w:val="bottom"/>
          </w:tcPr>
          <w:p>
            <w:pPr>
              <w:spacing w:after="0"/>
              <w:rPr>
                <w:sz w:val="13"/>
                <w:szCs w:val="13"/>
                <w:color w:val="auto"/>
              </w:rPr>
            </w:pPr>
          </w:p>
        </w:tc>
        <w:tc>
          <w:tcPr>
            <w:tcW w:w="106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3"/>
                <w:szCs w:val="13"/>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39"/>
              <w:spacing w:after="0" w:line="155" w:lineRule="exact"/>
              <w:rPr>
                <w:sz w:val="20"/>
                <w:szCs w:val="20"/>
                <w:color w:val="auto"/>
              </w:rPr>
            </w:pPr>
            <w:r>
              <w:rPr>
                <w:rFonts w:ascii="Arial" w:cs="Arial" w:eastAsia="Arial" w:hAnsi="Arial"/>
                <w:sz w:val="14"/>
                <w:szCs w:val="14"/>
                <w:b w:val="1"/>
                <w:bCs w:val="1"/>
                <w:color w:val="auto"/>
                <w:w w:val="88"/>
              </w:rPr>
              <w:t>Net of Tax</w:t>
            </w:r>
          </w:p>
        </w:tc>
        <w:tc>
          <w:tcPr>
            <w:tcW w:w="98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3"/>
                <w:szCs w:val="13"/>
                <w:color w:val="auto"/>
              </w:rPr>
            </w:pPr>
          </w:p>
        </w:tc>
        <w:tc>
          <w:tcPr>
            <w:tcW w:w="84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88"/>
              </w:rPr>
              <w:t>Equity</w:t>
            </w:r>
          </w:p>
        </w:tc>
      </w:tr>
      <w:tr>
        <w:trPr>
          <w:trHeight w:val="210"/>
        </w:trPr>
        <w:tc>
          <w:tcPr>
            <w:tcW w:w="1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2017</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4"/>
              </w:rPr>
              <w:t>1,298</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688,231</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$ 1,134,186</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(314,222)</w:t>
            </w:r>
          </w:p>
        </w:tc>
        <w:tc>
          <w:tcPr>
            <w:tcW w:w="1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7,628,786</w:t>
            </w: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(273,506)</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$ 1,235,987</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57,826</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$ 1,293,813</w:t>
            </w:r>
          </w:p>
        </w:tc>
        <w:tc>
          <w:tcPr>
            <w:tcW w:w="60" w:type="dxa"/>
            <w:vAlign w:val="bottom"/>
            <w:tcBorders>
              <w:top w:val="single" w:sz="8" w:color="CFF0FC"/>
            </w:tcBorders>
            <w:shd w:val="clear" w:color="auto" w:fill="CFF0FC"/>
          </w:tcPr>
          <w:p>
            <w:pPr>
              <w:spacing w:after="0"/>
              <w:rPr>
                <w:sz w:val="18"/>
                <w:szCs w:val="18"/>
                <w:color w:val="auto"/>
              </w:rPr>
            </w:pP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Adjustment for the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cumulative effect on prior</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80" w:type="dxa"/>
            <w:vAlign w:val="bottom"/>
          </w:tcPr>
          <w:p>
            <w:pPr>
              <w:ind w:left="120"/>
              <w:spacing w:after="0"/>
              <w:rPr>
                <w:sz w:val="20"/>
                <w:szCs w:val="20"/>
                <w:color w:val="auto"/>
              </w:rPr>
            </w:pPr>
            <w:r>
              <w:rPr>
                <w:rFonts w:ascii="Arial" w:cs="Arial" w:eastAsia="Arial" w:hAnsi="Arial"/>
                <w:sz w:val="16"/>
                <w:szCs w:val="16"/>
                <w:color w:val="auto"/>
                <w:w w:val="98"/>
              </w:rPr>
              <w:t>years from the adoption of</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new accounting</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80" w:type="dxa"/>
            <w:vAlign w:val="bottom"/>
          </w:tcPr>
          <w:p>
            <w:pPr>
              <w:ind w:left="120"/>
              <w:spacing w:after="0"/>
              <w:rPr>
                <w:sz w:val="20"/>
                <w:szCs w:val="20"/>
                <w:color w:val="auto"/>
              </w:rPr>
            </w:pPr>
            <w:r>
              <w:rPr>
                <w:rFonts w:ascii="Arial" w:cs="Arial" w:eastAsia="Arial" w:hAnsi="Arial"/>
                <w:sz w:val="16"/>
                <w:szCs w:val="16"/>
                <w:color w:val="auto"/>
                <w:w w:val="98"/>
              </w:rPr>
              <w:t>guidance related to share-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based incentive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8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81,544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81,544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81,544</w:t>
            </w:r>
          </w:p>
        </w:tc>
        <w:tc>
          <w:tcPr>
            <w:tcW w:w="60" w:type="dxa"/>
            <w:vAlign w:val="bottom"/>
          </w:tcPr>
          <w:p>
            <w:pPr>
              <w:spacing w:after="0"/>
              <w:rPr>
                <w:sz w:val="18"/>
                <w:szCs w:val="18"/>
                <w:color w:val="auto"/>
              </w:rPr>
            </w:pPr>
          </w:p>
        </w:tc>
      </w:tr>
      <w:tr>
        <w:trPr>
          <w:trHeight w:val="203"/>
        </w:trPr>
        <w:tc>
          <w:tcPr>
            <w:tcW w:w="1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adjusted -</w:t>
            </w: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12"/>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January 1, 2017</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129,766,091</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1,298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688,231</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1,215,730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(314,222)</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7,628,786</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(273,506)</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1,317,531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57,826</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1,375,357</w:t>
            </w:r>
          </w:p>
        </w:tc>
        <w:tc>
          <w:tcPr>
            <w:tcW w:w="60" w:type="dxa"/>
            <w:vAlign w:val="bottom"/>
            <w:shd w:val="clear" w:color="auto" w:fill="CFF0FC"/>
          </w:tcPr>
          <w:p>
            <w:pPr>
              <w:spacing w:after="0"/>
              <w:rPr>
                <w:sz w:val="18"/>
                <w:szCs w:val="18"/>
                <w:color w:val="auto"/>
              </w:rPr>
            </w:pPr>
          </w:p>
        </w:tc>
      </w:tr>
      <w:tr>
        <w:trPr>
          <w:trHeight w:val="213"/>
        </w:trPr>
        <w:tc>
          <w:tcPr>
            <w:tcW w:w="1980" w:type="dxa"/>
            <w:vAlign w:val="bottom"/>
          </w:tcPr>
          <w:p>
            <w:pPr>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1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107,553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107,553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2,877</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110,430</w:t>
            </w:r>
          </w:p>
        </w:tc>
        <w:tc>
          <w:tcPr>
            <w:tcW w:w="60" w:type="dxa"/>
            <w:vAlign w:val="bottom"/>
            <w:shd w:val="clear" w:color="auto" w:fill="CFF0FC"/>
          </w:tcPr>
          <w:p>
            <w:pPr>
              <w:spacing w:after="0"/>
              <w:rPr>
                <w:sz w:val="19"/>
                <w:szCs w:val="19"/>
                <w:color w:val="auto"/>
              </w:rPr>
            </w:pPr>
          </w:p>
        </w:tc>
      </w:tr>
      <w:tr>
        <w:trPr>
          <w:trHeight w:val="206"/>
        </w:trPr>
        <w:tc>
          <w:tcPr>
            <w:tcW w:w="1980" w:type="dxa"/>
            <w:vAlign w:val="bottom"/>
          </w:tcPr>
          <w:p>
            <w:pPr>
              <w:ind w:left="260"/>
              <w:spacing w:after="0"/>
              <w:rPr>
                <w:sz w:val="20"/>
                <w:szCs w:val="20"/>
                <w:color w:val="auto"/>
              </w:rPr>
            </w:pPr>
            <w:r>
              <w:rPr>
                <w:rFonts w:ascii="Arial" w:cs="Arial" w:eastAsia="Arial" w:hAnsi="Arial"/>
                <w:sz w:val="16"/>
                <w:szCs w:val="16"/>
                <w:color w:val="auto"/>
              </w:rPr>
              <w:t>Other comprehensive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80" w:type="dxa"/>
            <w:vAlign w:val="bottom"/>
          </w:tcPr>
          <w:p>
            <w:pPr>
              <w:ind w:left="260"/>
              <w:spacing w:after="0"/>
              <w:rPr>
                <w:sz w:val="20"/>
                <w:szCs w:val="20"/>
                <w:color w:val="auto"/>
              </w:rPr>
            </w:pPr>
            <w:r>
              <w:rPr>
                <w:rFonts w:ascii="Arial" w:cs="Arial" w:eastAsia="Arial" w:hAnsi="Arial"/>
                <w:sz w:val="16"/>
                <w:szCs w:val="16"/>
                <w:color w:val="auto"/>
              </w:rPr>
              <w:t>income - net of tax</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17,523</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17,523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17,523</w:t>
            </w:r>
          </w:p>
        </w:tc>
        <w:tc>
          <w:tcPr>
            <w:tcW w:w="60" w:type="dxa"/>
            <w:vAlign w:val="bottom"/>
          </w:tcPr>
          <w:p>
            <w:pPr>
              <w:spacing w:after="0"/>
              <w:rPr>
                <w:sz w:val="18"/>
                <w:szCs w:val="18"/>
                <w:color w:val="auto"/>
              </w:rPr>
            </w:pPr>
          </w:p>
        </w:tc>
      </w:tr>
      <w:tr>
        <w:trPr>
          <w:trHeight w:val="20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w w:val="97"/>
              </w:rPr>
              <w:t>Amortization of share-based</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1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77,527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77,527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77,527</w:t>
            </w:r>
          </w:p>
        </w:tc>
        <w:tc>
          <w:tcPr>
            <w:tcW w:w="60" w:type="dxa"/>
            <w:vAlign w:val="bottom"/>
            <w:shd w:val="clear" w:color="auto" w:fill="CFF0FC"/>
          </w:tcPr>
          <w:p>
            <w:pPr>
              <w:spacing w:after="0"/>
              <w:rPr>
                <w:sz w:val="18"/>
                <w:szCs w:val="18"/>
                <w:color w:val="auto"/>
              </w:rPr>
            </w:pPr>
          </w:p>
        </w:tc>
      </w:tr>
      <w:tr>
        <w:trPr>
          <w:trHeight w:val="213"/>
        </w:trPr>
        <w:tc>
          <w:tcPr>
            <w:tcW w:w="1980" w:type="dxa"/>
            <w:vAlign w:val="bottom"/>
          </w:tcPr>
          <w:p>
            <w:pPr>
              <w:spacing w:after="0"/>
              <w:rPr>
                <w:sz w:val="20"/>
                <w:szCs w:val="20"/>
                <w:color w:val="auto"/>
              </w:rPr>
            </w:pPr>
            <w:r>
              <w:rPr>
                <w:rFonts w:ascii="Arial" w:cs="Arial" w:eastAsia="Arial" w:hAnsi="Arial"/>
                <w:sz w:val="16"/>
                <w:szCs w:val="16"/>
                <w:color w:val="auto"/>
              </w:rPr>
              <w:t>Dividend-equivalents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25,977</w:t>
            </w:r>
          </w:p>
        </w:tc>
        <w:tc>
          <w:tcPr>
            <w:tcW w:w="1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(29,031)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(3,054)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(3,054)</w:t>
            </w:r>
          </w:p>
        </w:tc>
      </w:tr>
      <w:tr>
        <w:trPr>
          <w:trHeight w:val="20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(192,264)</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(192,264)</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(192,264)</w:t>
            </w: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Purchase of Class A</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80" w:type="dxa"/>
            <w:vAlign w:val="bottom"/>
          </w:tcPr>
          <w:p>
            <w:pPr>
              <w:spacing w:after="0"/>
              <w:rPr>
                <w:sz w:val="20"/>
                <w:szCs w:val="20"/>
                <w:color w:val="auto"/>
              </w:rPr>
            </w:pPr>
            <w:r>
              <w:rPr>
                <w:rFonts w:ascii="Arial" w:cs="Arial" w:eastAsia="Arial" w:hAnsi="Arial"/>
                <w:sz w:val="16"/>
                <w:szCs w:val="16"/>
                <w:color w:val="auto"/>
              </w:rPr>
              <w:t>common 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2,464,967</w:t>
            </w:r>
          </w:p>
        </w:tc>
        <w:tc>
          <w:tcPr>
            <w:tcW w:w="180" w:type="dxa"/>
            <w:vAlign w:val="bottom"/>
          </w:tcPr>
          <w:p>
            <w:pPr>
              <w:spacing w:after="0"/>
              <w:rPr>
                <w:sz w:val="18"/>
                <w:szCs w:val="18"/>
                <w:color w:val="auto"/>
              </w:rPr>
            </w:pPr>
          </w:p>
        </w:tc>
        <w:tc>
          <w:tcPr>
            <w:tcW w:w="800" w:type="dxa"/>
            <w:vAlign w:val="bottom"/>
            <w:gridSpan w:val="2"/>
          </w:tcPr>
          <w:p>
            <w:pPr>
              <w:jc w:val="right"/>
              <w:ind w:right="19"/>
              <w:spacing w:after="0"/>
              <w:rPr>
                <w:sz w:val="20"/>
                <w:szCs w:val="20"/>
                <w:color w:val="auto"/>
              </w:rPr>
            </w:pPr>
            <w:r>
              <w:rPr>
                <w:rFonts w:ascii="Arial" w:cs="Arial" w:eastAsia="Arial" w:hAnsi="Arial"/>
                <w:sz w:val="16"/>
                <w:szCs w:val="16"/>
                <w:color w:val="auto"/>
              </w:rPr>
              <w:t>(106,048)</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(106,048)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(106,048)</w:t>
            </w:r>
          </w:p>
        </w:tc>
      </w:tr>
      <w:tr>
        <w:trPr>
          <w:trHeight w:val="20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 A</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common stock in</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9"/>
              </w:rPr>
              <w:t>compensation and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tax expense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1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$4,287</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6"/>
              </w:rPr>
              <w:t>(183,736)</w:t>
            </w: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(3,214,282)</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117,971</w:t>
            </w:r>
          </w:p>
        </w:tc>
        <w:tc>
          <w:tcPr>
            <w:tcW w:w="10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(65,765)</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(65,765)</w:t>
            </w: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related equity</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8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1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issuable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(including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1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60" w:type="dxa"/>
            <w:vAlign w:val="bottom"/>
            <w:shd w:val="clear" w:color="auto" w:fill="CFF0FC"/>
          </w:tcPr>
          <w:p>
            <w:pPr>
              <w:spacing w:after="0"/>
              <w:rPr>
                <w:sz w:val="18"/>
                <w:szCs w:val="18"/>
                <w:color w:val="auto"/>
              </w:rPr>
            </w:pP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Distributions to</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980" w:type="dxa"/>
            <w:vAlign w:val="bottom"/>
          </w:tcPr>
          <w:p>
            <w:pPr>
              <w:spacing w:after="0"/>
              <w:rPr>
                <w:sz w:val="20"/>
                <w:szCs w:val="20"/>
                <w:color w:val="auto"/>
              </w:rPr>
            </w:pPr>
            <w:r>
              <w:rPr>
                <w:rFonts w:ascii="Arial" w:cs="Arial" w:eastAsia="Arial" w:hAnsi="Arial"/>
                <w:sz w:val="16"/>
                <w:szCs w:val="16"/>
                <w:color w:val="auto"/>
              </w:rPr>
              <w:t>noncontrolling interests, net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(1,001)</w:t>
            </w: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(1,001)</w:t>
            </w:r>
          </w:p>
        </w:tc>
      </w:tr>
      <w:tr>
        <w:trPr>
          <w:trHeight w:val="21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60" w:type="dxa"/>
            <w:vAlign w:val="bottom"/>
            <w:shd w:val="clear" w:color="auto" w:fill="CFF0FC"/>
          </w:tcPr>
          <w:p>
            <w:pPr>
              <w:spacing w:after="0"/>
              <w:rPr>
                <w:sz w:val="19"/>
                <w:szCs w:val="19"/>
                <w:color w:val="auto"/>
              </w:rPr>
            </w:pPr>
          </w:p>
        </w:tc>
      </w:tr>
      <w:tr>
        <w:trPr>
          <w:trHeight w:val="207"/>
        </w:trPr>
        <w:tc>
          <w:tcPr>
            <w:tcW w:w="1980" w:type="dxa"/>
            <w:vAlign w:val="bottom"/>
          </w:tcPr>
          <w:p>
            <w:pPr>
              <w:spacing w:after="0"/>
              <w:rPr>
                <w:sz w:val="20"/>
                <w:szCs w:val="20"/>
                <w:color w:val="auto"/>
              </w:rPr>
            </w:pPr>
            <w:r>
              <w:rPr>
                <w:rFonts w:ascii="Arial" w:cs="Arial" w:eastAsia="Arial" w:hAnsi="Arial"/>
                <w:sz w:val="16"/>
                <w:szCs w:val="16"/>
                <w:b w:val="1"/>
                <w:bCs w:val="1"/>
                <w:color w:val="auto"/>
              </w:rPr>
              <w:t>Balance - March 31, 2017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1,298</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608,073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$ 1,101,988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(296,699</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6,879,471</w:t>
            </w:r>
          </w:p>
        </w:tc>
        <w:tc>
          <w:tcPr>
            <w:tcW w:w="1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 (261,583</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$ 1,153,077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60,110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$ 1,213,187</w:t>
            </w:r>
          </w:p>
        </w:tc>
        <w:tc>
          <w:tcPr>
            <w:tcW w:w="60" w:type="dxa"/>
            <w:vAlign w:val="bottom"/>
          </w:tcPr>
          <w:p>
            <w:pPr>
              <w:spacing w:after="0"/>
              <w:rPr>
                <w:sz w:val="17"/>
                <w:szCs w:val="17"/>
                <w:color w:val="auto"/>
              </w:rPr>
            </w:pPr>
          </w:p>
        </w:tc>
      </w:tr>
      <w:tr>
        <w:trPr>
          <w:trHeight w:val="20"/>
        </w:trPr>
        <w:tc>
          <w:tcPr>
            <w:tcW w:w="1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38"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Lazard Ltd indirectly held 100% of all outstanding Lazard Group common membership interests as of March 31, 2017 and December 31, 2016. Lazard Ltd, through its control of the managing members of Lazard Group, controls Lazard Group, which is governed by an Amended and Restated Operating Agreement dated as of October 26, 2015, as amended (the “Operating Agreement”).</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62" w:lineRule="exact"/>
        <w:rPr>
          <w:sz w:val="20"/>
          <w:szCs w:val="20"/>
          <w:color w:val="auto"/>
        </w:rPr>
      </w:pPr>
    </w:p>
    <w:p>
      <w:pPr>
        <w:ind w:left="900" w:right="1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2016. The accompanying December 31, 2016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period ended March 31, 2017 are not indicative of the results to be expected for any future interim or annual period.</w:t>
      </w:r>
    </w:p>
    <w:p>
      <w:pPr>
        <w:spacing w:after="0" w:line="170"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8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37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i w:val="1"/>
          <w:iCs w:val="1"/>
          <w:color w:val="auto"/>
        </w:rPr>
        <w:t>Compensation—Stock Compensation: Improvements to Employee Share-Based Payment Accounting</w:t>
      </w:r>
      <w:r>
        <w:rPr>
          <w:rFonts w:ascii="Arial" w:cs="Arial" w:eastAsia="Arial" w:hAnsi="Arial"/>
          <w:sz w:val="16"/>
          <w:szCs w:val="16"/>
          <w:color w:val="auto"/>
        </w:rPr>
        <w:t>—In March 2016, the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Board (the “FASB”) issued new guidance regarding share-based incentive compensation. The new guidance includes several amendments which affect various aspects of the accounting for share-based incentive compensation transactions, including the income tax consequences, estimation of forfeitures, effect on earnings per share, classification of awards as either equity or liabilities, and classification on the statement of cash flows. The new guidance is effective for annual and interim periods beginning after December 15, 2016. The Company adopted this new guidance on January 1, 2017.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 The inclusion of excess tax benefits as an operating activity within the statement of cash flows was adopted on a prospective basis, with prior periods unadjusted. Based on the new guidance, the excess tax benefits are no longer included as assumed proceeds in the calculation of earnings per share under the treasury stock method on a prospective basis. Upon adoption of the new guidance, the Company also recorded deferred tax assets of $81,544, net of a valuation allowance of $12,090, for previously unrecognized excess tax benefits (including tax benefits from dividends or dividend equivalents) on share-based incentive compensation arrangements, with an offsetting adjustment to retained earnings. With respect to forfeiture rates, the Company will continue to estimate the number of awards expected to be forfeited, rather than electing the option to account for forfeitures as they occur. See Note 14.</w:t>
      </w:r>
    </w:p>
    <w:p>
      <w:pPr>
        <w:spacing w:after="0" w:line="280"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FASB issued comprehensive new revenue recognition guidance.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condensed consolidated statements of operations. On July 9, 2015, the FASB approved the deferral of the effective date of the new revenue guidance by one year to annual reporting periods beginning after December 15, 2017, with early adoption being permitted for annual periods beginning after December 15, 2016. The guidance may be adopted using a full retrospective approach or a modified cumulative effect approach. During 2016, the FASB issued additional clarifications for certain aspects of the new revenue recognition guidance. The Company currently expects to adopt the revenue recognition guidance in the first quarter of 2018. The Company’s implementation efforts include the identification of revenue within the scope of the guidance and the evaluation of revenue contracts. The Company also continues to evaluate both the timing of revenue recognition and the presentation of certain contract costs.</w:t>
      </w:r>
    </w:p>
    <w:p>
      <w:pPr>
        <w:spacing w:after="0" w:line="17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In August and November 2016, the FASB issued updated guidance which clarifies how</w:t>
      </w:r>
      <w:r>
        <w:rPr>
          <w:rFonts w:ascii="Arial" w:cs="Arial" w:eastAsia="Arial" w:hAnsi="Arial"/>
          <w:sz w:val="18"/>
          <w:szCs w:val="18"/>
          <w:i w:val="1"/>
          <w:iCs w:val="1"/>
          <w:color w:val="auto"/>
        </w:rPr>
        <w:t xml:space="preserve"> </w:t>
      </w:r>
      <w:r>
        <w:rPr>
          <w:rFonts w:ascii="Arial" w:cs="Arial" w:eastAsia="Arial" w:hAnsi="Arial"/>
          <w:sz w:val="18"/>
          <w:szCs w:val="18"/>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early adoption is permitted. The new guidance is to be applied on a retrospective basis. The Company is currently evaluating the new guidance.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In January 2017, the FASB issued updated guidance to clarify the definition of a business within the context</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combinations. The updated guidance requires that when substantially all of the fair value of the gross assets acquired (or disposed of) is concentrated in a single identifiable asset or a group of similar identifiable assets, the set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is currently evaluating the new guidance.</w:t>
      </w:r>
    </w:p>
    <w:p>
      <w:pPr>
        <w:spacing w:after="0" w:line="167" w:lineRule="exact"/>
        <w:rPr>
          <w:sz w:val="20"/>
          <w:szCs w:val="20"/>
          <w:color w:val="auto"/>
        </w:rPr>
      </w:pPr>
    </w:p>
    <w:p>
      <w:pPr>
        <w:ind w:right="220" w:firstLine="518"/>
        <w:spacing w:after="0" w:line="291" w:lineRule="auto"/>
        <w:rPr>
          <w:sz w:val="20"/>
          <w:szCs w:val="20"/>
          <w:color w:val="auto"/>
        </w:rPr>
      </w:pPr>
      <w:r>
        <w:rPr>
          <w:rFonts w:ascii="Arial" w:cs="Arial" w:eastAsia="Arial" w:hAnsi="Arial"/>
          <w:sz w:val="16"/>
          <w:szCs w:val="16"/>
          <w:i w:val="1"/>
          <w:iCs w:val="1"/>
          <w:color w:val="auto"/>
        </w:rPr>
        <w:t>Compensation</w:t>
      </w:r>
      <w:r>
        <w:rPr>
          <w:rFonts w:ascii="Arial" w:cs="Arial" w:eastAsia="Arial" w:hAnsi="Arial"/>
          <w:sz w:val="16"/>
          <w:szCs w:val="16"/>
          <w:color w:val="auto"/>
        </w:rPr>
        <w:t>—</w:t>
      </w:r>
      <w:r>
        <w:rPr>
          <w:rFonts w:ascii="Arial" w:cs="Arial" w:eastAsia="Arial" w:hAnsi="Arial"/>
          <w:sz w:val="16"/>
          <w:szCs w:val="16"/>
          <w:i w:val="1"/>
          <w:iCs w:val="1"/>
          <w:color w:val="auto"/>
        </w:rPr>
        <w:t>Retirement Benefits</w:t>
      </w:r>
      <w:r>
        <w:rPr>
          <w:rFonts w:ascii="Arial" w:cs="Arial" w:eastAsia="Arial" w:hAnsi="Arial"/>
          <w:sz w:val="16"/>
          <w:szCs w:val="16"/>
          <w:color w:val="auto"/>
        </w:rPr>
        <w:t>—</w:t>
      </w:r>
      <w:r>
        <w:rPr>
          <w:rFonts w:ascii="Arial" w:cs="Arial" w:eastAsia="Arial" w:hAnsi="Arial"/>
          <w:sz w:val="16"/>
          <w:szCs w:val="16"/>
          <w:i w:val="1"/>
          <w:iCs w:val="1"/>
          <w:color w:val="auto"/>
        </w:rPr>
        <w:t>Improving the Presentation of Net Periodic Pension Cost and Net Periodic Postretirement Benefit Cost</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The other components of net benefit cost, including amortization of prior service cost, and gains and losses from settlements and curtailments, are to be included in non-operating expenses. The new guidance also stipulates that only the service cost component of net benefit cost is eligible for capitalization. This new guidance is effective for annual and interim periods beginning after December 15, 2017, with early adoption permitted. The Company is currently evaluating the new guidance.</w:t>
      </w:r>
    </w:p>
    <w:p>
      <w:pPr>
        <w:spacing w:after="0" w:line="16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w:t>
      </w:r>
      <w:r>
        <w:rPr>
          <w:rFonts w:ascii="Arial" w:cs="Arial" w:eastAsia="Arial" w:hAnsi="Arial"/>
          <w:sz w:val="16"/>
          <w:szCs w:val="16"/>
          <w:i w:val="1"/>
          <w:iCs w:val="1"/>
          <w:color w:val="auto"/>
        </w:rPr>
        <w:t xml:space="preserve"> </w:t>
      </w:r>
      <w:r>
        <w:rPr>
          <w:rFonts w:ascii="Arial" w:cs="Arial" w:eastAsia="Arial" w:hAnsi="Arial"/>
          <w:sz w:val="16"/>
          <w:szCs w:val="16"/>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58"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368"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amounts due from customers and other receivables.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for the three month periods ended March 31, 2017 and 2016 was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(2,166)</w:t>
            </w: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Bad debt expense, net of recoveries is included in “investment banking and other advisory fees” on the condensed consolidated statements of operations.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March 31, 2017 and December 31, 2016, the Company had receivables past due or deemed uncollectible of $42,489 and $22,212, respectively.</w:t>
      </w:r>
    </w:p>
    <w:p>
      <w:pPr>
        <w:spacing w:after="0" w:line="248"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Of the Company’s fee receivables at March 31, 2017 and December 31, 2016, $63,119 and $76,133,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$464,495 and $562,149 at March 31, 2017 and December 31, 2016, respectively, approximates fair value.</w:t>
      </w:r>
    </w:p>
    <w:p>
      <w:pPr>
        <w:spacing w:after="0" w:line="36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2017 and December 31,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2"/>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19"/>
                <w:szCs w:val="19"/>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Equities</w:t>
            </w:r>
          </w:p>
        </w:tc>
        <w:tc>
          <w:tcPr>
            <w:tcW w:w="1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41,017</w:t>
            </w:r>
          </w:p>
        </w:tc>
        <w:tc>
          <w:tcPr>
            <w:tcW w:w="120" w:type="dxa"/>
            <w:vAlign w:val="bottom"/>
            <w:tcBorders>
              <w:bottom w:val="single" w:sz="8" w:color="CFF0FC"/>
            </w:tcBorders>
          </w:tcPr>
          <w:p>
            <w:pPr>
              <w:spacing w:after="0"/>
              <w:rPr>
                <w:sz w:val="19"/>
                <w:szCs w:val="19"/>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Funds: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Alternative investments (a)</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32,441</w:t>
            </w:r>
          </w:p>
        </w:tc>
        <w:tc>
          <w:tcPr>
            <w:tcW w:w="120" w:type="dxa"/>
            <w:vAlign w:val="bottom"/>
          </w:tcPr>
          <w:p>
            <w:pPr>
              <w:spacing w:after="0"/>
              <w:rPr>
                <w:sz w:val="19"/>
                <w:szCs w:val="19"/>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Debt (a)</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61,486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74,597</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Equity (a)</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135,926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188,268</w:t>
            </w:r>
          </w:p>
        </w:tc>
        <w:tc>
          <w:tcPr>
            <w:tcW w:w="120" w:type="dxa"/>
            <w:vAlign w:val="bottom"/>
          </w:tcPr>
          <w:p>
            <w:pPr>
              <w:spacing w:after="0"/>
              <w:rPr>
                <w:sz w:val="19"/>
                <w:szCs w:val="19"/>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1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109,949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122,421</w:t>
            </w:r>
          </w:p>
        </w:tc>
        <w:tc>
          <w:tcPr>
            <w:tcW w:w="120" w:type="dxa"/>
            <w:vAlign w:val="bottom"/>
            <w:shd w:val="clear" w:color="auto" w:fill="CFF0FC"/>
          </w:tcPr>
          <w:p>
            <w:pPr>
              <w:spacing w:after="0"/>
              <w:rPr>
                <w:sz w:val="19"/>
                <w:szCs w:val="19"/>
                <w:color w:val="auto"/>
              </w:rPr>
            </w:pPr>
          </w:p>
        </w:tc>
      </w:tr>
      <w:tr>
        <w:trPr>
          <w:trHeight w:val="223"/>
        </w:trPr>
        <w:tc>
          <w:tcPr>
            <w:tcW w:w="1920" w:type="dxa"/>
            <w:vAlign w:val="bottom"/>
            <w:tcBorders>
              <w:bottom w:val="single" w:sz="8" w:color="CFF0FC"/>
            </w:tcBorders>
          </w:tcPr>
          <w:p>
            <w:pPr>
              <w:spacing w:after="0"/>
              <w:rPr>
                <w:sz w:val="19"/>
                <w:szCs w:val="19"/>
                <w:color w:val="auto"/>
              </w:rPr>
            </w:pPr>
          </w:p>
        </w:tc>
        <w:tc>
          <w:tcPr>
            <w:tcW w:w="48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338,407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417,727</w:t>
            </w:r>
          </w:p>
        </w:tc>
        <w:tc>
          <w:tcPr>
            <w:tcW w:w="120" w:type="dxa"/>
            <w:vAlign w:val="bottom"/>
            <w:tcBorders>
              <w:bottom w:val="single" w:sz="8" w:color="CFF0FC"/>
            </w:tcBorders>
          </w:tcPr>
          <w:p>
            <w:pPr>
              <w:spacing w:after="0"/>
              <w:rPr>
                <w:sz w:val="19"/>
                <w:szCs w:val="19"/>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method</w:t>
            </w:r>
          </w:p>
        </w:tc>
        <w:tc>
          <w:tcPr>
            <w:tcW w:w="1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382,074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tcPr>
          <w:p>
            <w:pPr>
              <w:spacing w:after="0"/>
              <w:rPr>
                <w:sz w:val="19"/>
                <w:szCs w:val="19"/>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method</w:t>
            </w:r>
          </w:p>
        </w:tc>
        <w:tc>
          <w:tcPr>
            <w:tcW w:w="1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r>
      <w:tr>
        <w:trPr>
          <w:trHeight w:val="26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Investments, at fair value</w:t>
            </w:r>
          </w:p>
        </w:tc>
        <w:tc>
          <w:tcPr>
            <w:tcW w:w="1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381,369</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458,744</w:t>
            </w:r>
          </w:p>
        </w:tc>
        <w:tc>
          <w:tcPr>
            <w:tcW w:w="120" w:type="dxa"/>
            <w:vAlign w:val="bottom"/>
            <w:tcBorders>
              <w:bottom w:val="single" w:sz="8" w:color="CFF0FC"/>
            </w:tcBorders>
          </w:tcPr>
          <w:p>
            <w:pPr>
              <w:spacing w:after="0"/>
              <w:rPr>
                <w:sz w:val="22"/>
                <w:szCs w:val="22"/>
                <w:color w:val="auto"/>
              </w:rPr>
            </w:pPr>
          </w:p>
        </w:tc>
      </w:tr>
      <w:tr>
        <w:trPr>
          <w:trHeight w:val="210"/>
        </w:trPr>
        <w:tc>
          <w:tcPr>
            <w:tcW w:w="6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ind w:left="520" w:right="520" w:hanging="512"/>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$11,085, $24,004 and $71,552, respectively, at March 31, 2017 and $13,080, $37,869 and $128,219, respectively, at December 31, 2016, held in order to satisfy the Company’s liability upon vesting of previously granted Lazard Fund Interests (“LFI”) and other similar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deferred compensation arrangements. LFI represent grants by the Company to eligible employees of actual or notional interests in a number of Lazard-managed funds, subject to service-based vesting conditions (see Notes 6 and 12).</w:t>
      </w:r>
    </w:p>
    <w:p>
      <w:pPr>
        <w:spacing w:after="0" w:line="170" w:lineRule="exact"/>
        <w:rPr>
          <w:sz w:val="20"/>
          <w:szCs w:val="20"/>
          <w:color w:val="auto"/>
        </w:rPr>
      </w:pPr>
    </w:p>
    <w:p>
      <w:pPr>
        <w:ind w:right="92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a mezzanine fund, which invests in mezzanine debt of a diversified selection of small- to mid-cap European companies, and (iii) a fund targeting significant noncontrolling-stake investments in established private companies.</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During the three month periods ended March 31, 2017 and 2016, the Company reported in “revenue-other” on its condensed consolidated statements of operations net unrealized investment gains and losses pertaining to “trading” securities still held as of the reporting date as follows:</w:t>
      </w:r>
    </w:p>
    <w:p>
      <w:pPr>
        <w:spacing w:after="0" w:line="15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-3175</wp:posOffset>
            </wp:positionV>
            <wp:extent cx="21780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ind w:left="8500"/>
        <w:spacing w:after="0"/>
        <w:tabs>
          <w:tab w:leader="none" w:pos="103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tabs>
          <w:tab w:leader="none" w:pos="7840" w:val="left"/>
          <w:tab w:leader="none" w:pos="8900" w:val="left"/>
          <w:tab w:leader="none" w:pos="9700" w:val="left"/>
          <w:tab w:leader="none" w:pos="10860" w:val="left"/>
        </w:tabs>
        <w:rPr>
          <w:sz w:val="20"/>
          <w:szCs w:val="20"/>
          <w:color w:val="auto"/>
        </w:rPr>
      </w:pPr>
      <w:r>
        <w:rPr>
          <w:rFonts w:ascii="Arial" w:cs="Arial" w:eastAsia="Arial" w:hAnsi="Arial"/>
          <w:sz w:val="18"/>
          <w:szCs w:val="18"/>
          <w:color w:val="auto"/>
        </w:rPr>
        <w:t>Net unrealized investment gains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13,180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30480</wp:posOffset>
            </wp:positionV>
            <wp:extent cx="21780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1040" w:right="220" w:hanging="1025"/>
        <w:spacing w:after="0" w:line="277" w:lineRule="auto"/>
        <w:tabs>
          <w:tab w:leader="none" w:pos="10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62" w:lineRule="exact"/>
        <w:rPr>
          <w:sz w:val="20"/>
          <w:szCs w:val="20"/>
          <w:color w:val="auto"/>
        </w:rPr>
      </w:pPr>
    </w:p>
    <w:p>
      <w:pPr>
        <w:ind w:left="1040" w:right="480" w:hanging="1025"/>
        <w:spacing w:after="0" w:line="264" w:lineRule="auto"/>
        <w:tabs>
          <w:tab w:leader="none" w:pos="102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1040" w:right="120" w:hanging="1025"/>
        <w:spacing w:after="0" w:line="257" w:lineRule="auto"/>
        <w:tabs>
          <w:tab w:leader="none" w:pos="10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fair value of investments in private equity funds is classified as Level 2 for certain investments that were valued based on a probable transaction value as of the reporting date that differs from net asset value (“NAV”).</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560" w:firstLine="518"/>
        <w:spacing w:after="0" w:line="293" w:lineRule="auto"/>
        <w:rPr>
          <w:sz w:val="20"/>
          <w:szCs w:val="20"/>
          <w:color w:val="auto"/>
        </w:rPr>
      </w:pPr>
      <w:r>
        <w:rPr>
          <w:rFonts w:ascii="Arial" w:cs="Arial" w:eastAsia="Arial" w:hAnsi="Arial"/>
          <w:sz w:val="16"/>
          <w:szCs w:val="16"/>
          <w:color w:val="auto"/>
        </w:rPr>
        <w:t>The fair value of the contingent consideration liability is classified as Level 3 and the estimated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costs” in the condensed consolidated statement of operations. Our business acquisitions may involve the potential payment of contingent consideration upon the achievement of certain performance thresholds. The contingent consideration liability is initially recorded at the estimated fair value of the contingent payments on the acquisition date and is included in “other liabilities” on the condensed consolidated statements of financial condition. See Note 10.</w:t>
      </w:r>
    </w:p>
    <w:p>
      <w:pPr>
        <w:spacing w:after="0" w:line="16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w:t>
      </w:r>
    </w:p>
    <w:p>
      <w:pPr>
        <w:spacing w:after="0" w:line="19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NAV</w:t>
      </w:r>
      <w:r>
        <w:rPr>
          <w:rFonts w:ascii="Arial" w:cs="Arial" w:eastAsia="Arial" w:hAnsi="Arial"/>
          <w:sz w:val="18"/>
          <w:szCs w:val="18"/>
          <w:color w:val="auto"/>
        </w:rPr>
        <w:t>—As a practical expedient, the Company uses NAV or its equivalent to measure the fair value of certain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The following tables present, as of March 31, 2017 and December 31, 2016,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6"/>
              </w:rPr>
              <w:t>March 31, 2017</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41,425</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135,884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81,753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109,949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262,788</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32,253</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88,848</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385,426</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4,293</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179,023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179,023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179,023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25,104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208,420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327,645</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129,591</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460,737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4,482</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and liabilities for the three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3"/>
              </w:rPr>
              <w:t>Three Months Ended March 31, 2017</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Net Unrealized/</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Purchases/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Sales/</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Earnings (a)</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right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Equities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 Level 3 Assets</w:t>
            </w:r>
          </w:p>
        </w:tc>
        <w:tc>
          <w:tcPr>
            <w:tcW w:w="1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620" w:type="dxa"/>
            <w:vAlign w:val="bottom"/>
            <w:gridSpan w:val="2"/>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1,508</w:t>
            </w:r>
          </w:p>
        </w:tc>
        <w:tc>
          <w:tcPr>
            <w:tcW w:w="2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vMerge w:val="continue"/>
          </w:tcPr>
          <w:p>
            <w:pPr>
              <w:spacing w:after="0"/>
              <w:rPr>
                <w:sz w:val="22"/>
                <w:szCs w:val="22"/>
                <w:color w:val="auto"/>
              </w:rPr>
            </w:pP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Contingent consideration liability</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2,745</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gridSpan w:val="2"/>
          </w:tcPr>
          <w:p>
            <w:pPr>
              <w:ind w:left="120"/>
              <w:spacing w:after="0"/>
              <w:rPr>
                <w:sz w:val="20"/>
                <w:szCs w:val="20"/>
                <w:color w:val="auto"/>
              </w:rPr>
            </w:pPr>
            <w:r>
              <w:rPr>
                <w:rFonts w:ascii="Arial" w:cs="Arial" w:eastAsia="Arial" w:hAnsi="Arial"/>
                <w:sz w:val="18"/>
                <w:szCs w:val="18"/>
                <w:color w:val="auto"/>
              </w:rPr>
              <w:t>Total Level 3 Liabilities</w:t>
            </w:r>
          </w:p>
        </w:tc>
        <w:tc>
          <w:tcPr>
            <w:tcW w:w="1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22,608</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3"/>
              </w:rPr>
              <w:t>Three Months Ended March 31, 2016</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Purchases/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Sales/</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Earnings (a)</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right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Total Level 3 Assets</w:t>
            </w:r>
          </w:p>
        </w:tc>
        <w:tc>
          <w:tcPr>
            <w:tcW w:w="1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80" w:hanging="372"/>
        <w:spacing w:after="0" w:line="264"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periods ended March 31, 2017 and 2016 include net unrealized gains of $0 and $3, respectively. Earnings recorded in “amortization and other acquisition-related costs” for the contingent consideration liability for the three month period ended March 31, 2017 includes unrealized losses of $2,745.</w:t>
      </w:r>
    </w:p>
    <w:p>
      <w:pPr>
        <w:spacing w:after="0" w:line="195" w:lineRule="exact"/>
        <w:rPr>
          <w:sz w:val="20"/>
          <w:szCs w:val="20"/>
          <w:color w:val="auto"/>
        </w:rPr>
      </w:pPr>
    </w:p>
    <w:p>
      <w:pPr>
        <w:jc w:val="both"/>
        <w:ind w:right="140" w:firstLine="518"/>
        <w:spacing w:after="0" w:line="312" w:lineRule="auto"/>
        <w:rPr>
          <w:sz w:val="20"/>
          <w:szCs w:val="20"/>
          <w:color w:val="auto"/>
        </w:rPr>
      </w:pPr>
      <w:r>
        <w:rPr>
          <w:rFonts w:ascii="Arial" w:cs="Arial" w:eastAsia="Arial" w:hAnsi="Arial"/>
          <w:sz w:val="16"/>
          <w:szCs w:val="16"/>
          <w:color w:val="auto"/>
        </w:rPr>
        <w:t>There were no transfers between any of the Level 1, 2 and 3 categories in the fair value measurement hierarchy during the three month periods ended March 31, 2017 and 2016. Certain investments that were valued at NAV as of December 31, 2016 were transferred to Level 2 from the NAV category in the three months ended March 31, 2017, as these investments were valued based on a probable transaction value as of the reporting date that differs from NAV.</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tables present, at March 31, 2017 and December 31, 2016,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March 31, 2017</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5,974</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81,753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14%</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40%</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46%</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88,848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9,183</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weekly (48%), monthly (2%) and quarterly (50%)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daily (18%), monthly (51%) and quarterly (31%)</w:t>
      </w:r>
    </w:p>
    <w:p>
      <w:pPr>
        <w:spacing w:after="0" w:line="9"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$6,904 are excluded. Such commitments are required to be funded by capital contributions from noncontrolling interest holders.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December 31, 2016</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6,190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6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90,824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9,183</w:t>
            </w:r>
          </w:p>
        </w:tc>
        <w:tc>
          <w:tcPr>
            <w:tcW w:w="400" w:type="dxa"/>
            <w:vAlign w:val="bottom"/>
          </w:tcPr>
          <w:p>
            <w:pPr>
              <w:ind w:left="100"/>
              <w:spacing w:after="0"/>
              <w:rPr>
                <w:sz w:val="20"/>
                <w:szCs w:val="20"/>
                <w:color w:val="auto"/>
              </w:rPr>
            </w:pPr>
            <w:r>
              <w:rPr>
                <w:rFonts w:ascii="Arial" w:cs="Arial" w:eastAsia="Arial" w:hAnsi="Arial"/>
                <w:sz w:val="16"/>
                <w:szCs w:val="16"/>
                <w:color w:val="auto"/>
              </w:rPr>
              <w:t>(f)</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Mezzanine debt</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31,597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100%</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7"/>
        </w:trPr>
        <w:tc>
          <w:tcPr>
            <w:tcW w:w="216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129,591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weekly (73%), monthly (2%) and quarterly (25%)</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(7%) and monthly (93%)</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(19%), monthly (50%) and quarterly (31%)</w:t>
      </w:r>
    </w:p>
    <w:p>
      <w:pPr>
        <w:spacing w:after="0" w:line="9"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$6,886 are excluded. Such commitments are required to be funded by capital contributions from noncontrolling interest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March 31, 2017,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$8,613.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12) on the accompanying condensed consolidated statements of financial condition as of March 31, 2017 and December 31, 2016: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3,937</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736</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9,043</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174,740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179,023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520" w:right="40" w:hanging="512"/>
        <w:spacing w:after="0" w:line="259"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$197 and $3,624 as of March 31, 2017, respectively, and $357 and $9,400 as of December 31, 2016, respectively, for contracts with the same counterparty under legally enforceable master netting agreements. Such amounts are recorded “net” in “other assets”, with receivables for net cash collateral under such contracts of $12,376 and $16,996 as of March 31, 2017 and December 31, 2016,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periods ended March 31, 2017 and 2016,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9"/>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06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1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(7,300)</w:t>
            </w:r>
          </w:p>
        </w:tc>
        <w:tc>
          <w:tcPr>
            <w:tcW w:w="12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1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(7,353)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1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(5,385)</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(699)</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(11,266)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(5,485)</w:t>
            </w:r>
          </w:p>
        </w:tc>
        <w:tc>
          <w:tcPr>
            <w:tcW w:w="12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March 31, 2017 and December 31, 2016, property consisted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177,165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175,810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180,120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502,423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296,280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286,001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206,143</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209,021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March 31, 2017 and December 31, 2016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57"/>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379,808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373,117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387,908</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382,024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At March 31, 2017 and December 31, 2016, goodwill of $315,267 and $308,576, respectively, was attributable to the Company’s Financial Advisory segment and, at each such respective date, $64,541 of goodwill was attributable to the Company’s Asset Management segment.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three month periods ended March 31, 2017 and 2016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373,117</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6,691</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379,808</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327,050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All changes in the carrying amount of goodwill for the three month periods ended March 31, 2017 and 2016 are attributable to the Company’s Financial Advisory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March 31, 2017 and December 31, 2016,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Success/performance fees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35,279</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27,744</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35,259</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26,984</w:t>
            </w:r>
          </w:p>
        </w:tc>
        <w:tc>
          <w:tcPr>
            <w:tcW w:w="1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33,730</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33,165</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33,728</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33,096</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69,009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68,987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60,080</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00" w:firstLine="380"/>
        <w:spacing w:after="0" w:line="264" w:lineRule="auto"/>
        <w:rPr>
          <w:sz w:val="20"/>
          <w:szCs w:val="20"/>
          <w:color w:val="auto"/>
        </w:rPr>
      </w:pPr>
      <w:r>
        <w:rPr>
          <w:rFonts w:ascii="Arial" w:cs="Arial" w:eastAsia="Arial" w:hAnsi="Arial"/>
          <w:sz w:val="18"/>
          <w:szCs w:val="18"/>
          <w:color w:val="auto"/>
        </w:rPr>
        <w:t>Amortization expense of intangible assets, included in “amortization and other acquisition-related costs” in the condensed consolidated statements of operations, for the three month periods ended March 31, 2017 and 2016 was $829 and $644, respectively. Estimated future amortization expense is as follows: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440" w:type="dxa"/>
            <w:vAlign w:val="bottom"/>
            <w:vMerge w:val="restart"/>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3"/>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2017 (April 1 through December 31)</w:t>
            </w:r>
          </w:p>
        </w:tc>
        <w:tc>
          <w:tcPr>
            <w:tcW w:w="24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60" w:type="dxa"/>
            <w:vAlign w:val="bottom"/>
            <w:shd w:val="clear" w:color="auto" w:fill="CFF0FC"/>
          </w:tcPr>
          <w:p>
            <w:pPr>
              <w:spacing w:after="0"/>
              <w:rPr>
                <w:sz w:val="19"/>
                <w:szCs w:val="19"/>
                <w:color w:val="auto"/>
              </w:rPr>
            </w:pPr>
          </w:p>
        </w:tc>
        <w:tc>
          <w:tcPr>
            <w:tcW w:w="344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FF0FC"/>
            </w:tcBorders>
          </w:tcPr>
          <w:p>
            <w:pPr>
              <w:spacing w:after="0"/>
              <w:rPr>
                <w:sz w:val="19"/>
                <w:szCs w:val="19"/>
                <w:color w:val="auto"/>
              </w:rPr>
            </w:pPr>
          </w:p>
        </w:tc>
        <w:tc>
          <w:tcPr>
            <w:tcW w:w="3440" w:type="dxa"/>
            <w:vAlign w:val="bottom"/>
            <w:tcBorders>
              <w:bottom w:val="single" w:sz="8" w:color="CFF0FC"/>
            </w:tcBorders>
          </w:tcPr>
          <w:p>
            <w:pPr>
              <w:spacing w:after="0"/>
              <w:rPr>
                <w:sz w:val="19"/>
                <w:szCs w:val="19"/>
                <w:color w:val="auto"/>
              </w:rPr>
            </w:pPr>
          </w:p>
        </w:tc>
        <w:tc>
          <w:tcPr>
            <w:tcW w:w="2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2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660" w:hanging="504"/>
        <w:spacing w:after="0"/>
        <w:tabs>
          <w:tab w:leader="none" w:pos="1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Approximately 26% of intangible asset amortization is attributable to a noncontrolling interest.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March 31,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4"/>
              </w:rPr>
              <w:t>March 31, 2017</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6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4"/>
          </w:tcPr>
          <w:p>
            <w:pPr>
              <w:ind w:left="8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Rate(a)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2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Lazard Group 2020</w:t>
            </w: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496,661</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80" w:type="dxa"/>
            <w:vAlign w:val="bottom"/>
            <w:gridSpan w:val="2"/>
          </w:tcPr>
          <w:p>
            <w:pPr>
              <w:spacing w:after="0"/>
              <w:rPr>
                <w:sz w:val="20"/>
                <w:szCs w:val="20"/>
                <w:color w:val="auto"/>
              </w:rPr>
            </w:pPr>
            <w:r>
              <w:rPr>
                <w:rFonts w:ascii="Arial" w:cs="Arial" w:eastAsia="Arial" w:hAnsi="Arial"/>
                <w:sz w:val="18"/>
                <w:szCs w:val="18"/>
                <w:color w:val="auto"/>
              </w:rPr>
              <w:t>Lazard Group 2025</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396,286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3,904</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296,096</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1,189,043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1,188,600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520" w:right="60" w:hanging="512"/>
        <w:spacing w:after="0" w:line="264"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Lazard Group’s 3.75% senior notes due February 13, 2025 (the “2025 Notes”) and Lazard Group’s 3.625% senior notes due March 1, 2027 (the “2027 Notes”) are 4.43%, 3.87% and 3.76%, respectively.</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March 31, 2017 and December 31, 2016, no amounts were outstanding under the Amended and Restated Credit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March 31, 2017, the Company was in compliance with such provisions. All of the Company’s senior debt obligations are unsecured.</w:t>
      </w:r>
    </w:p>
    <w:p>
      <w:pPr>
        <w:spacing w:after="0" w:line="147"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As of March 31, 2017, the Company had approximately $172,000 in unused lines of credit available to it, including the credit facility provided under the Amended and Restated Credit Agreement, and unused lines of credit available to LFB of approximately $21,000 (at March 31, 2017 exchange rates).</w:t>
      </w:r>
    </w:p>
    <w:p>
      <w:pPr>
        <w:spacing w:after="0" w:line="12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Company’s senior debt at March 31, 2017 and December 31, 2016 is carried at historical amounts of $1,189,043 and $1,188,600, respectively. At those dates, the fair value of such senior debt was approximately $1,219,000 and $1,204,000,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22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2017, LFB had $3,174 of such indemnifications and held $3,092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color w:val="auto"/>
        </w:rPr>
        <w:t>—For businesses acquired in 2016, consideration consists of (i) previously paid one-time cash payments, 60,817 shares of Class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common stock subject to non-compete provisions, and non-contingent interests exchangeable into 204,651 shares of Class A common stock, and (ii) up to 810,742 additional shares of Class A common stock that are subject to certain performance thresholds. As of March 31, 2017, none of the contingent shares had been earned.</w:t>
      </w:r>
    </w:p>
    <w:p>
      <w:pPr>
        <w:spacing w:after="0" w:line="18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March 31, 2017, LFB and LFNY had no such underwriting commitments.</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See Notes 5 and 13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3" w:name="page24"/>
    <w:bookmarkEnd w:id="2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three month period ended March 31, 2017 and since 2014,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0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3"/>
        </w:trPr>
        <w:tc>
          <w:tcPr>
            <w:tcW w:w="300" w:type="dxa"/>
            <w:vAlign w:val="bottom"/>
            <w:tcBorders>
              <w:bottom w:val="single" w:sz="8" w:color="auto"/>
            </w:tcBorders>
            <w:gridSpan w:val="2"/>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April 2014</w:t>
            </w:r>
          </w:p>
        </w:tc>
        <w:tc>
          <w:tcPr>
            <w:tcW w:w="2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vMerge w:val="continue"/>
            <w:shd w:val="clear" w:color="auto" w:fill="CFF0FC"/>
          </w:tcPr>
          <w:p>
            <w:pPr>
              <w:spacing w:after="0"/>
              <w:rPr>
                <w:sz w:val="20"/>
                <w:szCs w:val="20"/>
                <w:color w:val="auto"/>
              </w:rPr>
            </w:pP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2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2016</w:t>
            </w: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April 2016</w:t>
            </w:r>
          </w:p>
        </w:tc>
        <w:tc>
          <w:tcPr>
            <w:tcW w:w="2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113,182</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2016</w:t>
            </w: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Company expects that the share repurchase program will primarily be used to offset a portion of the shares that have been or will be issued under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Price Per</w:t>
            </w:r>
          </w:p>
        </w:tc>
      </w:tr>
      <w:tr>
        <w:trPr>
          <w:trHeight w:val="176"/>
        </w:trPr>
        <w:tc>
          <w:tcPr>
            <w:tcW w:w="628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Three Months Ended March 31:</w:t>
            </w: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Purchased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4"/>
              </w:rPr>
              <w:t>Share</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220" w:type="dxa"/>
            <w:vAlign w:val="bottom"/>
            <w:tcBorders>
              <w:top w:val="single" w:sz="8" w:color="auto"/>
              <w:bottom w:val="single" w:sz="8" w:color="CFF0FC"/>
            </w:tcBorders>
          </w:tcPr>
          <w:p>
            <w:pPr>
              <w:spacing w:after="0" w:line="20" w:lineRule="exact"/>
              <w:rPr>
                <w:sz w:val="1"/>
                <w:szCs w:val="1"/>
                <w:color w:val="auto"/>
              </w:rPr>
            </w:pPr>
          </w:p>
        </w:tc>
        <w:tc>
          <w:tcPr>
            <w:tcW w:w="404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40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2,424,571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2017</w:t>
            </w:r>
          </w:p>
        </w:tc>
        <w:tc>
          <w:tcPr>
            <w:tcW w:w="40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2,464,967</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43.02</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During the three month periods ended March 31, 2017 and 2016, certain of our executive officers received Class A common stock in connection with the vesting of previously-granted deferred equity incentive awards. The vesting of such equity awards gave rise to a tax payable by the executive officers, and, consistent with our past practice, the Company purchased shares of Class A common stock from the executive officers equal in value to all or a portion of the estimated amount of such tax. In addition, during the three month period ended March 31, 2017, the Company purchased shares of Class A common stock from an executive officer. The aggregate value of all such purchases during the three month periods ended March 31, 2017 and 2016 was approximately $14,700 and $3,100, respectively.</w:t>
      </w:r>
    </w:p>
    <w:p>
      <w:pPr>
        <w:spacing w:after="0" w:line="193"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As of March 31, 2017, a total of $249,078 of share repurchase authorization remained available under the Company’s share repurchase program, $13,078 of which will expire on December 31, 2017 and $236,000 of which will expire on December 31, 2018.</w:t>
      </w:r>
    </w:p>
    <w:p>
      <w:pPr>
        <w:spacing w:after="0" w:line="170"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During the three month period ended March 31, 2017, the Company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and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A and Series B preferred shares were issued in connection with certain prior year business acquisitions and were each non-participating securities convertible into Class A common stock, and had no voting or dividend rights. As of both March 31, 2017 and December 31, 2016, no shares of Series A or Series B preferred stock were outstanding.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Accumulated Other Comprehensive Income (Loss), Net of Tax (“AOCI”)</w:t>
      </w:r>
      <w:r>
        <w:rPr>
          <w:rFonts w:ascii="Arial" w:cs="Arial" w:eastAsia="Arial" w:hAnsi="Arial"/>
          <w:sz w:val="16"/>
          <w:szCs w:val="16"/>
          <w:color w:val="auto"/>
        </w:rPr>
        <w:t>—The tables below reflect the balances of each component of AOCI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 and activity during the three month periods then ended: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(155,204</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(159,020</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(314,224</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(314,222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March 31, 2017:</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March 31,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(138,272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(158,429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(296,701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(296,699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24"/>
                <w:szCs w:val="2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(137,073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(234,357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(234,356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March 31, 2016:</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March 31,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(85,545)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(136,028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(221,573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(221,572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table below reflects adjustments for items reclassified out of AOCI, by component, for the three month periods ended March 31, 2017 and 2016: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20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20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20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ind w:left="520" w:right="42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Such amounts are included in “compensation and benefits” expense on the condensed consolidated statements of operations.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The tables below summarize net income attributable to noncontrolling interests for the three month periods ended March 31, 2017 and 2016 and noncontrolling interests as of March 31, 2017 and December 31, 2016 in the Company’s condensed consolidated financial statements:</w:t>
      </w:r>
    </w:p>
    <w:p>
      <w:pPr>
        <w:spacing w:after="0" w:line="152"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Net Income</w:t>
      </w:r>
    </w:p>
    <w:p>
      <w:pPr>
        <w:jc w:val="center"/>
        <w:ind w:left="7740"/>
        <w:spacing w:after="0" w:line="226" w:lineRule="auto"/>
        <w:rPr>
          <w:sz w:val="20"/>
          <w:szCs w:val="20"/>
          <w:color w:val="auto"/>
        </w:rPr>
      </w:pPr>
      <w:r>
        <w:rPr>
          <w:rFonts w:ascii="Arial" w:cs="Arial" w:eastAsia="Arial" w:hAnsi="Arial"/>
          <w:sz w:val="14"/>
          <w:szCs w:val="14"/>
          <w:b w:val="1"/>
          <w:bCs w:val="1"/>
          <w:color w:val="auto"/>
        </w:rPr>
        <w:t>Attributable to Noncontrolling</w:t>
      </w:r>
    </w:p>
    <w:p>
      <w:pPr>
        <w:jc w:val="center"/>
        <w:ind w:left="7740"/>
        <w:spacing w:after="0" w:line="232" w:lineRule="auto"/>
        <w:rPr>
          <w:sz w:val="20"/>
          <w:szCs w:val="20"/>
          <w:color w:val="auto"/>
        </w:rPr>
      </w:pPr>
      <w:r>
        <w:rPr>
          <w:rFonts w:ascii="Arial" w:cs="Arial" w:eastAsia="Arial" w:hAnsi="Arial"/>
          <w:sz w:val="14"/>
          <w:szCs w:val="14"/>
          <w:b w:val="1"/>
          <w:bCs w:val="1"/>
          <w:color w:val="auto"/>
        </w:rPr>
        <w:t>Interests</w:t>
      </w:r>
    </w:p>
    <w:tbl>
      <w:tblPr>
        <w:tblLayout w:type="fixed"/>
        <w:tblInd w:w="0" w:type="dxa"/>
        <w:tblCellMar>
          <w:top w:w="0" w:type="dxa"/>
          <w:left w:w="0" w:type="dxa"/>
          <w:bottom w:w="0" w:type="dxa"/>
          <w:right w:w="0" w:type="dxa"/>
        </w:tblCellMar>
      </w:tblPr>
      <w:tr>
        <w:trPr>
          <w:trHeight w:val="146"/>
        </w:trPr>
        <w:tc>
          <w:tcPr>
            <w:tcW w:w="78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4"/>
          </w:tcPr>
          <w:p>
            <w:pPr>
              <w:jc w:val="center"/>
              <w:ind w:right="198"/>
              <w:spacing w:after="0" w:line="147"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2"/>
                <w:szCs w:val="12"/>
                <w:color w:val="auto"/>
              </w:rPr>
            </w:pPr>
          </w:p>
        </w:tc>
      </w:tr>
      <w:tr>
        <w:trPr>
          <w:trHeight w:val="171"/>
        </w:trPr>
        <w:tc>
          <w:tcPr>
            <w:tcW w:w="7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left="961"/>
              <w:spacing w:after="0"/>
              <w:rPr>
                <w:sz w:val="20"/>
                <w:szCs w:val="20"/>
                <w:color w:val="auto"/>
              </w:rPr>
            </w:pPr>
            <w:r>
              <w:rPr>
                <w:rFonts w:ascii="Arial" w:cs="Arial" w:eastAsia="Arial" w:hAnsi="Arial"/>
                <w:sz w:val="14"/>
                <w:szCs w:val="14"/>
                <w:b w:val="1"/>
                <w:bCs w:val="1"/>
                <w:color w:val="auto"/>
                <w:w w:val="99"/>
              </w:rPr>
              <w:t>March 31,</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Edgewater</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Noncontrolling Interests as of</w:t>
            </w:r>
          </w:p>
        </w:tc>
      </w:tr>
      <w:tr>
        <w:trPr>
          <w:trHeight w:val="146"/>
        </w:trPr>
        <w:tc>
          <w:tcPr>
            <w:tcW w:w="78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401"/>
              <w:spacing w:after="0" w:line="147" w:lineRule="exact"/>
              <w:rPr>
                <w:sz w:val="20"/>
                <w:szCs w:val="20"/>
                <w:color w:val="auto"/>
              </w:rPr>
            </w:pPr>
            <w:r>
              <w:rPr>
                <w:rFonts w:ascii="Arial" w:cs="Arial" w:eastAsia="Arial" w:hAnsi="Arial"/>
                <w:sz w:val="14"/>
                <w:szCs w:val="14"/>
                <w:b w:val="1"/>
                <w:bCs w:val="1"/>
                <w:color w:val="auto"/>
              </w:rPr>
              <w:t>March 31,</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98"/>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1"/>
        </w:trPr>
        <w:tc>
          <w:tcPr>
            <w:tcW w:w="78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59,533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57,238</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60,110</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57,826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b w:val="1"/>
          <w:bCs w:val="1"/>
          <w:i w:val="1"/>
          <w:iCs w:val="1"/>
          <w:color w:val="auto"/>
        </w:rPr>
        <w:t>Dividends Declared, April 26, 2017</w:t>
      </w:r>
      <w:r>
        <w:rPr>
          <w:rFonts w:ascii="Arial" w:cs="Arial" w:eastAsia="Arial" w:hAnsi="Arial"/>
          <w:sz w:val="18"/>
          <w:szCs w:val="18"/>
          <w:color w:val="auto"/>
        </w:rPr>
        <w:t>—On April 26, 2017, the Board of Directors of Lazard declared a quarterly dividend of $0.41 per share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payable on May 19, 2017, to stockholders of record on May 8, 2017.</w:t>
      </w:r>
    </w:p>
    <w:p>
      <w:pPr>
        <w:spacing w:after="0" w:line="360"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 description of Lazard Ltd’s 2008 Plan and 2005 Equity Incentive Plan (the “2005 Plan”) and activity with respect thereto during the three month periods ended March 31, 2017 and 2016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2008 Plan authorizes the issuance of shares of Class A common stock pursuant to the grant or exercise of stock options, stock appreciation rights, restricted stock units (“RSUs”), performance-based restricted stock units (“PRSUs”) and other share-based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7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share-based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jc w:val="both"/>
        <w:ind w:right="300" w:firstLine="518"/>
        <w:spacing w:after="0" w:line="312" w:lineRule="auto"/>
        <w:rPr>
          <w:sz w:val="20"/>
          <w:szCs w:val="20"/>
          <w:color w:val="auto"/>
        </w:rPr>
      </w:pPr>
      <w:r>
        <w:rPr>
          <w:rFonts w:ascii="Arial" w:cs="Arial" w:eastAsia="Arial" w:hAnsi="Arial"/>
          <w:sz w:val="16"/>
          <w:szCs w:val="16"/>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condensed consolidated statements of operations for the three month periods ended March 31, 2017 and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040" w:type="dxa"/>
            <w:vAlign w:val="bottom"/>
            <w:tcBorders>
              <w:bottom w:val="single" w:sz="8" w:color="CFF0FC"/>
            </w:tcBorders>
          </w:tcPr>
          <w:p>
            <w:pPr>
              <w:spacing w:after="0"/>
              <w:rPr>
                <w:sz w:val="13"/>
                <w:szCs w:val="13"/>
                <w:color w:val="auto"/>
              </w:rPr>
            </w:pPr>
          </w:p>
        </w:tc>
        <w:tc>
          <w:tcPr>
            <w:tcW w:w="28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8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RSUs</w:t>
            </w:r>
          </w:p>
        </w:tc>
        <w:tc>
          <w:tcPr>
            <w:tcW w:w="3820" w:type="dxa"/>
            <w:vAlign w:val="bottom"/>
            <w:gridSpan w:val="2"/>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55,941</w:t>
            </w:r>
          </w:p>
        </w:tc>
        <w:tc>
          <w:tcPr>
            <w:tcW w:w="280" w:type="dxa"/>
            <w:vAlign w:val="bottom"/>
          </w:tcPr>
          <w:p>
            <w:pPr>
              <w:spacing w:after="0"/>
              <w:rPr>
                <w:sz w:val="19"/>
                <w:szCs w:val="19"/>
                <w:color w:val="auto"/>
              </w:rPr>
            </w:pPr>
          </w:p>
        </w:tc>
        <w:tc>
          <w:tcPr>
            <w:tcW w:w="580" w:type="dxa"/>
            <w:vAlign w:val="bottom"/>
            <w:gridSpan w:val="2"/>
          </w:tcPr>
          <w:p>
            <w:pPr>
              <w:jc w:val="right"/>
              <w:ind w:right="45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54,408</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8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11,782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16,689</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23,476</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8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r>
      <w:tr>
        <w:trPr>
          <w:trHeight w:val="223"/>
        </w:trPr>
        <w:tc>
          <w:tcPr>
            <w:tcW w:w="5040" w:type="dxa"/>
            <w:vAlign w:val="bottom"/>
          </w:tcPr>
          <w:p>
            <w:pPr>
              <w:ind w:left="260"/>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rPr>
                <w:sz w:val="19"/>
                <w:szCs w:val="19"/>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77,527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94,638</w:t>
            </w:r>
          </w:p>
        </w:tc>
        <w:tc>
          <w:tcPr>
            <w:tcW w:w="12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three month periods ended March 31, 2017 and 2016, issuances of RSUs pertaining to such dividend participation rights and respective charges to “retained earnings”, net of estimated forfeitures (with corresponding credits to “additional paid-in-capital”),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Number of RSUs issued</w:t>
            </w:r>
          </w:p>
        </w:tc>
        <w:tc>
          <w:tcPr>
            <w:tcW w:w="1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89"/>
              </w:rPr>
              <w:t>613,795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700,651</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284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25,977</w:t>
            </w:r>
          </w:p>
        </w:tc>
        <w:tc>
          <w:tcPr>
            <w:tcW w:w="7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23,793</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Non-executive members of the Board of Directors (“Non-Executive Directors”) receive approximately 55% of their annual compensation for service on the Board of Directors and its committees in the form of DSUs, which resulted in 1,551 DSUs granted during the three month period ended March 31, 2017.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income per share, are included in the diluted weighted average shares of Class A common stock outstanding using the “treasury stock” method. DSUs include a cash dividend participation right equivalent to dividends paid on Class A common stock.</w:t>
      </w:r>
    </w:p>
    <w:p>
      <w:pPr>
        <w:spacing w:after="0" w:line="170"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three month periods ended March 31, 2017 and 2016, 3,555 and 2,110 DSUs, respectively, had been granted pursuant to such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2017 and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276,725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613,795 RSUs relating to dividend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4,926,935</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(19,077)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(3,621,454)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45.53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12,984,542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281,831</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Balance, January 1, 2016</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44.06</w:t>
            </w: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9,599,658</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312,670</w:t>
            </w:r>
          </w:p>
        </w:tc>
        <w:tc>
          <w:tcPr>
            <w:tcW w:w="3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 (including 700,651 RSUs relating to dividend</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6,140,020</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(55,826)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41.58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(4,100,192)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March 31, 2016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11,583,660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40.78</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314,780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RSUs that vested during the three month periods ended March 31, 2017 and 2016, the Company satisfied its minimum statutory tax withholding requirements in lieu of delivering 1,229,531 and 1,327,399 shares of Class A common stock during such respective three month periods. Accordingly, 2,391,923 and 2,772,793 shares of Class A common stock held by the Company were delivered during the three month periods ended March 31, 2017 and 2016, respectively.</w:t>
      </w:r>
    </w:p>
    <w:p>
      <w:pPr>
        <w:spacing w:after="0" w:line="187"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As of March 31, 2017, estimated unrecognized RSU compensation expense was approximately $260,079, with such expense expected to be recognized over a weighted average period of approximately 1.0 year subsequent to March 31,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 month periods ended March 31, 2017 and 2016:</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841,355</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(11,087)</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(263,457)</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2017</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2,221,884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713,738</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1,795,258</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(25,662)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(627,110)</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Balance, March 31,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1,856,224</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three month periods ended March 31, 2017 and 2016, the Company satisfied its minimum statutory tax withholding requirements in lieu of delivering 108,239 and 77,795 shares of Class A common stock during such respective three month periods. Accordingly, 155,218 and 549,315 shares of Class A common stock held by the Company were delivered during the three month periods ended March 31, 2017 and 2016, respectively.</w:t>
      </w:r>
    </w:p>
    <w:p>
      <w:pPr>
        <w:spacing w:after="0" w:line="18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restricted stock awards include a cash dividend participation right equivalent to dividends paid on Class A common stock during the period, which will vest concurrently with the underlying restricted stock award. At March 31, 2017, estimated unrecognized restricted stock expense was approximately $55,675, with such expense to be recognized over a weighted average period of approximately 0.9 years subsequent to March 31, 2017.</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three month periods ended March 31, 2017 and 2016:</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(752,770)</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gridSpan w:val="3"/>
          </w:tcPr>
          <w:p>
            <w:pPr>
              <w:spacing w:after="0"/>
              <w:rPr>
                <w:sz w:val="20"/>
                <w:szCs w:val="20"/>
                <w:color w:val="auto"/>
              </w:rPr>
            </w:pPr>
            <w:r>
              <w:rPr>
                <w:rFonts w:ascii="Arial" w:cs="Arial" w:eastAsia="Arial" w:hAnsi="Arial"/>
                <w:sz w:val="18"/>
                <w:szCs w:val="18"/>
                <w:color w:val="auto"/>
              </w:rPr>
              <w:t>Balance, March 31,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1,296,099</w:t>
            </w:r>
          </w:p>
        </w:tc>
        <w:tc>
          <w:tcPr>
            <w:tcW w:w="120" w:type="dxa"/>
            <w:vAlign w:val="bottom"/>
          </w:tcPr>
          <w:p>
            <w:pPr>
              <w:spacing w:after="0"/>
              <w:rPr>
                <w:sz w:val="22"/>
                <w:szCs w:val="22"/>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1,019,038</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627,956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(417,018)</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Balance, March 31,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1,229,976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60" w:hanging="518"/>
        <w:spacing w:after="0"/>
        <w:tabs>
          <w:tab w:leader="none" w:pos="1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connection with certain PRSUs that vested during the three month periods ended March 31, 2017 and 2016, the Company satisfied its minimum statutory tax withholding requirements in lieu of delivering 85,629 and 64,169 shares of Class A common stock during such respective three month periods. Accordingly, 667,141 and 352,849 shares of Class A common stock held by the Company were delivered during the three month periods ended March 31, 2017 and 2016, respectively.</w:t>
      </w:r>
    </w:p>
    <w:p>
      <w:pPr>
        <w:spacing w:after="0" w:line="18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March 31, 2017, the total estimated unrecognized compensation expense was approximately $20,853, and the Company expects to amortize such expense over a weighted-average period of approximately 0.7 years subsequent to March 31, 2017.</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30" w:name="page31"/>
    <w:bookmarkEnd w:id="3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three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(81,559)</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(12,491)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March 31, 2017</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114,634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51,871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(64,488)</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(19,436)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March 31, 2016</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107,930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1.0 year subsequent to March 31, 2017.</w:t>
      </w:r>
    </w:p>
    <w:p>
      <w:pPr>
        <w:spacing w:after="0" w:line="170" w:lineRule="exact"/>
        <w:rPr>
          <w:sz w:val="20"/>
          <w:szCs w:val="20"/>
          <w:color w:val="auto"/>
        </w:rPr>
      </w:pPr>
    </w:p>
    <w:p>
      <w:pPr>
        <w:ind w:right="380" w:firstLine="518"/>
        <w:spacing w:after="0" w:line="308" w:lineRule="auto"/>
        <w:rPr>
          <w:sz w:val="20"/>
          <w:szCs w:val="20"/>
          <w:color w:val="auto"/>
        </w:rPr>
      </w:pPr>
      <w:r>
        <w:rPr>
          <w:rFonts w:ascii="Arial" w:cs="Arial" w:eastAsia="Arial" w:hAnsi="Arial"/>
          <w:sz w:val="17"/>
          <w:szCs w:val="17"/>
          <w:color w:val="auto"/>
        </w:rPr>
        <w:t>The following is a summary of the impact of LFI and other similar deferred compensation arrangements on “compensation and benefits” expense within the accompanying condensed consolidated statements of operations for the three month periods ended March 31, 2017 and 2016:</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17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12,983</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20,899</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7,353</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(2,514)</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20,336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until December 2016, in the U.S., a partially funded contributory medical post-retirement plan covering certain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1" w:name="page32"/>
    <w:bookmarkEnd w:id="3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8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periods ended March 31,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Pension Plans</w:t>
            </w:r>
          </w:p>
        </w:tc>
        <w:tc>
          <w:tcPr>
            <w:tcW w:w="8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1"/>
              </w:rPr>
              <w:t>Medical Plan</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9"/>
              </w:rPr>
              <w:t>Three Months Ended March 31,</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9"/>
                <w:szCs w:val="19"/>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(6,105)</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(7,166)</w:t>
            </w: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88"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The Company recorded income tax provisions of $39,767 and $27,654 for the three month periods ended March 31, 2017 and 2016, respectively, representing effective tax rates of 26.5% and 28.1%, respectively. The difference between the U.S. federal statutory rate of 35.0% and the effective tax rates reflected above principally relates to (i) taxes payable to foreign jurisdictions that are not offset against U.S. income taxes, (ii) foreign source income (loss) not subject to U.S. income taxes (including interest on intercompany financings), (iii) change in the U.S. federal valuation allowance affecting the provision for income taxes, (iv) excess net tax benefit for share-based incentive compensation, and (v) U.S. state and local taxes, which are incremental to the U.S. federal statutory tax rate.</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January 1, 2017, the Company adopted new accounting guidance on share-based incentive compensation. Upon adoption, the Company recognized excess tax benefits of $7,356 from the vesting of share-based incentive compensation in the provision for income taxes in the condensed consolidated statements of operations for the three month period ended March 31, 2017. The Company also recorded deferred tax assets of $81,544, net of a valuation allowance of $12,090, as of January 1, 2017, for previously unrecognized excess tax benefits (including tax benefits from dividends or dividend equivalents) on share-based incentive compensation, with an offsetting adjustment to retained earnings. See Note 2 for further information on the adoption of this new guidance.</w:t>
      </w:r>
    </w:p>
    <w:p>
      <w:pPr>
        <w:spacing w:after="0" w:line="193"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those earnings. The repatriation of prior earnings attributable to “non-pass-through” entities would not result in the recognition of a material amount of additional U.S. income taxes.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Company’s basic and diluted net income per share calculations for the three month periods ended March 31, 2017 and 2016 are computed as described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w:t>
      </w:r>
    </w:p>
    <w:p>
      <w:pPr>
        <w:spacing w:after="0" w:line="225"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plus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such shares associated with shares of Class A common stock issuable on a non-contingent basis.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periods as in the basic net income per share calculation described above.</w:t>
      </w:r>
    </w:p>
    <w:p>
      <w:pPr>
        <w:spacing w:after="0" w:line="24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as in the basic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per share calculation described above, plus, to the extent dilutive, the incremental number of shares of Class A common stock required to settle share-based incentive compensation.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calculations of the Company’s basic and diluted net income per share and weighted average shares outstanding for the three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 are presented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00" w:type="dxa"/>
            <w:vAlign w:val="bottom"/>
            <w:tcBorders>
              <w:bottom w:val="single" w:sz="8" w:color="CFF0FC"/>
            </w:tcBorders>
          </w:tcPr>
          <w:p>
            <w:pPr>
              <w:spacing w:after="0"/>
              <w:rPr>
                <w:sz w:val="13"/>
                <w:szCs w:val="13"/>
                <w:color w:val="auto"/>
              </w:rPr>
            </w:pPr>
          </w:p>
        </w:tc>
        <w:tc>
          <w:tcPr>
            <w:tcW w:w="16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basic</w:t>
            </w:r>
          </w:p>
        </w:tc>
        <w:tc>
          <w:tcPr>
            <w:tcW w:w="16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107,553</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20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FF0FC"/>
            </w:tcBorders>
            <w:vMerge w:val="continue"/>
          </w:tcPr>
          <w:p>
            <w:pPr>
              <w:spacing w:after="0"/>
              <w:rPr>
                <w:sz w:val="21"/>
                <w:szCs w:val="21"/>
                <w:color w:val="auto"/>
              </w:rPr>
            </w:pPr>
          </w:p>
        </w:tc>
        <w:tc>
          <w:tcPr>
            <w:tcW w:w="166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107,553</w:t>
            </w:r>
          </w:p>
        </w:tc>
        <w:tc>
          <w:tcPr>
            <w:tcW w:w="280" w:type="dxa"/>
            <w:vAlign w:val="bottom"/>
            <w:tcBorders>
              <w:bottom w:val="single" w:sz="8" w:color="CFF0FC"/>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66,823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shares of Class A common</w:t>
            </w:r>
          </w:p>
        </w:tc>
        <w:tc>
          <w:tcPr>
            <w:tcW w:w="16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outstanding</w:t>
            </w:r>
          </w:p>
        </w:tc>
        <w:tc>
          <w:tcPr>
            <w:tcW w:w="16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122,531,221</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125,968,430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8"/>
                <w:szCs w:val="18"/>
                <w:color w:val="auto"/>
              </w:rPr>
              <w:t>Add - adjustment for shares of Class A common stock</w:t>
            </w: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issuable on a non-contingent basis</w:t>
            </w:r>
          </w:p>
        </w:tc>
        <w:tc>
          <w:tcPr>
            <w:tcW w:w="16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283,942</w:t>
            </w:r>
          </w:p>
        </w:tc>
        <w:tc>
          <w:tcPr>
            <w:tcW w:w="28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of Class A common</w:t>
            </w:r>
          </w:p>
        </w:tc>
        <w:tc>
          <w:tcPr>
            <w:tcW w:w="1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outstanding - basic</w:t>
            </w:r>
          </w:p>
        </w:tc>
        <w:tc>
          <w:tcPr>
            <w:tcW w:w="16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122,815,163</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126,040,441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number of incremental shares of Class A</w:t>
            </w:r>
          </w:p>
        </w:tc>
        <w:tc>
          <w:tcPr>
            <w:tcW w:w="1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issuable from share-based</w:t>
            </w:r>
          </w:p>
        </w:tc>
        <w:tc>
          <w:tcPr>
            <w:tcW w:w="1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incentive compensation</w:t>
            </w:r>
          </w:p>
        </w:tc>
        <w:tc>
          <w:tcPr>
            <w:tcW w:w="166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9,874,212</w:t>
            </w:r>
          </w:p>
        </w:tc>
        <w:tc>
          <w:tcPr>
            <w:tcW w:w="280" w:type="dxa"/>
            <w:vAlign w:val="bottom"/>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6,850,843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outstanding - diluted</w:t>
            </w:r>
          </w:p>
        </w:tc>
        <w:tc>
          <w:tcPr>
            <w:tcW w:w="166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132,689,375</w:t>
            </w:r>
          </w:p>
        </w:tc>
        <w:tc>
          <w:tcPr>
            <w:tcW w:w="280" w:type="dxa"/>
            <w:vAlign w:val="bottom"/>
            <w:tcBorders>
              <w:bottom w:val="single" w:sz="8" w:color="CFF0FC"/>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132,891,284</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Lazard Ltd per share of Class</w:t>
            </w:r>
          </w:p>
        </w:tc>
        <w:tc>
          <w:tcPr>
            <w:tcW w:w="16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 common stock:</w:t>
            </w:r>
          </w:p>
        </w:tc>
        <w:tc>
          <w:tcPr>
            <w:tcW w:w="16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260"/>
              <w:spacing w:after="0"/>
              <w:rPr>
                <w:sz w:val="20"/>
                <w:szCs w:val="20"/>
                <w:color w:val="auto"/>
              </w:rPr>
            </w:pPr>
            <w:r>
              <w:rPr>
                <w:rFonts w:ascii="Arial" w:cs="Arial" w:eastAsia="Arial" w:hAnsi="Arial"/>
                <w:sz w:val="18"/>
                <w:szCs w:val="18"/>
                <w:color w:val="auto"/>
              </w:rPr>
              <w:t>Basic</w:t>
            </w:r>
          </w:p>
        </w:tc>
        <w:tc>
          <w:tcPr>
            <w:tcW w:w="16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0.88</w:t>
            </w:r>
          </w:p>
        </w:tc>
        <w:tc>
          <w:tcPr>
            <w:tcW w:w="86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66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60" w:right="9300" w:hanging="252"/>
        <w:spacing w:after="0" w:line="397" w:lineRule="auto"/>
        <w:tabs>
          <w:tab w:leader="none" w:pos="514"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RELATED PARTIES Sponsored Funds</w:t>
      </w:r>
    </w:p>
    <w:p>
      <w:pPr>
        <w:spacing w:after="0" w:line="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$140,577 and $118,910 for the three month periods ended March 31, 2017 and 2016, respectively,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9"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are included in “asset management fees” on the condensed consolidated statements of operations. Of such amounts, $52,867 and $49,944 remained as receivables at March 31, 2017 and December 31, 2016, respectively, and are included in “fees receivable” on the condensed consolidated statements of financial condition.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740" w:firstLine="518"/>
        <w:spacing w:after="0" w:line="291" w:lineRule="auto"/>
        <w:rPr>
          <w:sz w:val="20"/>
          <w:szCs w:val="20"/>
          <w:color w:val="auto"/>
        </w:rPr>
      </w:pPr>
      <w:r>
        <w:rPr>
          <w:rFonts w:ascii="Arial" w:cs="Arial" w:eastAsia="Arial" w:hAnsi="Arial"/>
          <w:sz w:val="16"/>
          <w:szCs w:val="16"/>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ind w:right="20" w:firstLine="8"/>
        <w:spacing w:after="0" w:line="252" w:lineRule="auto"/>
        <w:tabs>
          <w:tab w:leader="none" w:pos="2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45%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including our executive officers, in proportion to their beneficial interests in the Trust.</w:t>
      </w:r>
    </w:p>
    <w:p>
      <w:pPr>
        <w:spacing w:after="0" w:line="194"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73" w:lineRule="exact"/>
        <w:rPr>
          <w:sz w:val="20"/>
          <w:szCs w:val="20"/>
          <w:color w:val="auto"/>
        </w:rPr>
      </w:pPr>
    </w:p>
    <w:p>
      <w:pPr>
        <w:ind w:firstLine="560"/>
        <w:spacing w:after="0" w:line="297" w:lineRule="auto"/>
        <w:rPr>
          <w:sz w:val="20"/>
          <w:szCs w:val="20"/>
          <w:color w:val="auto"/>
        </w:rPr>
      </w:pPr>
      <w:r>
        <w:rPr>
          <w:rFonts w:ascii="Arial" w:cs="Arial" w:eastAsia="Arial" w:hAnsi="Arial"/>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the “provision (benefit) for income taxes”.</w:t>
      </w:r>
    </w:p>
    <w:p>
      <w:pPr>
        <w:spacing w:after="0" w:line="15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as of March 31, 2017 and December 31, 2016 was $512,874 and $513,610, respectively, and is recorded in “tax receivable agreement obligation” on the condensed consolidated statements of financial condition. The balance at March 31, 2017 reflects a payment made under the Amended and Restated Tax Receivable Agreement in the first quarter of 2017 of $736.</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11 for information regarding related party transactions pertaining to shares repurchased from certain of our executive officers.</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March 31, 2017, LFNY’s regulatory net capital was $79,663, which exceeded the minimum requirement by $74,877. LFNY’s aggregate indebtedness to net capital ratio was 0.90:1 as of March 31, 2017.</w:t>
      </w:r>
    </w:p>
    <w:p>
      <w:pPr>
        <w:spacing w:after="0" w:line="198"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March 31, 2017, the aggregate regulatory net capital of the U.K. Subsidiaries was $128,206, which exceeded the minimum requirement by $112,123.</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4" w:name="page35"/>
    <w:bookmarkEnd w:id="3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and other clients, and asset-liability management. The investment services activities of the Paris group, exercised through LFB and other subsidiaries of CFLF, primarily LFG (asset management), also are subject to regulation and supervision by the Autorité des Marchés Financiers. At March 31, 2017, the consolidated regulatory net capital of CFLF was $133,162, which exceeded the minimum requirement set for regulatory capital levels by $88,708.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2016, the regulatory net capital of the combined European regulated group was $159,102, which exceeded the minimum requirement set for regulatory capital levels by $84,949.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2017, for those subsidiaries with regulatory capital requirements, their aggregate net capital was $120,725, which exceeded the minimum required capital by $94,924.</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31, 2017, each of these subsidiaries individually was in compliance with its regulatory capital requirements.</w:t>
      </w:r>
    </w:p>
    <w:p>
      <w:pPr>
        <w:spacing w:after="0" w:line="225"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above. In addition, as described in Note 1, the Company records selected other activities in its Corporate segment.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Company’s segment information for the three month periods ended March 31, 2017 and 2016 is prepared using the following methodology:</w:t>
      </w:r>
    </w:p>
    <w:p>
      <w:pPr>
        <w:spacing w:after="0" w:line="129" w:lineRule="exact"/>
        <w:rPr>
          <w:sz w:val="20"/>
          <w:szCs w:val="20"/>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2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5" w:name="page36"/>
    <w:bookmarkEnd w:id="3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2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4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4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Net Revenue</w:t>
            </w:r>
          </w:p>
        </w:tc>
        <w:tc>
          <w:tcPr>
            <w:tcW w:w="940" w:type="dxa"/>
            <w:vAlign w:val="bottom"/>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335,812</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266,014</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262,751</w:t>
            </w:r>
          </w:p>
        </w:tc>
        <w:tc>
          <w:tcPr>
            <w:tcW w:w="3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auto"/>
            </w:tcBorders>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73,061</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38,936</w:t>
            </w:r>
          </w:p>
        </w:tc>
        <w:tc>
          <w:tcPr>
            <w:tcW w:w="100" w:type="dxa"/>
            <w:vAlign w:val="bottom"/>
            <w:shd w:val="clear" w:color="auto" w:fill="CFF0FC"/>
          </w:tcPr>
          <w:p>
            <w:pPr>
              <w:spacing w:after="0"/>
              <w:rPr>
                <w:sz w:val="19"/>
                <w:szCs w:val="19"/>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Net Revenue</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283,363</w:t>
            </w:r>
          </w:p>
        </w:tc>
        <w:tc>
          <w:tcPr>
            <w:tcW w:w="30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245,759</w:t>
            </w:r>
          </w:p>
        </w:tc>
        <w:tc>
          <w:tcPr>
            <w:tcW w:w="10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188,751</w:t>
            </w: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175,161</w:t>
            </w:r>
          </w:p>
        </w:tc>
        <w:tc>
          <w:tcPr>
            <w:tcW w:w="100" w:type="dxa"/>
            <w:vAlign w:val="bottom"/>
          </w:tcPr>
          <w:p>
            <w:pPr>
              <w:spacing w:after="0"/>
              <w:rPr>
                <w:sz w:val="20"/>
                <w:szCs w:val="20"/>
                <w:color w:val="auto"/>
              </w:rPr>
            </w:pPr>
          </w:p>
        </w:tc>
      </w:tr>
      <w:tr>
        <w:trPr>
          <w:trHeight w:val="223"/>
        </w:trPr>
        <w:tc>
          <w:tcPr>
            <w:tcW w:w="3280" w:type="dxa"/>
            <w:vAlign w:val="bottom"/>
            <w:tcBorders>
              <w:bottom w:val="single" w:sz="8" w:color="CFF0FC"/>
            </w:tcBorders>
          </w:tcPr>
          <w:p>
            <w:pPr>
              <w:spacing w:after="0"/>
              <w:rPr>
                <w:sz w:val="19"/>
                <w:szCs w:val="19"/>
                <w:color w:val="auto"/>
              </w:rPr>
            </w:pPr>
          </w:p>
        </w:tc>
        <w:tc>
          <w:tcPr>
            <w:tcW w:w="4660" w:type="dxa"/>
            <w:vAlign w:val="bottom"/>
            <w:tcBorders>
              <w:bottom w:val="single" w:sz="8" w:color="CFF0FC"/>
            </w:tcBorders>
            <w:gridSpan w:val="2"/>
          </w:tcPr>
          <w:p>
            <w:pPr>
              <w:ind w:left="180"/>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94,612</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70,598</w:t>
            </w:r>
          </w:p>
        </w:tc>
        <w:tc>
          <w:tcPr>
            <w:tcW w:w="100" w:type="dxa"/>
            <w:vAlign w:val="bottom"/>
            <w:tcBorders>
              <w:bottom w:val="single" w:sz="8" w:color="CFF0FC"/>
            </w:tcBorders>
          </w:tcPr>
          <w:p>
            <w:pPr>
              <w:spacing w:after="0"/>
              <w:rPr>
                <w:sz w:val="19"/>
                <w:szCs w:val="19"/>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4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Net Revenue</w:t>
            </w:r>
          </w:p>
        </w:tc>
        <w:tc>
          <w:tcPr>
            <w:tcW w:w="940" w:type="dxa"/>
            <w:vAlign w:val="bottom"/>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(13,555)</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21,765</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(2,398)</w:t>
            </w:r>
          </w:p>
        </w:tc>
      </w:tr>
      <w:tr>
        <w:trPr>
          <w:trHeight w:val="223"/>
        </w:trPr>
        <w:tc>
          <w:tcPr>
            <w:tcW w:w="3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940" w:type="dxa"/>
            <w:vAlign w:val="bottom"/>
            <w:tcBorders>
              <w:top w:val="single" w:sz="8" w:color="auto"/>
              <w:bottom w:val="single" w:sz="8" w:color="auto"/>
            </w:tcBorders>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(17,476)</w:t>
            </w:r>
          </w:p>
        </w:tc>
        <w:tc>
          <w:tcPr>
            <w:tcW w:w="3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Net Revenue</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623,464</w:t>
            </w:r>
          </w:p>
        </w:tc>
        <w:tc>
          <w:tcPr>
            <w:tcW w:w="30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498,218</w:t>
            </w:r>
          </w:p>
        </w:tc>
        <w:tc>
          <w:tcPr>
            <w:tcW w:w="10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473,267</w:t>
            </w: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399,841</w:t>
            </w: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4660" w:type="dxa"/>
            <w:vAlign w:val="bottom"/>
            <w:gridSpan w:val="2"/>
          </w:tcPr>
          <w:p>
            <w:pPr>
              <w:ind w:left="180"/>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150,197</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98,377</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00" w:type="dxa"/>
            <w:vAlign w:val="bottom"/>
            <w:tcBorders>
              <w:bottom w:val="single" w:sz="8" w:color="CFF0FC"/>
            </w:tcBorders>
          </w:tcPr>
          <w:p>
            <w:pPr>
              <w:spacing w:after="0"/>
              <w:rPr>
                <w:sz w:val="13"/>
                <w:szCs w:val="13"/>
                <w:color w:val="auto"/>
              </w:rPr>
            </w:pPr>
          </w:p>
        </w:tc>
        <w:tc>
          <w:tcPr>
            <w:tcW w:w="3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March 31, 2017</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5"/>
              </w:rPr>
              <w:t>December 31, 2016</w:t>
            </w:r>
          </w:p>
        </w:tc>
        <w:tc>
          <w:tcPr>
            <w:tcW w:w="120" w:type="dxa"/>
            <w:vAlign w:val="bottom"/>
            <w:tcBorders>
              <w:bottom w:val="single" w:sz="8" w:color="CFF0FC"/>
            </w:tcBorders>
          </w:tcPr>
          <w:p>
            <w:pPr>
              <w:spacing w:after="0"/>
              <w:rPr>
                <w:sz w:val="13"/>
                <w:szCs w:val="13"/>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3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828,374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907,035</w:t>
            </w:r>
          </w:p>
        </w:tc>
        <w:tc>
          <w:tcPr>
            <w:tcW w:w="120" w:type="dxa"/>
            <w:vAlign w:val="bottom"/>
          </w:tcPr>
          <w:p>
            <w:pPr>
              <w:spacing w:after="0"/>
              <w:rPr>
                <w:sz w:val="19"/>
                <w:szCs w:val="19"/>
                <w:color w:val="auto"/>
              </w:rPr>
            </w:pPr>
          </w:p>
        </w:tc>
      </w:tr>
      <w:tr>
        <w:trPr>
          <w:trHeight w:val="230"/>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3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572,915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645,653</w:t>
            </w:r>
          </w:p>
        </w:tc>
        <w:tc>
          <w:tcPr>
            <w:tcW w:w="120" w:type="dxa"/>
            <w:vAlign w:val="bottom"/>
            <w:shd w:val="clear" w:color="auto" w:fill="CFF0FC"/>
          </w:tcPr>
          <w:p>
            <w:pPr>
              <w:spacing w:after="0"/>
              <w:rPr>
                <w:sz w:val="19"/>
                <w:szCs w:val="19"/>
                <w:color w:val="auto"/>
              </w:rPr>
            </w:pPr>
          </w:p>
        </w:tc>
      </w:tr>
      <w:tr>
        <w:trPr>
          <w:trHeight w:val="230"/>
        </w:trPr>
        <w:tc>
          <w:tcPr>
            <w:tcW w:w="47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3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2,983,969</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3,003,820</w:t>
            </w:r>
          </w:p>
        </w:tc>
        <w:tc>
          <w:tcPr>
            <w:tcW w:w="120" w:type="dxa"/>
            <w:vAlign w:val="bottom"/>
            <w:tcBorders>
              <w:bottom w:val="single" w:sz="8" w:color="CFF0FC"/>
            </w:tcBorders>
          </w:tcPr>
          <w:p>
            <w:pPr>
              <w:spacing w:after="0"/>
              <w:rPr>
                <w:sz w:val="19"/>
                <w:szCs w:val="19"/>
                <w:color w:val="auto"/>
              </w:rPr>
            </w:pPr>
          </w:p>
        </w:tc>
      </w:tr>
      <w:tr>
        <w:trPr>
          <w:trHeight w:val="223"/>
        </w:trPr>
        <w:tc>
          <w:tcPr>
            <w:tcW w:w="4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4,385,258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4,556,508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2016 (the “Form 10-K”). All references to “2017,” “2016,” “first quarter,” “three months” or “the period” refer to, as the context requires, the three month periods ended March 31, 2017 and March 31,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900" w:right="220" w:hanging="379"/>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7" w:name="page38"/>
    <w:bookmarkEnd w:id="37"/>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900" w:right="58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28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225"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Our websites and social media sites and the information contained therein or connected thereto shall not be deemed to be incorporated into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jc w:val="both"/>
        <w:ind w:left="900" w:hanging="379"/>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corporate preparedness and various other financial matters, and</w:t>
      </w:r>
    </w:p>
    <w:p>
      <w:pPr>
        <w:spacing w:after="0" w:line="73" w:lineRule="exact"/>
        <w:rPr>
          <w:rFonts w:ascii="Arial" w:cs="Arial" w:eastAsia="Arial" w:hAnsi="Arial"/>
          <w:sz w:val="18"/>
          <w:szCs w:val="18"/>
          <w:color w:val="auto"/>
        </w:rPr>
      </w:pPr>
    </w:p>
    <w:p>
      <w:pPr>
        <w:ind w:left="900" w:right="140" w:hanging="379"/>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38" w:name="page39"/>
    <w:bookmarkEnd w:id="38"/>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March 31,</w:t>
      </w: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1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(ii) a mezzanine fund, which invests in mezzanine debt of a diversified selection of small- to mid-cap European companies and (iii) a fund targeting significant noncontrolling-stake investments in established private companies. We also make investments to seed our Asset Management strategies.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Equity market indices for developed and emerging markets at March 31, 2017 generally increased as compared to such indices at March 31, 2016 and December 31, 2016. In the global M&amp;A markets during the first quarter of 2017, the value and number of all completed M&amp;A transactions decreased as compared to the same period in the prior year, as did the value of the subset of such transactions involving values greater than $500 million. During the same time, the value of all announced M&amp;A transactions, including the subset of such transactions involving values greater than $500 million, increased. During the first quarter of 2017, global restructuring activity, as measured by the number of corporate defaults, decreased as compared to the first quarter of 2016, primarily due to a lower level of defaults in the commodity sectors.</w:t>
      </w:r>
    </w:p>
    <w:p>
      <w:pPr>
        <w:spacing w:after="0" w:line="17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On an ongoing basis, regional, macroeconomic and geopolitical factors, including any potential regional tax or regulatory reform, may impact our business. However, despite political uncertainties, overall, the global macroeconomic outlook for the near- to mid-term appears positive. The U.S. economy appears to be healthy, and the European economy seems to continue to recover. Corporate cash balances remain high, and interest rates remain low for companies with strong credit ratings. Although market volatility may affect our business from time to time, the longer-term trends appear to remain favorable for both of our businesses.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900" w:right="20" w:hanging="379"/>
        <w:spacing w:after="0" w:line="271"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Advisory</w:t>
      </w:r>
      <w:r>
        <w:rPr>
          <w:rFonts w:ascii="Arial" w:cs="Arial" w:eastAsia="Arial" w:hAnsi="Arial"/>
          <w:sz w:val="17"/>
          <w:szCs w:val="17"/>
          <w:color w:val="auto"/>
        </w:rPr>
        <w:t>—The fundamentals for continued M&amp;A activity appear to remain in place. Demand continues for expert,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strategic 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position us for growth in these markets, while enhancing our relationships with, and the services that we can provide to, clients in other economies. In the third quarter of 2016, we expanded our North American Financial Advisory business through the acquisition of an independent financial advisory firm based in Canada. In addition, in October 2016, we acquired the portion of MBA Lazard that we did not previously own, thereby fully integrating our Latin American operations. We believe that these transactions have augmented the strength of our Financial Advisory business throughout the Americas.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left="900" w:right="40" w:hanging="379"/>
        <w:spacing w:after="0" w:line="270"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from defined benefit and defined contribution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slowly expand.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Recent examples of growth initiatives include the following investment strategies: European Long/Short Equity, various Quantitative Equity strategies, various Multi-Asset strategies, a Real Assets strategy, and a Global Equity Franchise strategy.</w:t>
      </w:r>
    </w:p>
    <w:p>
      <w:pPr>
        <w:spacing w:after="0" w:line="18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jc w:val="both"/>
        <w:ind w:right="60" w:firstLine="518"/>
        <w:spacing w:after="0" w:line="308" w:lineRule="auto"/>
        <w:rPr>
          <w:sz w:val="20"/>
          <w:szCs w:val="20"/>
          <w:color w:val="auto"/>
        </w:rPr>
      </w:pPr>
      <w:r>
        <w:rPr>
          <w:rFonts w:ascii="Arial" w:cs="Arial" w:eastAsia="Arial" w:hAnsi="Arial"/>
          <w:sz w:val="17"/>
          <w:szCs w:val="17"/>
          <w:color w:val="auto"/>
        </w:rPr>
        <w:t>Overall, we continue to focus on the development of our business, including the generation of stable revenue growth, earnings growth and shareholder returns, the prudent management of our costs and expenses, the efficient use of our assets and the return of capital to our shareholders.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the value of completed transactions with values greater than $500 million, decreased in the first quarter of 2017 as compared to 2016. With respect to announced M&amp;A transactions, the value of all transactions, including announced transactions with values greater than $500 million, increased in the first quarter of 2017 as compared to 2016.</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5"/>
              </w:rPr>
              <w:t>Three Months Ended</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34"/>
              <w:spacing w:after="0"/>
              <w:rPr>
                <w:sz w:val="20"/>
                <w:szCs w:val="20"/>
                <w:color w:val="auto"/>
              </w:rPr>
            </w:pPr>
            <w:r>
              <w:rPr>
                <w:rFonts w:ascii="Arial" w:cs="Arial" w:eastAsia="Arial" w:hAnsi="Arial"/>
                <w:sz w:val="14"/>
                <w:szCs w:val="14"/>
                <w:b w:val="1"/>
                <w:bCs w:val="1"/>
                <w:color w:val="auto"/>
                <w:w w:val="99"/>
              </w:rPr>
              <w:t>March 31,</w:t>
            </w:r>
          </w:p>
        </w:tc>
        <w:tc>
          <w:tcPr>
            <w:tcW w:w="1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2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vMerge w:val="restart"/>
          </w:tcPr>
          <w:p>
            <w:pPr>
              <w:jc w:val="center"/>
              <w:ind w:right="494"/>
              <w:spacing w:after="0"/>
              <w:rPr>
                <w:sz w:val="20"/>
                <w:szCs w:val="20"/>
                <w:color w:val="auto"/>
              </w:rPr>
            </w:pPr>
            <w:r>
              <w:rPr>
                <w:rFonts w:ascii="Arial" w:cs="Arial" w:eastAsia="Arial" w:hAnsi="Arial"/>
                <w:sz w:val="14"/>
                <w:szCs w:val="14"/>
                <w:b w:val="1"/>
                <w:bCs w:val="1"/>
                <w:color w:val="auto"/>
                <w:w w:val="96"/>
              </w:rPr>
              <w:t>2016</w:t>
            </w:r>
          </w:p>
        </w:tc>
        <w:tc>
          <w:tcPr>
            <w:tcW w:w="1180" w:type="dxa"/>
            <w:vAlign w:val="bottom"/>
          </w:tcPr>
          <w:p>
            <w:pPr>
              <w:jc w:val="right"/>
              <w:ind w:right="4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Incr / (Decr)</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w w:val="91"/>
              </w:rPr>
              <w:t>in billions)</w:t>
            </w:r>
          </w:p>
        </w:tc>
        <w:tc>
          <w:tcPr>
            <w:tcW w:w="1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48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904</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9,009</w:t>
            </w:r>
          </w:p>
        </w:tc>
        <w:tc>
          <w:tcPr>
            <w:tcW w:w="4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9,954</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602</w:t>
            </w:r>
          </w:p>
        </w:tc>
        <w:tc>
          <w:tcPr>
            <w:tcW w:w="4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685</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270</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811</w:t>
            </w:r>
          </w:p>
        </w:tc>
        <w:tc>
          <w:tcPr>
            <w:tcW w:w="48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743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9,686</w:t>
            </w: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10,034</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244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48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522</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272</w:t>
            </w:r>
          </w:p>
        </w:tc>
        <w:tc>
          <w:tcPr>
            <w:tcW w:w="480" w:type="dxa"/>
            <w:vAlign w:val="bottom"/>
          </w:tcPr>
          <w:p>
            <w:pPr>
              <w:spacing w:after="0"/>
              <w:rPr>
                <w:sz w:val="20"/>
                <w:szCs w:val="20"/>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245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59690</wp:posOffset>
            </wp:positionV>
            <wp:extent cx="12090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April 5, 2017.</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Global restructuring activity during the first quarter of 2017, as measured by the number of corporate defaults, decreased as compared to the first quarter of 2016. The number of defaulting issuers decreased to 21 in the first quarter of 2017, according to Moody’s Investors Service, Inc., as compared to 33 in the first quarter of 2016, primarily due to a lower level of defaults in the commodity sectors.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firstLine="518"/>
        <w:spacing w:after="0" w:line="269" w:lineRule="auto"/>
        <w:rPr>
          <w:sz w:val="20"/>
          <w:szCs w:val="20"/>
          <w:color w:val="auto"/>
        </w:rPr>
      </w:pPr>
      <w:r>
        <w:rPr>
          <w:rFonts w:ascii="Arial" w:cs="Arial" w:eastAsia="Arial" w:hAnsi="Arial"/>
          <w:sz w:val="17"/>
          <w:szCs w:val="17"/>
          <w:color w:val="auto"/>
        </w:rPr>
        <w:t>Net revenue trends in Financial Advisory for M&amp;A and Strategic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Strategic Advisory revenue, which includes M&amp;A Advisory, Capital Advisory, Capital Raising and Sovereign Advisory revenue, increased 11% in the first quarter of 2017 as compared to 2016. The industry statistics for global M&amp;A transactions described above reflect a 12% and 9% decrease in the value and number, respectively, of all completed transactions in the first quarter of 2017 as compared to 2016. For M&amp;A deals with values greater than $500 million, the value and number of completed transactions in the first quarter of 2017 decreased 12% and was unchanged, respectively, as compared to 2016. In addition, with respect to our restructuring activity, revenue increased 105% in the first quarter of 2017 as compared to 2016, in contrast to a 36% decrease in global default activity in the first quarter of 2017 as compared to 2016.</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jc w:val="both"/>
        <w:ind w:right="100" w:firstLine="518"/>
        <w:spacing w:after="0" w:line="277" w:lineRule="auto"/>
        <w:rPr>
          <w:sz w:val="20"/>
          <w:szCs w:val="20"/>
          <w:color w:val="auto"/>
        </w:rPr>
      </w:pPr>
      <w:r>
        <w:rPr>
          <w:rFonts w:ascii="Arial" w:cs="Arial" w:eastAsia="Arial" w:hAnsi="Arial"/>
          <w:sz w:val="18"/>
          <w:szCs w:val="18"/>
          <w:color w:val="auto"/>
        </w:rPr>
        <w:t>The percentage change in major equity market indices at March 31, 2017, as compared to such indices at December 31, 2016, and at March 31, 2016, is shown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6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89"/>
              </w:rPr>
              <w:t>Percentage Changes</w:t>
            </w:r>
          </w:p>
        </w:tc>
        <w:tc>
          <w:tcPr>
            <w:tcW w:w="4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6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4"/>
                <w:szCs w:val="14"/>
                <w:b w:val="1"/>
                <w:bCs w:val="1"/>
                <w:color w:val="auto"/>
                <w:w w:val="94"/>
              </w:rPr>
              <w:t>March 31, 2017 vs.</w:t>
            </w:r>
          </w:p>
        </w:tc>
        <w:tc>
          <w:tcPr>
            <w:tcW w:w="44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60" w:type="dxa"/>
            <w:vAlign w:val="bottom"/>
          </w:tcPr>
          <w:p>
            <w:pPr>
              <w:jc w:val="center"/>
              <w:ind w:left="10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left="168"/>
              <w:spacing w:after="0" w:line="133" w:lineRule="exact"/>
              <w:rPr>
                <w:sz w:val="20"/>
                <w:szCs w:val="20"/>
                <w:color w:val="auto"/>
              </w:rPr>
            </w:pPr>
            <w:r>
              <w:rPr>
                <w:rFonts w:ascii="Arial" w:cs="Arial" w:eastAsia="Arial" w:hAnsi="Arial"/>
                <w:sz w:val="14"/>
                <w:szCs w:val="14"/>
                <w:b w:val="1"/>
                <w:bCs w:val="1"/>
                <w:color w:val="auto"/>
                <w:w w:val="95"/>
              </w:rPr>
              <w:t>March 31,</w:t>
            </w:r>
          </w:p>
        </w:tc>
        <w:tc>
          <w:tcPr>
            <w:tcW w:w="440" w:type="dxa"/>
            <w:vAlign w:val="bottom"/>
          </w:tcPr>
          <w:p>
            <w:pPr>
              <w:spacing w:after="0"/>
              <w:rPr>
                <w:sz w:val="11"/>
                <w:szCs w:val="11"/>
                <w:color w:val="auto"/>
              </w:rPr>
            </w:pPr>
          </w:p>
        </w:tc>
      </w:tr>
      <w:tr>
        <w:trPr>
          <w:trHeight w:val="171"/>
        </w:trPr>
        <w:tc>
          <w:tcPr>
            <w:tcW w:w="720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5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10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41"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ind w:right="40"/>
        <w:spacing w:after="0" w:line="255"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March 31, 2017 increased 9% versus AUM at December 31, 2016, primarily due to market and foreign exchange appreciation and net inflows. Average AUM for the first quarter of 2017 increased 12% as compared to average AUM in the first quarter of 2016 and 3% as compared to the fourth quarter of 2016.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2"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ind w:right="220"/>
        <w:spacing w:after="0" w:line="271" w:lineRule="auto"/>
        <w:rPr>
          <w:sz w:val="20"/>
          <w:szCs w:val="20"/>
          <w:color w:val="auto"/>
        </w:rPr>
      </w:pPr>
      <w:r>
        <w:rPr>
          <w:rFonts w:ascii="Arial" w:cs="Arial" w:eastAsia="Arial" w:hAnsi="Arial"/>
          <w:sz w:val="17"/>
          <w:szCs w:val="17"/>
          <w:color w:val="auto"/>
        </w:rPr>
        <w:t>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7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Although Corporate segment net revenue during 2017 is not significant compared to Lazard’s net revenue, total assets in the Corporate segment represented 68% of Lazard’s consolidated total assets as of March 31, 2017, which are attributable to cash and cash equivalents, investments in debt and equity securities, interests in alternative investment, debt, equity and private equity funds, deferred tax assets and certain assets associated with LFB. LFB, as a registered bank, is engaged primarily in commercial and private banking services for clients and funds managed by LFG and other clients, and asset-liability management.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220"/>
        <w:spacing w:after="0" w:line="277" w:lineRule="auto"/>
        <w:rPr>
          <w:sz w:val="20"/>
          <w:szCs w:val="20"/>
          <w:color w:val="auto"/>
        </w:rPr>
      </w:pPr>
      <w:r>
        <w:rPr>
          <w:rFonts w:ascii="Arial" w:cs="Arial" w:eastAsia="Arial" w:hAnsi="Arial"/>
          <w:sz w:val="18"/>
          <w:szCs w:val="18"/>
          <w:color w:val="auto"/>
        </w:rPr>
        <w:t>“Awarded compensation and benefits expense” for a given year is calculated using “adjusted compensation and benefits expense,” also a non-U.S. GAAP measure, as modified by the following items:</w:t>
      </w:r>
    </w:p>
    <w:p>
      <w:pPr>
        <w:spacing w:after="0" w:line="62" w:lineRule="exact"/>
        <w:rPr>
          <w:sz w:val="20"/>
          <w:szCs w:val="20"/>
          <w:color w:val="auto"/>
        </w:rPr>
      </w:pPr>
    </w:p>
    <w:p>
      <w:pPr>
        <w:ind w:left="900" w:hanging="379"/>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180" w:hanging="386"/>
        <w:spacing w:after="0" w:line="264"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deferred incentive compensation awards granted in 2017 related to the 2016 year-end compensation process), including Performance-based restricted stock unit (“PRSU”) awards (based on the target payout level);</w:t>
      </w:r>
    </w:p>
    <w:p>
      <w:pPr>
        <w:spacing w:after="0" w:line="73" w:lineRule="exact"/>
        <w:rPr>
          <w:rFonts w:ascii="Arial" w:cs="Arial" w:eastAsia="Arial" w:hAnsi="Arial"/>
          <w:sz w:val="18"/>
          <w:szCs w:val="18"/>
          <w:color w:val="auto"/>
        </w:rPr>
      </w:pPr>
    </w:p>
    <w:p>
      <w:pPr>
        <w:ind w:left="1420" w:right="360" w:hanging="386"/>
        <w:spacing w:after="0" w:line="27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mid-to-high-50s percentage range, which compares to 55.8% and 56.5%, respectively, for the year ended December 31, 2016.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achieving this goal.</w:t>
      </w:r>
    </w:p>
    <w:p>
      <w:pPr>
        <w:spacing w:after="0" w:line="182"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w:t>
      </w:r>
    </w:p>
    <w:p>
      <w:pPr>
        <w:spacing w:after="0" w:line="124"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We believe that “adjusted non-compensation expense,” a non-U.S. 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73"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See “Critical Accounting Policies and Estimates—Income Taxes” below and Notes 14 and 16 of Notes to Condensed Consolidated Financial Statements for additional information regarding income taxes and the tax receivable agreement obligation.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 period ended March 31, 2017 was negatively impacted in comparison to the prior year period. The majority of the negative impact was offset by the positive impact of the exchange rate movements on our operating expenses denominated in currencies other than the U.S. Dollar.</w:t>
      </w:r>
    </w:p>
    <w:p>
      <w:pPr>
        <w:spacing w:after="0" w:line="187"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64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623,464</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498,218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7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361,801</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107,892</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101,987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473,267</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399,841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150,197</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98,377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39,767</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110,430</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70,723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7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17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107,553</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66,823</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3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Net revenue</w:t>
            </w:r>
          </w:p>
        </w:tc>
        <w:tc>
          <w:tcPr>
            <w:tcW w:w="40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623,464</w:t>
            </w:r>
          </w:p>
        </w:tc>
        <w:tc>
          <w:tcPr>
            <w:tcW w:w="160" w:type="dxa"/>
            <w:vAlign w:val="bottom"/>
          </w:tcPr>
          <w:p>
            <w:pPr>
              <w:spacing w:after="0"/>
              <w:rPr>
                <w:sz w:val="19"/>
                <w:szCs w:val="19"/>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498,218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3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Interest expense (a)</w:t>
            </w:r>
          </w:p>
        </w:tc>
        <w:tc>
          <w:tcPr>
            <w:tcW w:w="3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related to noncontrolling interests (b)</w:t>
            </w:r>
          </w:p>
        </w:tc>
        <w:tc>
          <w:tcPr>
            <w:tcW w:w="3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(4,942)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(Gains) losses on investments pertaining to LFI (c)</w:t>
            </w:r>
          </w:p>
        </w:tc>
        <w:tc>
          <w:tcPr>
            <w:tcW w:w="3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30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624,434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506,066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80" w:type="dxa"/>
            <w:vAlign w:val="bottom"/>
            <w:vMerge w:val="restart"/>
          </w:tcPr>
          <w:p>
            <w:pPr>
              <w:jc w:val="right"/>
              <w:ind w:right="1970"/>
              <w:spacing w:after="0"/>
              <w:rPr>
                <w:sz w:val="20"/>
                <w:szCs w:val="20"/>
                <w:color w:val="auto"/>
              </w:rPr>
            </w:pPr>
            <w:r>
              <w:rPr>
                <w:rFonts w:ascii="Arial" w:cs="Arial" w:eastAsia="Arial" w:hAnsi="Arial"/>
                <w:sz w:val="18"/>
                <w:szCs w:val="18"/>
                <w:color w:val="auto"/>
              </w:rPr>
              <w:t>42</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44" w:name="page45"/>
    <w:bookmarkEnd w:id="44"/>
    <w:p>
      <w:pPr>
        <w:ind w:left="380" w:right="60" w:hanging="372"/>
        <w:spacing w:after="0" w:line="27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9040" cy="8890"/>
                    </a:xfrm>
                    <a:prstGeom prst="rect">
                      <a:avLst/>
                    </a:prstGeom>
                    <a:noFill/>
                  </pic:spPr>
                </pic:pic>
              </a:graphicData>
            </a:graphic>
          </wp:anchor>
        </w:drawing>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62" w:lineRule="exact"/>
        <w:rPr>
          <w:rFonts w:ascii="Arial" w:cs="Arial" w:eastAsia="Arial" w:hAnsi="Arial"/>
          <w:sz w:val="18"/>
          <w:szCs w:val="18"/>
          <w:color w:val="auto"/>
        </w:rPr>
      </w:pPr>
    </w:p>
    <w:p>
      <w:pPr>
        <w:ind w:left="380" w:right="240" w:hanging="372"/>
        <w:spacing w:after="0" w:line="27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spacing w:after="0" w:line="62" w:lineRule="exact"/>
        <w:rPr>
          <w:rFonts w:ascii="Arial" w:cs="Arial" w:eastAsia="Arial" w:hAnsi="Arial"/>
          <w:sz w:val="18"/>
          <w:szCs w:val="18"/>
          <w:color w:val="auto"/>
        </w:rPr>
      </w:pPr>
    </w:p>
    <w:p>
      <w:pPr>
        <w:ind w:left="380" w:right="480" w:hanging="372"/>
        <w:spacing w:after="0" w:line="27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1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361,801</w:t>
            </w:r>
          </w:p>
        </w:tc>
        <w:tc>
          <w:tcPr>
            <w:tcW w:w="36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297,210</w:t>
            </w:r>
          </w:p>
        </w:tc>
        <w:tc>
          <w:tcPr>
            <w:tcW w:w="180" w:type="dxa"/>
            <w:vAlign w:val="bottom"/>
          </w:tcPr>
          <w:p>
            <w:pPr>
              <w:spacing w:after="0"/>
              <w:rPr>
                <w:sz w:val="19"/>
                <w:szCs w:val="19"/>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(1,643)</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(1,752)</w:t>
            </w:r>
          </w:p>
        </w:tc>
      </w:tr>
      <w:tr>
        <w:trPr>
          <w:trHeight w:val="230"/>
        </w:trPr>
        <w:tc>
          <w:tcPr>
            <w:tcW w:w="6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(7,353)</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180" w:type="dxa"/>
            <w:vAlign w:val="bottom"/>
            <w:shd w:val="clear" w:color="auto" w:fill="CFF0FC"/>
          </w:tcPr>
          <w:p>
            <w:pPr>
              <w:spacing w:after="0"/>
              <w:rPr>
                <w:sz w:val="19"/>
                <w:szCs w:val="19"/>
                <w:color w:val="auto"/>
              </w:rPr>
            </w:pPr>
          </w:p>
        </w:tc>
      </w:tr>
      <w:tr>
        <w:trPr>
          <w:trHeight w:val="263"/>
        </w:trPr>
        <w:tc>
          <w:tcPr>
            <w:tcW w:w="6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12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352,805</w:t>
            </w:r>
          </w:p>
        </w:tc>
        <w:tc>
          <w:tcPr>
            <w:tcW w:w="36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297,972</w:t>
            </w:r>
          </w:p>
        </w:tc>
        <w:tc>
          <w:tcPr>
            <w:tcW w:w="180" w:type="dxa"/>
            <w:vAlign w:val="bottom"/>
            <w:tcBorders>
              <w:bottom w:val="single" w:sz="8" w:color="CFF0FC"/>
            </w:tcBorders>
          </w:tcPr>
          <w:p>
            <w:pPr>
              <w:spacing w:after="0"/>
              <w:rPr>
                <w:sz w:val="22"/>
                <w:szCs w:val="22"/>
                <w:color w:val="auto"/>
              </w:rPr>
            </w:pPr>
          </w:p>
        </w:tc>
      </w:tr>
      <w:tr>
        <w:trPr>
          <w:trHeight w:val="21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56.5%</w:t>
            </w: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58.9%</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46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13"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130" w:lineRule="exact"/>
        <w:rPr>
          <w:rFonts w:ascii="Arial" w:cs="Arial" w:eastAsia="Arial" w:hAnsi="Arial"/>
          <w:sz w:val="18"/>
          <w:szCs w:val="18"/>
          <w:color w:val="auto"/>
        </w:rPr>
      </w:pPr>
    </w:p>
    <w:p>
      <w:pPr>
        <w:ind w:left="380" w:right="20" w:hanging="372"/>
        <w:spacing w:after="0" w:line="27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24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107,892</w:t>
            </w:r>
          </w:p>
        </w:tc>
        <w:tc>
          <w:tcPr>
            <w:tcW w:w="36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101,987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(422)</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107,470</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101,589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1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3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gridSpan w:val="3"/>
          </w:tcPr>
          <w:p>
            <w:pPr>
              <w:jc w:val="center"/>
              <w:ind w:left="538"/>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33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624,434</w:t>
            </w:r>
          </w:p>
        </w:tc>
        <w:tc>
          <w:tcPr>
            <w:tcW w:w="36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506,066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(352,805)</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(297,972)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(107,470)</w:t>
            </w: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29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164,159</w:t>
            </w:r>
          </w:p>
        </w:tc>
        <w:tc>
          <w:tcPr>
            <w:tcW w:w="36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106,505</w:t>
            </w:r>
          </w:p>
        </w:tc>
        <w:tc>
          <w:tcPr>
            <w:tcW w:w="1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26.3%</w:t>
            </w: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2980" w:type="dxa"/>
            <w:vAlign w:val="bottom"/>
            <w:tcBorders>
              <w:top w:val="single" w:sz="8" w:color="CFF0FC"/>
              <w:bottom w:val="single" w:sz="8" w:color="CFF0FC"/>
            </w:tcBorders>
            <w:vMerge w:val="restart"/>
          </w:tcPr>
          <w:p>
            <w:pPr>
              <w:jc w:val="right"/>
              <w:ind w:right="1870"/>
              <w:spacing w:after="0"/>
              <w:rPr>
                <w:sz w:val="20"/>
                <w:szCs w:val="20"/>
                <w:color w:val="auto"/>
              </w:rPr>
            </w:pPr>
            <w:r>
              <w:rPr>
                <w:rFonts w:ascii="Arial" w:cs="Arial" w:eastAsia="Arial" w:hAnsi="Arial"/>
                <w:sz w:val="18"/>
                <w:szCs w:val="18"/>
                <w:color w:val="auto"/>
              </w:rPr>
              <w:t>43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0" w:right="219" w:bottom="1440" w:gutter="0" w:footer="0" w:header="0"/>
        </w:sectPr>
      </w:pPr>
    </w:p>
    <w:bookmarkStart w:id="45" w:name="page46"/>
    <w:bookmarkEnd w:id="45"/>
    <w:p>
      <w:pPr>
        <w:ind w:left="520"/>
        <w:spacing w:after="0"/>
        <w:rPr>
          <w:sz w:val="20"/>
          <w:szCs w:val="20"/>
          <w:color w:val="auto"/>
        </w:rPr>
      </w:pPr>
      <w:r>
        <w:rPr>
          <w:rFonts w:ascii="Arial" w:cs="Arial" w:eastAsia="Arial" w:hAnsi="Arial"/>
          <w:sz w:val="18"/>
          <w:szCs w:val="18"/>
          <w:color w:val="auto"/>
        </w:rPr>
        <w:t>Headcount information is set forth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6780" w:type="dxa"/>
            <w:vAlign w:val="bottom"/>
          </w:tcPr>
          <w:p>
            <w:pPr>
              <w:spacing w:after="0"/>
              <w:rPr>
                <w:sz w:val="11"/>
                <w:szCs w:val="11"/>
                <w:color w:val="auto"/>
              </w:rPr>
            </w:pPr>
          </w:p>
        </w:tc>
        <w:tc>
          <w:tcPr>
            <w:tcW w:w="1600" w:type="dxa"/>
            <w:vAlign w:val="bottom"/>
            <w:gridSpan w:val="2"/>
          </w:tcPr>
          <w:p>
            <w:pPr>
              <w:ind w:left="360"/>
              <w:spacing w:after="0" w:line="133" w:lineRule="exact"/>
              <w:rPr>
                <w:sz w:val="20"/>
                <w:szCs w:val="20"/>
                <w:color w:val="auto"/>
              </w:rPr>
            </w:pPr>
            <w:r>
              <w:rPr>
                <w:rFonts w:ascii="Arial" w:cs="Arial" w:eastAsia="Arial" w:hAnsi="Arial"/>
                <w:sz w:val="14"/>
                <w:szCs w:val="14"/>
                <w:b w:val="1"/>
                <w:bCs w:val="1"/>
                <w:color w:val="auto"/>
              </w:rPr>
              <w:t>March 31,</w:t>
            </w:r>
          </w:p>
        </w:tc>
        <w:tc>
          <w:tcPr>
            <w:tcW w:w="16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34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r>
      <w:tr>
        <w:trPr>
          <w:trHeight w:val="171"/>
        </w:trPr>
        <w:tc>
          <w:tcPr>
            <w:tcW w:w="678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134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1340" w:type="dxa"/>
            <w:vAlign w:val="bottom"/>
          </w:tcPr>
          <w:p>
            <w:pPr>
              <w:jc w:val="right"/>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1340" w:type="dxa"/>
            <w:vAlign w:val="bottom"/>
          </w:tcPr>
          <w:p>
            <w:pPr>
              <w:jc w:val="right"/>
              <w:spacing w:after="0"/>
              <w:rPr>
                <w:sz w:val="20"/>
                <w:szCs w:val="20"/>
                <w:color w:val="auto"/>
              </w:rPr>
            </w:pPr>
            <w:r>
              <w:rPr>
                <w:rFonts w:ascii="Arial" w:cs="Arial" w:eastAsia="Arial" w:hAnsi="Arial"/>
                <w:sz w:val="18"/>
                <w:szCs w:val="18"/>
                <w:color w:val="auto"/>
              </w:rPr>
              <w:t>1,273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2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2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22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versus March 31, 2016</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Company reported net income attributable to Lazard Ltd of $108 million, as compared to net income of $67 million in the 2016 period. The changes in the Company’s operating results during these periods are described below.</w:t>
      </w:r>
    </w:p>
    <w:p>
      <w:pPr>
        <w:spacing w:after="0" w:line="17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Net revenue increased $125 million, or 25%, with operating revenue increasing $118 million, or 23%, as compared to the 2016 period. Fee revenue from investment banking and other advisory activities increased $70 million, or 26%, as compared to the 2016 period, due to an increase in Restructuring and M&amp;A and Strategic Advisory revenue. Asset management fees, including incentive fees, increased $39 million, or 17%, as compared to the 2016 period, primarily due to an increase in average AUM. In the aggregate, interest income, other revenue and interest expense increased $16 million as compared to the 2016 period, primarily due to gains in the 2017 period attributable to investments held in connection with LFI.</w:t>
      </w:r>
    </w:p>
    <w:p>
      <w:pPr>
        <w:spacing w:after="0" w:line="173"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Compensation and benefits expense increased $65 million, or 22%, as compared to the 2016 period, primarily due to an increase in discretionary compensation associated with increased operating revenue and an increase in charges pertaining to LFI.</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$353 million, an increase of $55 million, or 18%, as compared to $298 million in the 2016 period. The ratio of adjusted compensation and benefits expense to operating revenue was 56.5% for the 2017 period, as compared to 58.9% for the 2016 period and 56.5% for full-year 2016.</w:t>
      </w:r>
    </w:p>
    <w:p>
      <w:pPr>
        <w:spacing w:after="0" w:line="18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Non-compensation expense increased $6 million, or 6%, as compared to the 2016 period. Adjusted non-compensation expense, which excludes non-compensation costs relating to noncontrolling interests, increased $6 million, or 6%, as compared to the 2016 period. The ratio of adjusted non-compensation expense to operating revenue was 17.2% for the 2017 period, as compared to 20.1% in the 2016 period.</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Amortization and other acquisition-related costs increased $3 million as compared to the 2016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$52 million, or 53%, as compared to the 2016 period.</w:t>
      </w:r>
    </w:p>
    <w:p>
      <w:pPr>
        <w:spacing w:after="0" w:line="225"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Earnings from operations increased $58 million, or 54%, as compared to the 2016 period, and, as a percentage of operating revenue, was 26.3%, as compared to 21.0% in the 2016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6" w:name="page47"/>
    <w:bookmarkEnd w:id="46"/>
    <w:p>
      <w:pPr>
        <w:ind w:right="200" w:firstLine="518"/>
        <w:spacing w:after="0" w:line="264" w:lineRule="auto"/>
        <w:rPr>
          <w:sz w:val="20"/>
          <w:szCs w:val="20"/>
          <w:color w:val="auto"/>
        </w:rPr>
      </w:pPr>
      <w:r>
        <w:rPr>
          <w:rFonts w:ascii="Arial" w:cs="Arial" w:eastAsia="Arial" w:hAnsi="Arial"/>
          <w:sz w:val="18"/>
          <w:szCs w:val="18"/>
          <w:color w:val="auto"/>
        </w:rPr>
        <w:t>The provision for income taxes reflects an effective tax rate of 26.5%, as compared to 28.1% for the 2016 period. The effective tax rate decreased primarily due to the Company’s adoption of new accounting guidance on share-based incentive compensation and reflects the change in the geographic mix of earnings. See Notes 2 and 14 of Notes to Condensed Consolidated Financial Statements.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decreased $1 million, or 26%, as compared to the 2016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2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20" w:firstLine="8"/>
        <w:spacing w:after="0" w:line="271" w:lineRule="auto"/>
        <w:tabs>
          <w:tab w:leader="none" w:pos="265"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65"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Effective January 1, 2017, the Company’s reporting by geographic region was transitioned from the Company’s previously disclosed North America, Europe and rest of the world regions to the Americas; Europe, Middle East and Africa (“EMEA”); and Asia Pacific. Comparable prior year information has been recast to reflect our revised geographic presentation.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Revenue</w:t>
            </w:r>
          </w:p>
        </w:tc>
        <w:tc>
          <w:tcPr>
            <w:tcW w:w="3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335,812</w:t>
            </w:r>
          </w:p>
        </w:tc>
        <w:tc>
          <w:tcPr>
            <w:tcW w:w="360" w:type="dxa"/>
            <w:vAlign w:val="bottom"/>
          </w:tcPr>
          <w:p>
            <w:pPr>
              <w:spacing w:after="0"/>
              <w:rPr>
                <w:sz w:val="20"/>
                <w:szCs w:val="20"/>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266,014</w:t>
            </w:r>
          </w:p>
        </w:tc>
        <w:tc>
          <w:tcPr>
            <w:tcW w:w="180" w:type="dxa"/>
            <w:vAlign w:val="bottom"/>
          </w:tcPr>
          <w:p>
            <w:pPr>
              <w:spacing w:after="0"/>
              <w:rPr>
                <w:sz w:val="20"/>
                <w:szCs w:val="20"/>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262,751</w:t>
            </w:r>
          </w:p>
        </w:tc>
        <w:tc>
          <w:tcPr>
            <w:tcW w:w="3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227,078</w:t>
            </w:r>
          </w:p>
        </w:tc>
        <w:tc>
          <w:tcPr>
            <w:tcW w:w="180" w:type="dxa"/>
            <w:vAlign w:val="bottom"/>
            <w:shd w:val="clear" w:color="auto" w:fill="CFF0FC"/>
          </w:tcPr>
          <w:p>
            <w:pPr>
              <w:spacing w:after="0"/>
              <w:rPr>
                <w:sz w:val="19"/>
                <w:szCs w:val="19"/>
                <w:color w:val="auto"/>
              </w:rPr>
            </w:pPr>
          </w:p>
        </w:tc>
      </w:tr>
      <w:tr>
        <w:trPr>
          <w:trHeight w:val="26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w:t>
            </w:r>
          </w:p>
        </w:tc>
        <w:tc>
          <w:tcPr>
            <w:tcW w:w="240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73,061</w:t>
            </w:r>
          </w:p>
        </w:tc>
        <w:tc>
          <w:tcPr>
            <w:tcW w:w="36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38,936</w:t>
            </w:r>
          </w:p>
        </w:tc>
        <w:tc>
          <w:tcPr>
            <w:tcW w:w="180" w:type="dxa"/>
            <w:vAlign w:val="bottom"/>
            <w:tcBorders>
              <w:bottom w:val="single" w:sz="8" w:color="CFF0FC"/>
            </w:tcBorders>
          </w:tcPr>
          <w:p>
            <w:pPr>
              <w:spacing w:after="0"/>
              <w:rPr>
                <w:sz w:val="22"/>
                <w:szCs w:val="22"/>
                <w:color w:val="auto"/>
              </w:rPr>
            </w:pPr>
          </w:p>
        </w:tc>
      </w:tr>
      <w:tr>
        <w:trPr>
          <w:trHeight w:val="21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as a % of net revenue</w:t>
            </w:r>
          </w:p>
        </w:tc>
        <w:tc>
          <w:tcPr>
            <w:tcW w:w="2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21.8%</w:t>
            </w: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Lazard fee and transaction statistics for the Financial Advisory segment are set forth below:</w:t>
      </w:r>
    </w:p>
    <w:p>
      <w:pPr>
        <w:spacing w:after="0" w:line="298"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ind w:left="640"/>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Number of clients with fees greater than $1 million:</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Financial Advisory</w:t>
            </w:r>
          </w:p>
        </w:tc>
        <w:tc>
          <w:tcPr>
            <w:tcW w:w="4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79"/>
              </w:rPr>
              <w:t>65</w:t>
            </w: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ind w:left="1380"/>
              <w:spacing w:after="0"/>
              <w:rPr>
                <w:sz w:val="20"/>
                <w:szCs w:val="20"/>
                <w:color w:val="auto"/>
              </w:rPr>
            </w:pPr>
            <w:r>
              <w:rPr>
                <w:rFonts w:ascii="Arial" w:cs="Arial" w:eastAsia="Arial" w:hAnsi="Arial"/>
                <w:sz w:val="18"/>
                <w:szCs w:val="18"/>
                <w:color w:val="auto"/>
                <w:w w:val="79"/>
              </w:rPr>
              <w:t>66</w:t>
            </w:r>
          </w:p>
        </w:tc>
        <w:tc>
          <w:tcPr>
            <w:tcW w:w="18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ind w:left="260"/>
              <w:spacing w:after="0"/>
              <w:rPr>
                <w:sz w:val="20"/>
                <w:szCs w:val="20"/>
                <w:color w:val="auto"/>
              </w:rPr>
            </w:pPr>
            <w:r>
              <w:rPr>
                <w:rFonts w:ascii="Arial" w:cs="Arial" w:eastAsia="Arial" w:hAnsi="Arial"/>
                <w:sz w:val="18"/>
                <w:szCs w:val="18"/>
                <w:color w:val="auto"/>
              </w:rPr>
              <w:t>M&amp;A and Strategic Advisory</w:t>
            </w:r>
          </w:p>
        </w:tc>
        <w:tc>
          <w:tcPr>
            <w:tcW w:w="420" w:type="dxa"/>
            <w:vAlign w:val="bottom"/>
          </w:tcPr>
          <w:p>
            <w:pPr>
              <w:ind w:left="240"/>
              <w:spacing w:after="0"/>
              <w:rPr>
                <w:sz w:val="20"/>
                <w:szCs w:val="20"/>
                <w:color w:val="auto"/>
              </w:rPr>
            </w:pPr>
            <w:r>
              <w:rPr>
                <w:rFonts w:ascii="Arial" w:cs="Arial" w:eastAsia="Arial" w:hAnsi="Arial"/>
                <w:sz w:val="18"/>
                <w:szCs w:val="18"/>
                <w:color w:val="auto"/>
                <w:w w:val="79"/>
              </w:rPr>
              <w:t>55</w:t>
            </w:r>
          </w:p>
        </w:tc>
        <w:tc>
          <w:tcPr>
            <w:tcW w:w="360" w:type="dxa"/>
            <w:vAlign w:val="bottom"/>
          </w:tcPr>
          <w:p>
            <w:pPr>
              <w:spacing w:after="0"/>
              <w:rPr>
                <w:sz w:val="19"/>
                <w:szCs w:val="19"/>
                <w:color w:val="auto"/>
              </w:rPr>
            </w:pPr>
          </w:p>
        </w:tc>
        <w:tc>
          <w:tcPr>
            <w:tcW w:w="1560" w:type="dxa"/>
            <w:vAlign w:val="bottom"/>
          </w:tcPr>
          <w:p>
            <w:pPr>
              <w:ind w:left="1380"/>
              <w:spacing w:after="0"/>
              <w:rPr>
                <w:sz w:val="20"/>
                <w:szCs w:val="20"/>
                <w:color w:val="auto"/>
              </w:rPr>
            </w:pPr>
            <w:r>
              <w:rPr>
                <w:rFonts w:ascii="Arial" w:cs="Arial" w:eastAsia="Arial" w:hAnsi="Arial"/>
                <w:sz w:val="18"/>
                <w:szCs w:val="18"/>
                <w:color w:val="auto"/>
                <w:w w:val="79"/>
              </w:rPr>
              <w:t>60</w:t>
            </w:r>
          </w:p>
        </w:tc>
        <w:tc>
          <w:tcPr>
            <w:tcW w:w="18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46%</w:t>
            </w:r>
          </w:p>
        </w:tc>
        <w:tc>
          <w:tcPr>
            <w:tcW w:w="1740" w:type="dxa"/>
            <w:vAlign w:val="bottom"/>
            <w:gridSpan w:val="2"/>
            <w:shd w:val="clear" w:color="auto" w:fill="CFF0FC"/>
          </w:tcPr>
          <w:p>
            <w:pPr>
              <w:ind w:left="1380"/>
              <w:spacing w:after="0"/>
              <w:rPr>
                <w:sz w:val="20"/>
                <w:szCs w:val="20"/>
                <w:color w:val="auto"/>
              </w:rPr>
            </w:pPr>
            <w:r>
              <w:rPr>
                <w:rFonts w:ascii="Arial" w:cs="Arial" w:eastAsia="Arial" w:hAnsi="Arial"/>
                <w:sz w:val="18"/>
                <w:szCs w:val="18"/>
                <w:color w:val="auto"/>
                <w:w w:val="94"/>
              </w:rPr>
              <w:t>35%</w:t>
            </w: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420" w:type="dxa"/>
            <w:vAlign w:val="bottom"/>
          </w:tcPr>
          <w:p>
            <w:pPr>
              <w:ind w:left="240"/>
              <w:spacing w:after="0"/>
              <w:rPr>
                <w:sz w:val="20"/>
                <w:szCs w:val="20"/>
                <w:color w:val="auto"/>
              </w:rPr>
            </w:pPr>
            <w:r>
              <w:rPr>
                <w:rFonts w:ascii="Arial" w:cs="Arial" w:eastAsia="Arial" w:hAnsi="Arial"/>
                <w:sz w:val="18"/>
                <w:szCs w:val="18"/>
                <w:color w:val="auto"/>
                <w:w w:val="79"/>
              </w:rPr>
              <w:t>24</w:t>
            </w:r>
          </w:p>
        </w:tc>
        <w:tc>
          <w:tcPr>
            <w:tcW w:w="360" w:type="dxa"/>
            <w:vAlign w:val="bottom"/>
          </w:tcPr>
          <w:p>
            <w:pPr>
              <w:spacing w:after="0"/>
              <w:rPr>
                <w:sz w:val="20"/>
                <w:szCs w:val="20"/>
                <w:color w:val="auto"/>
              </w:rPr>
            </w:pPr>
          </w:p>
        </w:tc>
        <w:tc>
          <w:tcPr>
            <w:tcW w:w="1560" w:type="dxa"/>
            <w:vAlign w:val="bottom"/>
          </w:tcPr>
          <w:p>
            <w:pPr>
              <w:ind w:left="1380"/>
              <w:spacing w:after="0"/>
              <w:rPr>
                <w:sz w:val="20"/>
                <w:szCs w:val="20"/>
                <w:color w:val="auto"/>
              </w:rPr>
            </w:pPr>
            <w:r>
              <w:rPr>
                <w:rFonts w:ascii="Arial" w:cs="Arial" w:eastAsia="Arial" w:hAnsi="Arial"/>
                <w:sz w:val="18"/>
                <w:szCs w:val="18"/>
                <w:color w:val="auto"/>
                <w:w w:val="79"/>
              </w:rPr>
              <w:t>19</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2090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April 5,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right="40" w:firstLine="518"/>
        <w:spacing w:after="0" w:line="312"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Italy, Spain and Germany) and the Asia Pacific region (primarily in Australia) and therefore may not be reflective of the geography in which the clients are located.</w:t>
      </w:r>
    </w:p>
    <w:p>
      <w:pPr>
        <w:spacing w:after="0" w:line="21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EMEA</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77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versus March 31, 2016</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Financial Advisory net revenue increased $70 million, or 26%, as compared to the 2016 period. M&amp;A and Strategic Advisory net revenue was $248 million, an increase of $25 million, or 11%, as compared to $223 million in the 2016 period. Restructuring revenue was $88 million, an increase of $45 million, or 105%, as compared to $43 million in the 2016 period. The increase in M&amp;A and Strategic Advisory revenue was primarily due to an increase in the average transaction fee with respect to completed transactions involving fees greater than $1 million as compared to the 2016 period. Clients which in the aggregate represented a significant portion of our M&amp;A and Strategic Advisory revenue in the 2017 period included Air Products, Harman, Sanofi and Värde Partners.</w:t>
      </w:r>
    </w:p>
    <w:p>
      <w:pPr>
        <w:spacing w:after="0" w:line="193"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Restructuring revenue in the 2017 period primarily reflected the closing of large assignments, including a continued high level of activity in the U.S energy sector. Clients which in the aggregate represented a significant portion of our Restructuring revenue in the 2017 period included Linn Energy, Peabody Energy, Shelf Drilling and Stone Energy.</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Operating expenses increased $36 million, or 16%, as compared to the 2016 period, primarily due to an increase in discretionary compensation and benefits expense associated with increased operating revenue.</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Financial Advisory operating income was $73 million, an increase of $34 million, or 88%, as compared to operating income of $39 million in the 2016 period and, as a percentage of net revenue, was 21.8%, as compared to 14.6% in the 2016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ind w:right="394"/>
              <w:spacing w:after="0" w:line="133"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46,563</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34,520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30,567</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38,390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59,506</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54,668</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178,979</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3,646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32,218</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31,155</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2,422</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215,178</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Total AUM at March 31, 2017 was $215 billion, an increase of $17 billion, or 9%, as compared to total AUM of $198 billion at December 31, 2016, primarily due to market and foreign exchange appreciation and net inflows. Average AUM for the first quarter of 2017 increased 12% as compared to the first quarter of 2016 and 3% as compared to the fourth quarter of 2016.</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 of March 31, 2017, approximately 88% of our AUM was managed on behalf of institutional clients, including corporations, labor unions, public pension funds, insurance companies and banks, and through sub-advisory relationships, mutual fund sponsors, broker-dealers and registered advisors, and approximately 12% of our AUM was managed on behalf of individual client relationships, which are principally with family offices and individuals, and was unchanged from the corresponding percentages at December 31, 2016.</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March 31, 2017, AUM with foreign currency exposure represented approximately 72% of our total AUM as compared to 70% at December 31, 2016.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changes in AUM by asset class for the three month periods ended March 31,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jc w:val="right"/>
              <w:ind w:right="350"/>
              <w:spacing w:after="0"/>
              <w:rPr>
                <w:sz w:val="20"/>
                <w:szCs w:val="20"/>
                <w:color w:val="auto"/>
              </w:rPr>
            </w:pPr>
            <w:r>
              <w:rPr>
                <w:rFonts w:ascii="Arial" w:cs="Arial" w:eastAsia="Arial" w:hAnsi="Arial"/>
                <w:sz w:val="14"/>
                <w:szCs w:val="14"/>
                <w:b w:val="1"/>
                <w:bCs w:val="1"/>
                <w:color w:val="auto"/>
              </w:rPr>
              <w:t>Three Months Ended March 31,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(8,296)</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260" w:hanging="372"/>
        <w:spacing w:after="0" w:line="259"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Multi-Regional, Global and Emerging Markets equity platforms, and inflows in the Fixed Income asset class were primarily attributable to the Emerging Markets and Multi-Regional platforms. Outflows in the Equity asset class were primarily attributable to the Multi-Regional, Global and Emerging Markets equity platforms, and outflows in the Fixed Income asset class were primarily attributable to the Multi-Regional and Emerging Markets platforms.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March 31, 2016</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(6,989)</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(118)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April 24, 2017, AUM was $219.3 billion, a $4.1 billion increase since March 31, 2017. The increase in AUM was due to market appreciation of $2.7 billion, foreign exchange appreciation of $1.4 billion and net inflows of $24 million.</w:t>
      </w:r>
    </w:p>
    <w:p>
      <w:pPr>
        <w:spacing w:after="0" w:line="17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Average AUM for the three month periods ended March 31, 2017 and 2016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5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Equity</w:t>
            </w:r>
          </w:p>
        </w:tc>
        <w:tc>
          <w:tcPr>
            <w:tcW w:w="37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170,863</w:t>
            </w:r>
          </w:p>
        </w:tc>
        <w:tc>
          <w:tcPr>
            <w:tcW w:w="86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149,969</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30,253</w:t>
            </w: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7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FF0FC"/>
            </w:tcBorders>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7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206,429</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184,801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34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283,363</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245,759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188,751</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94,612</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70,598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EMEA</w:t>
            </w: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5620"/>
              <w:spacing w:after="0"/>
              <w:rPr>
                <w:sz w:val="20"/>
                <w:szCs w:val="20"/>
                <w:color w:val="auto"/>
              </w:rPr>
            </w:pPr>
            <w:r>
              <w:rPr>
                <w:rFonts w:ascii="Arial" w:cs="Arial" w:eastAsia="Arial" w:hAnsi="Arial"/>
                <w:sz w:val="18"/>
                <w:szCs w:val="18"/>
                <w:color w:val="auto"/>
              </w:rPr>
              <w:t>48</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50" w:name="page51"/>
    <w:bookmarkEnd w:id="50"/>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versus March 31, 2016</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Asset Management net revenue increased $38 million, or 15%, as compared to the 2016 period. Management fees and other revenue was $276 million, an increase of $32 million, or 13%, as compared to $244 million in the 2016 period, primarily due to an increase in average AUM. Incentive fees were $7 million, an increase of $5 million as compared to $2 million in the 2016 period.</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Operating expenses increased $14 million, or 8%, as compared to the 2016 period, primarily due to increases in compensation and benefits expense related to an increase in discretionary compensation associated with increased operating revenue.</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Asset Management operating income was $95 million, an increase of $24 million, or 34%, as compared to operating income of $71 million in the 2016 period and, as a percentage of net revenue, was 33.4%, as compared to 28.7% in the 2016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86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2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(13,456)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(11,869)</w:t>
            </w:r>
          </w:p>
        </w:tc>
      </w:tr>
      <w:tr>
        <w:trPr>
          <w:trHeight w:val="223"/>
        </w:trPr>
        <w:tc>
          <w:tcPr>
            <w:tcW w:w="4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9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(12,692)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Other Revenue (Expense)</w:t>
            </w:r>
          </w:p>
        </w:tc>
        <w:tc>
          <w:tcPr>
            <w:tcW w:w="2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(2,518)</w:t>
            </w:r>
          </w:p>
        </w:tc>
      </w:tr>
      <w:tr>
        <w:trPr>
          <w:trHeight w:val="223"/>
        </w:trPr>
        <w:tc>
          <w:tcPr>
            <w:tcW w:w="4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9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Operating Expenses (Credit)</w:t>
            </w:r>
          </w:p>
        </w:tc>
        <w:tc>
          <w:tcPr>
            <w:tcW w:w="2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(2,398)</w:t>
            </w: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9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(17,476)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versus March 31,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$2 million, or 15%, as compared to the 2016 period.</w:t>
      </w:r>
    </w:p>
    <w:p>
      <w:pPr>
        <w:spacing w:after="0" w:line="225"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Other revenue increased $19 million as compared to the 2016 period, primarily due to gains in the 2017 period attributable to investments held in connection with LFI.</w:t>
      </w:r>
    </w:p>
    <w:p>
      <w:pPr>
        <w:spacing w:after="0" w:line="170"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Operating expenses increased $24 million as compared to the 2016 period, primarily due to an increase in compensation and benefits expense, including an increase in charges pertaining to LFI.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M&amp;A and Strategic Advisory and Asset Management fees are generally collected within 60 days of billing, while Restructuring fee collections may extend beyond 60 days, particularly those that involve bankruptcies with court-ordered holdbacks. Fees from our Private Capital Advisory (which we historically referred to as Private Fund Advisory) activities are generally collected over a four-year period from billing and typically include an interest component.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1" w:name="page52"/>
    <w:bookmarkEnd w:id="51"/>
    <w:p>
      <w:pPr>
        <w:ind w:right="480" w:firstLine="518"/>
        <w:spacing w:after="0" w:line="308" w:lineRule="auto"/>
        <w:rPr>
          <w:sz w:val="20"/>
          <w:szCs w:val="20"/>
          <w:color w:val="auto"/>
        </w:rPr>
      </w:pPr>
      <w:r>
        <w:rPr>
          <w:rFonts w:ascii="Arial" w:cs="Arial" w:eastAsia="Arial" w:hAnsi="Arial"/>
          <w:sz w:val="17"/>
          <w:szCs w:val="17"/>
          <w:color w:val="auto"/>
        </w:rPr>
        <w:t>The Company makes cash payments for, or in respect of, a significant portion of its incentive compensation during the first three months of each calendar year with respect to the prior year’s results. The Company also paid a special dividend in February 2017 and February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40" w:type="dxa"/>
            <w:vAlign w:val="bottom"/>
            <w:gridSpan w:val="8"/>
          </w:tcPr>
          <w:p>
            <w:pPr>
              <w:jc w:val="center"/>
              <w:ind w:right="13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20" w:type="dxa"/>
            <w:vAlign w:val="bottom"/>
            <w:gridSpan w:val="7"/>
          </w:tcPr>
          <w:p>
            <w:pPr>
              <w:jc w:val="center"/>
              <w:ind w:right="122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121.6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tcBorders>
              <w:right w:val="single" w:sz="8" w:color="CFF0FC"/>
            </w:tcBorders>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(137.6)</w:t>
            </w: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gridSpan w:val="3"/>
            <w:vMerge w:val="continue"/>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1"/>
              </w:rPr>
              <w:t>94.4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6960" w:type="dxa"/>
            <w:vAlign w:val="bottom"/>
            <w:gridSpan w:val="3"/>
            <w:vMerge w:val="restart"/>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gridSpan w:val="3"/>
            <w:vMerge w:val="continue"/>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Financing activities (c)</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(370.0)</w:t>
            </w:r>
          </w:p>
        </w:tc>
        <w:tc>
          <w:tcPr>
            <w:tcW w:w="14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1"/>
              </w:rPr>
              <w:t>12.0</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(267.3)</w:t>
            </w:r>
          </w:p>
        </w:tc>
        <w:tc>
          <w:tcPr>
            <w:tcW w:w="140" w:type="dxa"/>
            <w:vAlign w:val="bottom"/>
          </w:tcPr>
          <w:p>
            <w:pPr>
              <w:spacing w:after="0"/>
              <w:rPr>
                <w:sz w:val="19"/>
                <w:szCs w:val="19"/>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1,158.8</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1,132.1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891.5</w:t>
            </w:r>
          </w:p>
        </w:tc>
        <w:tc>
          <w:tcPr>
            <w:tcW w:w="280" w:type="dxa"/>
            <w:vAlign w:val="bottom"/>
            <w:tcBorders>
              <w:bottom w:val="single" w:sz="8" w:color="CFF0FC"/>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701.3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960" w:type="dxa"/>
            <w:vAlign w:val="bottom"/>
            <w:gridSpan w:val="3"/>
          </w:tcPr>
          <w:p>
            <w:pPr>
              <w:spacing w:after="0"/>
              <w:rPr>
                <w:sz w:val="20"/>
                <w:szCs w:val="20"/>
                <w:color w:val="auto"/>
              </w:rPr>
            </w:pPr>
            <w:r>
              <w:rPr>
                <w:rFonts w:ascii="Arial" w:cs="Arial" w:eastAsia="Arial" w:hAnsi="Arial"/>
                <w:sz w:val="18"/>
                <w:szCs w:val="18"/>
                <w:color w:val="auto"/>
              </w:rPr>
              <w:t>(a)  Consists of the following: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5"/>
          </w:tcPr>
          <w:p>
            <w:pPr>
              <w:jc w:val="center"/>
              <w:ind w:left="356"/>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left="496"/>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4"/>
          </w:tcPr>
          <w:p>
            <w:pPr>
              <w:jc w:val="center"/>
              <w:ind w:left="476"/>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9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of deferred expenses and stock units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provision (benefit)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Amortization and other acquisition-related costs</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17" w:lineRule="exact"/>
        <w:rPr>
          <w:rFonts w:ascii="Arial" w:cs="Arial" w:eastAsia="Arial" w:hAnsi="Arial"/>
          <w:sz w:val="18"/>
          <w:szCs w:val="18"/>
          <w:color w:val="auto"/>
        </w:rPr>
      </w:pPr>
    </w:p>
    <w:p>
      <w:pPr>
        <w:ind w:left="380" w:right="80" w:hanging="372"/>
        <w:spacing w:after="0" w:line="308"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Consists primarily of purchases of shares of Class A common stock, tax withholdings related to the settlement of vested restricted stock units (“RSUs”), vested restricted stock awards and vested PRSUs, Class A common stock dividends and distributions to noncontrolling interest 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ind w:right="100" w:firstLine="518"/>
        <w:spacing w:after="0" w:line="273"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or in “investments” for interest-bearing deposits having original maturities of greater than three months. In the three month period ended March 31, 2017, as reflected on the condensed consolidated statements of financial condition, both “deposits with banks and short-term investments” and “deposits and other customer payables” increased as compared to December 31, 2016, due to a higher level of LFB customer-related demand deposits, primarily from clients and funds managed by LFG.</w:t>
      </w:r>
    </w:p>
    <w:p>
      <w:pPr>
        <w:spacing w:after="0" w:line="178"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140" w:firstLine="518"/>
        <w:spacing w:after="0" w:line="288"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March 31, 2017, Lazard had approximately $891 million of cash, with such amount including approximately</w:t>
      </w:r>
    </w:p>
    <w:p>
      <w:pPr>
        <w:ind w:right="120"/>
        <w:spacing w:after="0" w:line="255" w:lineRule="auto"/>
        <w:rPr>
          <w:sz w:val="20"/>
          <w:szCs w:val="20"/>
          <w:color w:val="auto"/>
        </w:rPr>
      </w:pPr>
      <w:r>
        <w:rPr>
          <w:rFonts w:ascii="Arial" w:cs="Arial" w:eastAsia="Arial" w:hAnsi="Arial"/>
          <w:sz w:val="18"/>
          <w:szCs w:val="18"/>
          <w:color w:val="auto"/>
        </w:rPr>
        <w:t>$446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90"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March 31, 2017, Lazard had approximately $172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$21 million (at March 31, 2017 exchange rates).</w:t>
      </w:r>
    </w:p>
    <w:p>
      <w:pPr>
        <w:spacing w:after="0" w:line="187"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table below sets forth our corporate indebtedness as of March 31, 2017 and December 31, 2016. The agreements with respect to this indebtedness are discussed in more detail in our condensed consolidated financial statements and related notes included elsewhere in this Form 10-Q and in our Form 10-K.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March 31, 2017</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right="60" w:firstLine="8"/>
        <w:spacing w:after="0" w:line="259" w:lineRule="auto"/>
        <w:tabs>
          <w:tab w:leader="none" w:pos="2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its Consolidated Interest Coverage Ratio (as defined in the Amended and Restated Credit Agreement) for the 12-month period ending on the last day of any fiscal quarter to be less than 3.00 to 1.00. For the 12-month period ended March 31, 2017, Lazard Group was in compliance with such ratios, with its Consolidated Leverage Ratio being 1.27 to 1.00 and its Consolidated Interest Coverage Ratio being 19.35 to 1.00. In any event, no amounts were outstanding under the Amended and Restated Credit Agreement as of March 31, 2017.</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March 31, 2017,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At March 31, 2017, total stockholders’ equity was $1,213 million, as compared to $1,294 million at December 31, 2016, including $1,153 million and $1,236 million attributable to Lazard Ltd on the respective dates. The net activity in stockholders’ equity during the three month period ended March 31, 2017 is reflected in the table below (in millions of dollars):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0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Stockholders’ Equity - January 1, 2017</w:t>
            </w:r>
          </w:p>
        </w:tc>
        <w:tc>
          <w:tcPr>
            <w:tcW w:w="214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FF0FC"/>
          </w:tcPr>
          <w:p>
            <w:pPr>
              <w:spacing w:after="0"/>
              <w:rPr>
                <w:sz w:val="19"/>
                <w:szCs w:val="19"/>
                <w:color w:val="auto"/>
              </w:rPr>
            </w:pPr>
          </w:p>
        </w:tc>
      </w:tr>
      <w:tr>
        <w:trPr>
          <w:trHeight w:val="215"/>
        </w:trPr>
        <w:tc>
          <w:tcPr>
            <w:tcW w:w="7000" w:type="dxa"/>
            <w:vAlign w:val="bottom"/>
            <w:gridSpan w:val="3"/>
          </w:tcPr>
          <w:p>
            <w:pPr>
              <w:spacing w:after="0"/>
              <w:rPr>
                <w:sz w:val="20"/>
                <w:szCs w:val="20"/>
                <w:color w:val="auto"/>
              </w:rPr>
            </w:pPr>
            <w:r>
              <w:rPr>
                <w:rFonts w:ascii="Arial" w:cs="Arial" w:eastAsia="Arial" w:hAnsi="Arial"/>
                <w:sz w:val="18"/>
                <w:szCs w:val="18"/>
                <w:color w:val="auto"/>
              </w:rPr>
              <w:t>Adjustment for the cumulative effect on prior years from the adoption of new</w:t>
            </w: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 w:type="dxa"/>
            <w:vAlign w:val="bottom"/>
            <w:tcBorders>
              <w:bottom w:val="single" w:sz="8" w:color="CFF0FC"/>
            </w:tcBorders>
          </w:tcPr>
          <w:p>
            <w:pPr>
              <w:spacing w:after="0"/>
              <w:rPr>
                <w:sz w:val="20"/>
                <w:szCs w:val="20"/>
                <w:color w:val="auto"/>
              </w:rPr>
            </w:pPr>
          </w:p>
        </w:tc>
        <w:tc>
          <w:tcPr>
            <w:tcW w:w="696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accounting guidance related to share-based incentive compensation</w:t>
            </w:r>
          </w:p>
        </w:tc>
        <w:tc>
          <w:tcPr>
            <w:tcW w:w="144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FF0FC"/>
            </w:tcBorders>
          </w:tcPr>
          <w:p>
            <w:pPr>
              <w:spacing w:after="0"/>
              <w:rPr>
                <w:sz w:val="20"/>
                <w:szCs w:val="20"/>
                <w:color w:val="auto"/>
              </w:rPr>
            </w:pPr>
          </w:p>
        </w:tc>
      </w:tr>
      <w:tr>
        <w:trPr>
          <w:trHeight w:val="223"/>
        </w:trPr>
        <w:tc>
          <w:tcPr>
            <w:tcW w:w="70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Balance, as adjusted, January 1, 2017</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FF0FC"/>
          </w:tcPr>
          <w:p>
            <w:pPr>
              <w:spacing w:after="0"/>
              <w:rPr>
                <w:sz w:val="19"/>
                <w:szCs w:val="19"/>
                <w:color w:val="auto"/>
              </w:rPr>
            </w:pPr>
          </w:p>
        </w:tc>
      </w:tr>
      <w:tr>
        <w:trPr>
          <w:trHeight w:val="230"/>
        </w:trPr>
        <w:tc>
          <w:tcPr>
            <w:tcW w:w="700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69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69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Purchase of Class A common stock</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30"/>
        </w:trPr>
        <w:tc>
          <w:tcPr>
            <w:tcW w:w="40" w:type="dxa"/>
            <w:vAlign w:val="bottom"/>
            <w:shd w:val="clear" w:color="auto" w:fill="CFF0FC"/>
          </w:tcPr>
          <w:p>
            <w:pPr>
              <w:spacing w:after="0"/>
              <w:rPr>
                <w:sz w:val="19"/>
                <w:szCs w:val="19"/>
                <w:color w:val="auto"/>
              </w:rPr>
            </w:pPr>
          </w:p>
        </w:tc>
        <w:tc>
          <w:tcPr>
            <w:tcW w:w="69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w:t>
            </w:r>
          </w:p>
        </w:tc>
      </w:tr>
      <w:tr>
        <w:trPr>
          <w:trHeight w:val="230"/>
        </w:trPr>
        <w:tc>
          <w:tcPr>
            <w:tcW w:w="4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Class A common stock dividends</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r>
      <w:tr>
        <w:trPr>
          <w:trHeight w:val="230"/>
        </w:trPr>
        <w:tc>
          <w:tcPr>
            <w:tcW w:w="40" w:type="dxa"/>
            <w:vAlign w:val="bottom"/>
            <w:shd w:val="clear" w:color="auto" w:fill="CFF0FC"/>
          </w:tcPr>
          <w:p>
            <w:pPr>
              <w:spacing w:after="0"/>
              <w:rPr>
                <w:sz w:val="19"/>
                <w:szCs w:val="19"/>
                <w:color w:val="auto"/>
              </w:rPr>
            </w:pPr>
          </w:p>
        </w:tc>
        <w:tc>
          <w:tcPr>
            <w:tcW w:w="69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Distributions to noncontrolling interests, net</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4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Other - net</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70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Stockholders’ Equity - March 31, 2017</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50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499"/>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58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2,424,571</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2017</w:t>
            </w:r>
          </w:p>
        </w:tc>
        <w:tc>
          <w:tcPr>
            <w:tcW w:w="58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2,464,967</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As of March 31, 2017, a total of $249 million of share repurchase authorization remained available under the Company’s share repurchase program, $13 million of which will expire on December 31, 2017 and $236 million of which will expire on December 31, 2018.</w:t>
      </w:r>
    </w:p>
    <w:p>
      <w:pPr>
        <w:spacing w:after="0" w:line="170"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During the three month period ended March 31, 2017, the Company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right="440" w:firstLine="518"/>
        <w:spacing w:after="0" w:line="277"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stockholders’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1,513,042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$44,471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813,670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76,453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138,506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124,312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leases (including interest)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2,342,842</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139,654</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232,810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697,312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1,273,066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17" w:lineRule="exact"/>
        <w:rPr>
          <w:rFonts w:ascii="Arial" w:cs="Arial" w:eastAsia="Arial" w:hAnsi="Arial"/>
          <w:sz w:val="18"/>
          <w:szCs w:val="18"/>
          <w:color w:val="auto"/>
        </w:rPr>
      </w:pPr>
    </w:p>
    <w:p>
      <w:pPr>
        <w:ind w:left="380" w:right="100" w:hanging="372"/>
        <w:spacing w:after="0" w:line="264"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$6,904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73" w:lineRule="exact"/>
        <w:rPr>
          <w:rFonts w:ascii="Arial" w:cs="Arial" w:eastAsia="Arial" w:hAnsi="Arial"/>
          <w:sz w:val="18"/>
          <w:szCs w:val="18"/>
          <w:color w:val="auto"/>
        </w:rPr>
      </w:pPr>
    </w:p>
    <w:p>
      <w:pPr>
        <w:ind w:left="380" w:hanging="372"/>
        <w:spacing w:after="0" w:line="255"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March 31, 2017, a tax receivable agreement obligation of $512,874 was recorded on the condensed consolidated statements of financial condition. See “Critical Accounting Policies and Estimates—Income Taxes” below. See also Notes 10, 12, 13, 14 and 16 of Notes to Condensed Consolidated Financial Statements regarding information in connection with commitments, incentive plans, employee benefit plans, income taxes and tax receivable agreement obligations,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18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2016, on a consolidated basis, we recorded gross deferred tax assets of approximately $1.23 billion, with such amount partially offset by a valuation allowance of approximately $70 million (as described below).</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6" w:name="page57"/>
    <w:bookmarkEnd w:id="56"/>
    <w:p>
      <w:pPr>
        <w:ind w:right="180"/>
        <w:spacing w:after="0" w:line="277" w:lineRule="auto"/>
        <w:rPr>
          <w:sz w:val="20"/>
          <w:szCs w:val="20"/>
          <w:color w:val="auto"/>
        </w:rPr>
      </w:pPr>
      <w:r>
        <w:rPr>
          <w:rFonts w:ascii="Arial" w:cs="Arial" w:eastAsia="Arial" w:hAnsi="Arial"/>
          <w:sz w:val="18"/>
          <w:szCs w:val="18"/>
          <w:color w:val="auto"/>
        </w:rPr>
        <w:t>information. The ultimate realization of a deferred tax asset for a particular entity depends, among other things, on the generation of taxable income by such entity in the applicable jurisdiction.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$70 million of deferred tax assets held by these entities as of December 31, 2016.</w:t>
      </w:r>
    </w:p>
    <w:p>
      <w:pPr>
        <w:spacing w:after="0" w:line="173"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20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On January 1, 2017, we adopted new accounting guidance on share-based incentive compensation. Upon adoption, we recognized excess tax benefits of $7.4 million from the vesting of share-based incentive compensation in the provision for income taxes in the condensed consolidated statements of operations for the three month period ended March 31, 2017. Upon adoption of the new guidance, we also recorded deferred tax assets of $81.5 million, net of a valuation allowance of $12.1 million, for previously unrecognized excess tax benefits (including tax benefits from dividends or dividend equivalents) on share-based incentive compensation, with an offsetting adjustment to retained earnings. See Notes 2 and 14 of Notes to Condensed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w:t>
      </w:r>
    </w:p>
    <w:p>
      <w:pPr>
        <w:spacing w:after="0" w:line="18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14 of Notes to Condensed Consolidated Financial Statements for additional information related to income taxes.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ind w:left="52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See Note 16 of Notes to Condensed Consolidated Financial Statements for additional information regarding the Amended and Restated Tax Receivable Agreement.</w:t>
      </w:r>
    </w:p>
    <w:p>
      <w:pPr>
        <w:spacing w:after="0" w:line="154"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income tax expense.</w:t>
      </w:r>
    </w:p>
    <w:p>
      <w:pPr>
        <w:spacing w:after="0" w:line="15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March 31, 2017 and December 31, 2016 was $513 million and $514 million, respectively, and is recorded in “tax receivable agreement obligation” on the condensed consolidated statements of financial condition.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70"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7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3"/>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3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Equities (a)</w:t>
            </w:r>
          </w:p>
        </w:tc>
        <w:tc>
          <w:tcPr>
            <w:tcW w:w="3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105,800</w:t>
            </w:r>
          </w:p>
        </w:tc>
        <w:tc>
          <w:tcPr>
            <w:tcW w:w="6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99,669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3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Alternative investments</w:t>
            </w:r>
          </w:p>
        </w:tc>
        <w:tc>
          <w:tcPr>
            <w:tcW w:w="34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34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141,438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134,247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Other investments owned:</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3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Interest-bearing deposits (c)</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 and other</w:t>
            </w:r>
          </w:p>
        </w:tc>
        <w:tc>
          <w:tcPr>
            <w:tcW w:w="34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23,341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investments owned</w:t>
            </w:r>
          </w:p>
        </w:tc>
        <w:tc>
          <w:tcPr>
            <w:tcW w:w="34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114,142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119,453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Subtotal</w:t>
            </w:r>
          </w:p>
        </w:tc>
        <w:tc>
          <w:tcPr>
            <w:tcW w:w="34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255,580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Add:</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method (d)</w:t>
            </w:r>
          </w:p>
        </w:tc>
        <w:tc>
          <w:tcPr>
            <w:tcW w:w="3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Private equity consolidated, not owned (e)</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19,631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LFI (f)</w:t>
            </w:r>
          </w:p>
        </w:tc>
        <w:tc>
          <w:tcPr>
            <w:tcW w:w="34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106,641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 investments</w:t>
            </w:r>
          </w:p>
        </w:tc>
        <w:tc>
          <w:tcPr>
            <w:tcW w:w="34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382,074</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00" w:type="dxa"/>
            <w:vAlign w:val="bottom"/>
            <w:vMerge w:val="restart"/>
          </w:tcPr>
          <w:p>
            <w:pPr>
              <w:jc w:val="right"/>
              <w:ind w:right="1970"/>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58" w:name="page59"/>
    <w:bookmarkEnd w:id="58"/>
    <w:p>
      <w:pPr>
        <w:spacing w:after="0"/>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9040" cy="8890"/>
                    </a:xfrm>
                    <a:prstGeom prst="rect">
                      <a:avLst/>
                    </a:prstGeom>
                    <a:noFill/>
                  </pic:spPr>
                </pic:pic>
              </a:graphicData>
            </a:graphic>
          </wp:anchor>
        </w:drawing>
        <w:t>(a)</w:t>
      </w:r>
      <w:r>
        <w:rPr>
          <w:sz w:val="20"/>
          <w:szCs w:val="20"/>
          <w:color w:val="auto"/>
        </w:rPr>
        <w:tab/>
      </w:r>
      <w:r>
        <w:rPr>
          <w:rFonts w:ascii="Arial" w:cs="Arial" w:eastAsia="Arial" w:hAnsi="Arial"/>
          <w:sz w:val="16"/>
          <w:szCs w:val="16"/>
          <w:color w:val="auto"/>
        </w:rPr>
        <w:t>At March 31, 2017 and December 31, 2016, seed investments in directly owned equity securities were invested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960" w:type="dxa"/>
            <w:vAlign w:val="bottom"/>
          </w:tcPr>
          <w:p>
            <w:pPr>
              <w:jc w:val="center"/>
              <w:ind w:left="208"/>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19"/>
                <w:szCs w:val="19"/>
                <w:color w:val="auto"/>
              </w:rPr>
            </w:pPr>
          </w:p>
        </w:tc>
        <w:tc>
          <w:tcPr>
            <w:tcW w:w="7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1"/>
              </w:rPr>
              <w:t>100%</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380" w:right="300" w:hanging="372"/>
        <w:spacing w:after="0" w:line="342" w:lineRule="auto"/>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$39 million and $34 million as of March 31, 2017 and December 31, 2016, respectively.</w:t>
      </w:r>
    </w:p>
    <w:p>
      <w:pPr>
        <w:spacing w:after="0" w:line="15" w:lineRule="exact"/>
        <w:rPr>
          <w:rFonts w:ascii="Arial" w:cs="Arial" w:eastAsia="Arial" w:hAnsi="Arial"/>
          <w:sz w:val="16"/>
          <w:szCs w:val="16"/>
          <w:color w:val="auto"/>
        </w:rPr>
      </w:pPr>
    </w:p>
    <w:p>
      <w:pPr>
        <w:ind w:left="380" w:right="80" w:hanging="372"/>
        <w:spacing w:after="0" w:line="259"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Short- to medium-term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78" w:lineRule="exact"/>
        <w:rPr>
          <w:rFonts w:ascii="Arial" w:cs="Arial" w:eastAsia="Arial" w:hAnsi="Arial"/>
          <w:sz w:val="18"/>
          <w:szCs w:val="18"/>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117" w:lineRule="exact"/>
        <w:rPr>
          <w:rFonts w:ascii="Arial" w:cs="Arial" w:eastAsia="Arial" w:hAnsi="Arial"/>
          <w:sz w:val="18"/>
          <w:szCs w:val="18"/>
          <w:color w:val="auto"/>
        </w:rPr>
      </w:pPr>
    </w:p>
    <w:p>
      <w:pPr>
        <w:jc w:val="both"/>
        <w:ind w:left="380" w:right="100" w:hanging="372"/>
        <w:spacing w:after="0" w:line="264"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73" w:lineRule="exact"/>
        <w:rPr>
          <w:rFonts w:ascii="Arial" w:cs="Arial" w:eastAsia="Arial" w:hAnsi="Arial"/>
          <w:sz w:val="18"/>
          <w:szCs w:val="18"/>
          <w:color w:val="auto"/>
        </w:rPr>
      </w:pPr>
    </w:p>
    <w:p>
      <w:pPr>
        <w:ind w:left="380" w:hanging="372"/>
        <w:spacing w:after="0" w:line="259"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87" w:lineRule="exact"/>
        <w:rPr>
          <w:sz w:val="20"/>
          <w:szCs w:val="20"/>
          <w:color w:val="auto"/>
        </w:rPr>
      </w:pPr>
    </w:p>
    <w:p>
      <w:pPr>
        <w:jc w:val="both"/>
        <w:ind w:right="200" w:firstLine="518"/>
        <w:spacing w:after="0" w:line="259" w:lineRule="auto"/>
        <w:rPr>
          <w:sz w:val="20"/>
          <w:szCs w:val="20"/>
          <w:color w:val="auto"/>
        </w:rPr>
      </w:pPr>
      <w:r>
        <w:rPr>
          <w:rFonts w:ascii="Arial" w:cs="Arial" w:eastAsia="Arial" w:hAnsi="Arial"/>
          <w:sz w:val="18"/>
          <w:szCs w:val="18"/>
          <w:color w:val="auto"/>
        </w:rPr>
        <w:t>At March 31, 2017 and December 31, 2016, total investments with a fair value of $381 million and $459 million, respectively, included $89 million and $130 million, respectively, or 23% and 28%, respectively, of investments that were classified using NAV or its equivalent as a practical expedient. See Notes 4 and 5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March 31, 2017 and December 31, 2016, the Company held seed investments of approximately $141 million and $134 million, respectively. Seed investments held in entities in which the Company maintained a controlling interest were $34 million in six entities as of March 31, 2017, as compared to $41 million in six entities as of December 31, 2016.</w:t>
      </w:r>
    </w:p>
    <w:p>
      <w:pPr>
        <w:spacing w:after="0" w:line="1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As of March 31, 2017 and December 31, 2016, the Company did not consolidate or deconsolidate any seed investment entities. As such, 100% of the recorded balance of seed investments as of March 31, 2017 and December 31, 2016 represented the Company’s economic interest in the seed investments. See “—Consolidation of Variable Interest Entities” below for more information on the Company’s policy regarding the consolidation of seed investment entities.</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9" w:name="page60"/>
    <w:bookmarkEnd w:id="59"/>
    <w:p>
      <w:pPr>
        <w:jc w:val="both"/>
        <w:ind w:right="14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100" w:hanging="379"/>
        <w:spacing w:after="0" w:line="286"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100" w:hanging="379"/>
        <w:spacing w:after="0" w:line="30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100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ind w:right="40"/>
        <w:spacing w:after="0" w:line="308" w:lineRule="auto"/>
        <w:rPr>
          <w:sz w:val="20"/>
          <w:szCs w:val="20"/>
          <w:color w:val="auto"/>
        </w:rPr>
      </w:pPr>
      <w:r>
        <w:rPr>
          <w:rFonts w:ascii="Arial" w:cs="Arial" w:eastAsia="Arial" w:hAnsi="Arial"/>
          <w:sz w:val="17"/>
          <w:szCs w:val="17"/>
          <w:color w:val="auto"/>
        </w:rPr>
        <w:t>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4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00" w:firstLine="518"/>
        <w:spacing w:after="0" w:line="286" w:lineRule="auto"/>
        <w:rPr>
          <w:sz w:val="20"/>
          <w:szCs w:val="20"/>
          <w:color w:val="auto"/>
        </w:rPr>
      </w:pPr>
      <w:r>
        <w:rPr>
          <w:rFonts w:ascii="Arial" w:cs="Arial" w:eastAsia="Arial" w:hAnsi="Arial"/>
          <w:sz w:val="16"/>
          <w:szCs w:val="16"/>
          <w:color w:val="auto"/>
        </w:rPr>
        <w:t>Equity Market Price Risk—At March 31, 2017 and December 31, 2016, the Company’s exposure to equity market price risk in its investment portfolio, which primarily relates to investments in equity securities, equity funds and hedge funds, was approximately $112 million and $110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$0.8 million and</w:t>
      </w:r>
    </w:p>
    <w:p>
      <w:pPr>
        <w:spacing w:after="0" w:line="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$1.0 million in the carrying value of such investments as of March 31, 2017 and December 31, 2016, respectively, including the effect of the hedging transactions.</w:t>
      </w:r>
    </w:p>
    <w:p>
      <w:pPr>
        <w:spacing w:after="0" w:line="184"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Interest Rate/Credit Spread Risk—At March 31, 2017 and December 31, 2016, the Company’s exposure to interest rate and credit spread risk in its investment portfolio related to investments in debt securities or funds which invest primarily in debt securities was $57 million and $53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$1.1 million and $0.9 million in the carrying value of such investments as of March 31, 2017 and December 31, 2016, respectively, including the effect of the hedging transactions.</w:t>
      </w:r>
    </w:p>
    <w:p>
      <w:pPr>
        <w:spacing w:after="0" w:line="15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Foreign Exchange Rate Risk—At March 31, 2017 and December 31, 2016, the Company’s exposure to foreign exchange rate risk in its investment portfolio, which primarily relates to investments in foreign currency denominated equity and debt securities, was $68 million and $64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$2.0 million and $1.7 million in the carrying value of such investments as of March 31, 2017 and December 31, 2016, respectively, including the effect of the hedging transactions.</w:t>
      </w:r>
    </w:p>
    <w:p>
      <w:pPr>
        <w:spacing w:after="0" w:line="193"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March 31, 2017 and December 31, 2016, the Company’s exposure to changes in fair value of such investments was approximately $90 million and $96 million, respectively. The Company estimates that a hypothetical 10% adverse change in fair value would result in a decrease of approximately $9.0 million and $9.6 million in the carrying value of such investments as of March 31, 2017 and December 31, 2016, respectively.</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March 31, 2017, total receivables amounted to $528 million, net of an allowance for doubtful accounts of $30 million. As of that date, Financial Advisory and Asset Management fees, and customer receivables comprised 83% and 17% of total receivables, respectively. At December 31, 2016, total receivables amounted to $638 million, net of an allowance for doubtful accounts of $16 million. As of that date, Financial Advisory and Asset Management fees, and customer receivables comprised 88% and 12% of total receivables, respectively. At March 31, 2017 and December 31, 2016, the Company had receivables past due or deemed uncollectible of approximately $42 million and $22 million, respectively. See also “Critical Accounting Policies and Estimates—Revenue Recognition” above and Note 3 of Notes to Condensed Consolidated Financial Statements for additional information regarding receivables.</w:t>
      </w:r>
    </w:p>
    <w:p>
      <w:pPr>
        <w:spacing w:after="0" w:line="18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March 31, 2017 and December 31, 2016, customer receivables included $47 million and $51 million of LFB loans, respectively,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1" w:name="page62"/>
    <w:bookmarkEnd w:id="61"/>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$4 million and $2 million at March 31, 2017 and December 31, 2016, respectively, and derivative liabilities, excluding the derivative liability arising from the Company’s obligation pertaining to LFI and other similar deferred compensation arrangements, amounted to $4 million and $12 million at such respective dates.</w:t>
      </w:r>
    </w:p>
    <w:p>
      <w:pPr>
        <w:spacing w:after="0" w:line="15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$175 million and $170 million at March 31, 2017 and December 31, 2016,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14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March 31, 2017, Lazard estimates that its annual operating income relating to cash and cash equivalents would increase by approximately $9 million in the event interest rates were to increase by 1% and decrease by approximately $9 million if rates were to decrease by 1%.</w:t>
      </w:r>
    </w:p>
    <w:p>
      <w:pPr>
        <w:spacing w:after="0" w:line="14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As of March 31, 2017, the Company’s cash and cash equivalents totaled approximately $891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w:t>
      </w:r>
    </w:p>
    <w:p>
      <w:pPr>
        <w:ind w:right="260" w:firstLine="8"/>
        <w:spacing w:after="0" w:line="323" w:lineRule="auto"/>
        <w:tabs>
          <w:tab w:leader="none" w:pos="3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2" w:name="page63"/>
    <w:bookmarkEnd w:id="62"/>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2016.</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 sets forth information regarding Lazard’s purchases of its Class A common stock on a monthly basis during the first quarter of 2017. Share repurchases are recorded on a trade date basis.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per Share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left="278"/>
              <w:spacing w:after="0"/>
              <w:rPr>
                <w:sz w:val="20"/>
                <w:szCs w:val="20"/>
                <w:color w:val="auto"/>
              </w:rPr>
            </w:pPr>
            <w:r>
              <w:rPr>
                <w:rFonts w:ascii="Arial" w:cs="Arial" w:eastAsia="Arial" w:hAnsi="Arial"/>
                <w:sz w:val="14"/>
                <w:szCs w:val="14"/>
                <w:b w:val="1"/>
                <w:bCs w:val="1"/>
                <w:color w:val="auto"/>
                <w:w w:val="91"/>
              </w:rPr>
              <w:t>Programs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January 1 – January 31, 2017</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451,269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451,269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336.7</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February 1 – February 28, 2017</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344,938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43.05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344,938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321.8</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588,132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43.40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March 1 – March 31, 2017</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1,668,760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43.61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1,668,760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249.1</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835,267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43.04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2,464,967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43.02</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2,464,967</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249.1</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1,423,399</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43.19</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2090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380" w:right="80" w:hanging="372"/>
        <w:spacing w:after="0" w:line="277"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During the three months ended March 31, 2017 and since 2014, the Board of Directors of Lazard authorized the repurchase of Class A common stock as set forth in the table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Date</w:t>
            </w: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Repurchase</w:t>
            </w:r>
          </w:p>
        </w:tc>
        <w:tc>
          <w:tcPr>
            <w:tcW w:w="21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Expiration</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Authorization</w:t>
            </w:r>
          </w:p>
        </w:tc>
        <w:tc>
          <w:tcPr>
            <w:tcW w:w="21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2014</w:t>
            </w:r>
          </w:p>
        </w:tc>
        <w:tc>
          <w:tcPr>
            <w:tcW w:w="23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December 31, 2015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February 2015</w:t>
            </w:r>
          </w:p>
        </w:tc>
        <w:tc>
          <w:tcPr>
            <w:tcW w:w="268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9"/>
                <w:szCs w:val="19"/>
                <w:color w:val="auto"/>
              </w:rPr>
            </w:pPr>
          </w:p>
        </w:tc>
        <w:tc>
          <w:tcPr>
            <w:tcW w:w="2100" w:type="dxa"/>
            <w:vAlign w:val="bottom"/>
          </w:tcPr>
          <w:p>
            <w:pPr>
              <w:ind w:left="680"/>
              <w:spacing w:after="0"/>
              <w:rPr>
                <w:sz w:val="20"/>
                <w:szCs w:val="20"/>
                <w:color w:val="auto"/>
              </w:rPr>
            </w:pPr>
            <w:r>
              <w:rPr>
                <w:rFonts w:ascii="Arial" w:cs="Arial" w:eastAsia="Arial" w:hAnsi="Arial"/>
                <w:sz w:val="18"/>
                <w:szCs w:val="18"/>
                <w:color w:val="auto"/>
                <w:w w:val="88"/>
              </w:rPr>
              <w:t>December 31, 2016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January 2016</w:t>
            </w:r>
          </w:p>
        </w:tc>
        <w:tc>
          <w:tcPr>
            <w:tcW w:w="268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shd w:val="clear" w:color="auto" w:fill="CFF0FC"/>
          </w:tcPr>
          <w:p>
            <w:pPr>
              <w:spacing w:after="0"/>
              <w:rPr>
                <w:sz w:val="19"/>
                <w:szCs w:val="19"/>
                <w:color w:val="auto"/>
              </w:rPr>
            </w:pPr>
          </w:p>
        </w:tc>
        <w:tc>
          <w:tcPr>
            <w:tcW w:w="210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December 31, 2017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April 2016</w:t>
            </w:r>
          </w:p>
        </w:tc>
        <w:tc>
          <w:tcPr>
            <w:tcW w:w="268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113,182</w:t>
            </w:r>
          </w:p>
        </w:tc>
        <w:tc>
          <w:tcPr>
            <w:tcW w:w="240" w:type="dxa"/>
            <w:vAlign w:val="bottom"/>
          </w:tcPr>
          <w:p>
            <w:pPr>
              <w:spacing w:after="0"/>
              <w:rPr>
                <w:sz w:val="19"/>
                <w:szCs w:val="19"/>
                <w:color w:val="auto"/>
              </w:rPr>
            </w:pPr>
          </w:p>
        </w:tc>
        <w:tc>
          <w:tcPr>
            <w:tcW w:w="2100" w:type="dxa"/>
            <w:vAlign w:val="bottom"/>
          </w:tcPr>
          <w:p>
            <w:pPr>
              <w:ind w:left="680"/>
              <w:spacing w:after="0"/>
              <w:rPr>
                <w:sz w:val="20"/>
                <w:szCs w:val="20"/>
                <w:color w:val="auto"/>
              </w:rPr>
            </w:pPr>
            <w:r>
              <w:rPr>
                <w:rFonts w:ascii="Arial" w:cs="Arial" w:eastAsia="Arial" w:hAnsi="Arial"/>
                <w:sz w:val="18"/>
                <w:szCs w:val="18"/>
                <w:color w:val="auto"/>
                <w:w w:val="88"/>
              </w:rPr>
              <w:t>December 31, 2017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November 2016</w:t>
            </w:r>
          </w:p>
        </w:tc>
        <w:tc>
          <w:tcPr>
            <w:tcW w:w="268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236,000</w:t>
            </w:r>
          </w:p>
        </w:tc>
        <w:tc>
          <w:tcPr>
            <w:tcW w:w="240" w:type="dxa"/>
            <w:vAlign w:val="bottom"/>
            <w:shd w:val="clear" w:color="auto" w:fill="CFF0FC"/>
          </w:tcPr>
          <w:p>
            <w:pPr>
              <w:spacing w:after="0"/>
              <w:rPr>
                <w:sz w:val="19"/>
                <w:szCs w:val="19"/>
                <w:color w:val="auto"/>
              </w:rPr>
            </w:pPr>
          </w:p>
        </w:tc>
        <w:tc>
          <w:tcPr>
            <w:tcW w:w="210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December 31, 2018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20" w:type="dxa"/>
            <w:vAlign w:val="bottom"/>
          </w:tcPr>
          <w:p>
            <w:pPr>
              <w:jc w:val="right"/>
              <w:ind w:right="39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4" w:name="page65"/>
    <w:bookmarkEnd w:id="64"/>
    <w:p>
      <w:pPr>
        <w:ind w:left="380"/>
        <w:spacing w:after="0" w:line="276" w:lineRule="auto"/>
        <w:rPr>
          <w:sz w:val="20"/>
          <w:szCs w:val="20"/>
          <w:color w:val="auto"/>
        </w:rPr>
      </w:pPr>
      <w:r>
        <w:rPr>
          <w:rFonts w:ascii="Arial" w:cs="Arial" w:eastAsia="Arial" w:hAnsi="Arial"/>
          <w:sz w:val="17"/>
          <w:szCs w:val="17"/>
          <w:color w:val="auto"/>
        </w:rPr>
        <w:t>A significant portion of the Company’s purchases under the share repurchase program are used to offset a portion of the shares that have been or will be issued under the 2008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64" w:lineRule="exact"/>
        <w:rPr>
          <w:sz w:val="20"/>
          <w:szCs w:val="20"/>
          <w:color w:val="auto"/>
        </w:rPr>
      </w:pPr>
    </w:p>
    <w:p>
      <w:pPr>
        <w:ind w:left="380" w:right="120" w:hanging="372"/>
        <w:spacing w:after="0" w:line="302" w:lineRule="auto"/>
        <w:tabs>
          <w:tab w:leader="none" w:pos="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Under the terms of the 2008 Plan, upon the vesting of RSUs, PRSUs, DSUs and delivery of restricted Class A common stock, shares of Class A common stock may be withheld by the Company to meet the minimum statutory tax withholding requirements. During the three month period ended March 31, 2017, the Company satisfied such obligations in lieu of issuing (i) 1,315,160 shares of Class A common stock upon the vesting of 4,374,224 RSUs and PRSUs and (ii) 108,239 shares of Class A common stock upon the vesting of 263,457 shares of restricted Class A common stock.</w:t>
      </w:r>
    </w:p>
    <w:p>
      <w:pPr>
        <w:spacing w:after="0" w:line="2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620" w:type="dxa"/>
            <w:vAlign w:val="bottom"/>
          </w:tcPr>
          <w:p>
            <w:pPr>
              <w:ind w:left="4540"/>
              <w:spacing w:after="0"/>
              <w:rPr>
                <w:sz w:val="20"/>
                <w:szCs w:val="20"/>
                <w:color w:val="auto"/>
              </w:rPr>
            </w:pPr>
            <w:r>
              <w:rPr>
                <w:rFonts w:ascii="Arial" w:cs="Arial" w:eastAsia="Arial" w:hAnsi="Arial"/>
                <w:sz w:val="18"/>
                <w:szCs w:val="18"/>
                <w:b w:val="1"/>
                <w:bCs w:val="1"/>
                <w:color w:val="auto"/>
              </w:rPr>
              <w:t>PART IV</w:t>
            </w:r>
          </w:p>
        </w:tc>
      </w:tr>
      <w:tr>
        <w:trPr>
          <w:trHeight w:val="324"/>
        </w:trPr>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Item 6.</w:t>
            </w:r>
          </w:p>
        </w:tc>
        <w:tc>
          <w:tcPr>
            <w:tcW w:w="10620" w:type="dxa"/>
            <w:vAlign w:val="bottom"/>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3.1</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Certificate of Incorporation and Memorandum of Association of the Registrant (incorporated by reference to Exhibit 3.1 to the Registrant’s</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3.2</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Certificate of Incorporation in Change of Name of the Registrant (incorporated by reference to Exhibit 3.2 to the Registrant’s Registration</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Amended and Restated Bye-Laws of Lazard Ltd (incorporated by reference to Exhibit 3.3 to the Registrant’s Quarterly Report (File No. 001-</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32492) on Form 10-Q filed on June 16,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First Amendment to Amended and Restated Bye-Laws of Lazard Ltd (incorporated by reference to Exhibit 3.4 to the Registrant’s Quarterly</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10620" w:type="dxa"/>
            <w:vAlign w:val="bottom"/>
          </w:tcPr>
          <w:p>
            <w:pPr>
              <w:ind w:left="220"/>
              <w:spacing w:after="0"/>
              <w:rPr>
                <w:sz w:val="20"/>
                <w:szCs w:val="20"/>
                <w:color w:val="auto"/>
              </w:rPr>
            </w:pPr>
            <w:r>
              <w:rPr>
                <w:rFonts w:ascii="Arial" w:cs="Arial" w:eastAsia="Arial" w:hAnsi="Arial"/>
                <w:sz w:val="18"/>
                <w:szCs w:val="18"/>
                <w:color w:val="auto"/>
                <w:w w:val="96"/>
              </w:rPr>
              <w:t>Second Amendment to the Amended and Restated Bye-Laws of Lazard Ltd (incorporated by reference to Exhibit 3.5 to the Registrant’s</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4.1</w:t>
            </w: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Form of Specimen Certificate for Class A common stock (incorporated by reference to Exhibit 4.1 to the Registrant’s Registration Statement</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(File No. 333-121407) on Form S-1/A filed on April 11,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4.2</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Indenture, dated as of May 10, 2005, by and between Lazard Group LLC and The Bank of New York, as Trustee (incorporated by reference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10620" w:type="dxa"/>
            <w:vAlign w:val="bottom"/>
          </w:tcPr>
          <w:p>
            <w:pPr>
              <w:ind w:left="220"/>
              <w:spacing w:after="0"/>
              <w:rPr>
                <w:sz w:val="20"/>
                <w:szCs w:val="20"/>
                <w:color w:val="auto"/>
              </w:rPr>
            </w:pPr>
            <w:r>
              <w:rPr>
                <w:rFonts w:ascii="Arial" w:cs="Arial" w:eastAsia="Arial" w:hAnsi="Arial"/>
                <w:sz w:val="18"/>
                <w:szCs w:val="18"/>
                <w:color w:val="auto"/>
                <w:w w:val="90"/>
              </w:rPr>
              <w:t>Fourth Supplemental Indenture, dated as of June 21, 2007, between Lazard Group LLC and The Bank of New York, as trustee (incorporated by</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Fifth Supplemental Indenture, dated as of November 14, 2013, between Lazard Group LLC and The Bank of New York Mellon, as trustee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4.1 to the Registrant’s Current Report on Form 8-K (File No. 001-32492) filed on November 14, 2013).</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4.5</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Sixth Supplemental Indenture, dated as of February 13, 2015, between Lazard Group LLC and The Bank of New York Mellon, as trustee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(incorporated by reference to Exhibit 4.1 of the Registrant’s Current Report on Form 8-K (File No. 001-32492) filed on February 13, 2015).</w:t>
            </w:r>
          </w:p>
        </w:tc>
      </w:tr>
      <w:tr>
        <w:trPr>
          <w:trHeight w:val="338"/>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10620" w:type="dxa"/>
            <w:vAlign w:val="bottom"/>
          </w:tcPr>
          <w:p>
            <w:pPr>
              <w:ind w:left="220"/>
              <w:spacing w:after="0"/>
              <w:rPr>
                <w:sz w:val="20"/>
                <w:szCs w:val="20"/>
                <w:color w:val="auto"/>
              </w:rPr>
            </w:pPr>
            <w:r>
              <w:rPr>
                <w:rFonts w:ascii="Arial" w:cs="Arial" w:eastAsia="Arial" w:hAnsi="Arial"/>
                <w:sz w:val="18"/>
                <w:szCs w:val="18"/>
                <w:color w:val="auto"/>
              </w:rPr>
              <w:t>Form of Senior Note (included in Exhibits 4.3, 4.4 and 4.5).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Amended and Restated Operating Agreement of Lazard Group LLC, dated as of October 26, 2015 (incorporated by reference to Exhibit 10.1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Registrant’s Quarterly Report (File No. 001-32492) on Form 10-Q filed on October 28, 2015).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10.2</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Amendment No.1 to Amended and Restated Operating Agreement of Lazard Group LLC, dated as of October 27, 2016 (incorporated by</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reference to Exhibit 10.2 to Registrant’s Quarterly Report (File No. 001-32492) on Form 10-Q filed on October 28, 2016).</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10.3</w:t>
            </w:r>
          </w:p>
        </w:tc>
        <w:tc>
          <w:tcPr>
            <w:tcW w:w="10620" w:type="dxa"/>
            <w:vAlign w:val="bottom"/>
          </w:tcPr>
          <w:p>
            <w:pPr>
              <w:ind w:left="220"/>
              <w:spacing w:after="0"/>
              <w:rPr>
                <w:sz w:val="20"/>
                <w:szCs w:val="20"/>
                <w:color w:val="auto"/>
              </w:rPr>
            </w:pPr>
            <w:r>
              <w:rPr>
                <w:rFonts w:ascii="Arial" w:cs="Arial" w:eastAsia="Arial" w:hAnsi="Arial"/>
                <w:sz w:val="18"/>
                <w:szCs w:val="18"/>
                <w:color w:val="auto"/>
                <w:w w:val="90"/>
              </w:rPr>
              <w:t>Second Amended and Restated Tax Receivable Agreement, dated as of October 26, 2015, by and among Ltd Sub A, Ltd Sub B and LTBP Trust</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10.2 to the Registrant’s Quarterly Report (File No. 001-32492) on Form 10-Q filed on October 28, 2015).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10.4</w:t>
            </w:r>
          </w:p>
        </w:tc>
        <w:tc>
          <w:tcPr>
            <w:tcW w:w="10620" w:type="dxa"/>
            <w:vAlign w:val="bottom"/>
          </w:tcPr>
          <w:p>
            <w:pPr>
              <w:ind w:left="220"/>
              <w:spacing w:after="0"/>
              <w:rPr>
                <w:sz w:val="20"/>
                <w:szCs w:val="20"/>
                <w:color w:val="auto"/>
              </w:rPr>
            </w:pPr>
            <w:r>
              <w:rPr>
                <w:rFonts w:ascii="Arial" w:cs="Arial" w:eastAsia="Arial" w:hAnsi="Arial"/>
                <w:sz w:val="18"/>
                <w:szCs w:val="18"/>
                <w:color w:val="auto"/>
                <w:w w:val="90"/>
              </w:rPr>
              <w:t>Lease, dated as of January 27, 1994, by and between Rockefeller Center Properties and Lazard Frères &amp; Co. LLC (incorporated by reference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10.5</w:t>
            </w:r>
          </w:p>
        </w:tc>
        <w:tc>
          <w:tcPr>
            <w:tcW w:w="10620" w:type="dxa"/>
            <w:vAlign w:val="bottom"/>
          </w:tcPr>
          <w:p>
            <w:pPr>
              <w:ind w:left="220"/>
              <w:spacing w:after="0"/>
              <w:rPr>
                <w:sz w:val="20"/>
                <w:szCs w:val="20"/>
                <w:color w:val="auto"/>
              </w:rPr>
            </w:pPr>
            <w:r>
              <w:rPr>
                <w:rFonts w:ascii="Arial" w:cs="Arial" w:eastAsia="Arial" w:hAnsi="Arial"/>
                <w:sz w:val="18"/>
                <w:szCs w:val="18"/>
                <w:color w:val="auto"/>
                <w:w w:val="90"/>
              </w:rPr>
              <w:t>Amendment dated as of February 16, 2011, by and among RCPI Landmark Properties, L.L.C. (as the successor in interest to Rockefeller Center</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Properties), RCPI 30 Rock 22234849, L.L.C. and Lazard Group LLC (as the successor in interest to Lazard Frères &amp; Co. LLC), to the Lease</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dated as of January 27, 1994, by and among Rockefeller Center Properties and Lazard Frères &amp; Co. LLC (incorporated by reference to Exhibit</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10.6</w:t>
            </w: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Occupational Lease, dated as of August 9, 2002, by and among Burford (Stratton) Nominee 1 Limited, Burford (Stratton) Nominee 2 Limited,</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Burford (Stratton) Limited, Lazard &amp; Co., Limited and Lazard LLC (incorporated by reference to Exhibit 10.21 to the Registrant’s Registration</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554"/>
        </w:trPr>
        <w:tc>
          <w:tcPr>
            <w:tcW w:w="820" w:type="dxa"/>
            <w:vAlign w:val="bottom"/>
          </w:tcPr>
          <w:p>
            <w:pPr>
              <w:spacing w:after="0"/>
              <w:rPr>
                <w:sz w:val="24"/>
                <w:szCs w:val="24"/>
                <w:color w:val="auto"/>
              </w:rPr>
            </w:pPr>
          </w:p>
        </w:tc>
        <w:tc>
          <w:tcPr>
            <w:tcW w:w="10620" w:type="dxa"/>
            <w:vAlign w:val="bottom"/>
          </w:tcPr>
          <w:p>
            <w:pPr>
              <w:ind w:left="4800"/>
              <w:spacing w:after="0"/>
              <w:rPr>
                <w:sz w:val="20"/>
                <w:szCs w:val="20"/>
                <w:color w:val="auto"/>
              </w:rPr>
            </w:pPr>
            <w:r>
              <w:rPr>
                <w:rFonts w:ascii="Arial" w:cs="Arial" w:eastAsia="Arial" w:hAnsi="Arial"/>
                <w:sz w:val="18"/>
                <w:szCs w:val="18"/>
                <w:color w:val="auto"/>
              </w:rPr>
              <w:t>64</w:t>
            </w:r>
          </w:p>
        </w:tc>
      </w:tr>
      <w:tr>
        <w:trPr>
          <w:trHeight w:val="115"/>
        </w:trPr>
        <w:tc>
          <w:tcPr>
            <w:tcW w:w="820" w:type="dxa"/>
            <w:vAlign w:val="bottom"/>
            <w:tcBorders>
              <w:bottom w:val="single" w:sz="8" w:color="9A9A9A"/>
            </w:tcBorders>
          </w:tcPr>
          <w:p>
            <w:pPr>
              <w:spacing w:after="0"/>
              <w:rPr>
                <w:sz w:val="10"/>
                <w:szCs w:val="10"/>
                <w:color w:val="auto"/>
              </w:rPr>
            </w:pPr>
          </w:p>
        </w:tc>
        <w:tc>
          <w:tcPr>
            <w:tcW w:w="10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820" w:type="dxa"/>
            <w:vAlign w:val="bottom"/>
          </w:tcPr>
          <w:p>
            <w:pPr>
              <w:ind w:left="100"/>
              <w:spacing w:after="0"/>
              <w:rPr>
                <w:sz w:val="20"/>
                <w:szCs w:val="20"/>
                <w:color w:val="auto"/>
              </w:rPr>
            </w:pPr>
            <w:r>
              <w:rPr>
                <w:rFonts w:ascii="Arial" w:cs="Arial" w:eastAsia="Arial" w:hAnsi="Arial"/>
                <w:sz w:val="18"/>
                <w:szCs w:val="18"/>
                <w:color w:val="auto"/>
              </w:rPr>
              <w:t>10.7*</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Lazard Ltd 2005 Equity Incentive Plan (incorporated by reference to Exhibit 10.21 to the Registrant’s Registration Statement (File No. 333-</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121407) on Form S-1/A filed on May 2, 2005).</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10.8*</w:t>
            </w:r>
          </w:p>
        </w:tc>
        <w:tc>
          <w:tcPr>
            <w:tcW w:w="10620" w:type="dxa"/>
            <w:vAlign w:val="bottom"/>
          </w:tcPr>
          <w:p>
            <w:pPr>
              <w:ind w:left="220"/>
              <w:spacing w:after="0"/>
              <w:rPr>
                <w:sz w:val="20"/>
                <w:szCs w:val="20"/>
                <w:color w:val="auto"/>
              </w:rPr>
            </w:pPr>
            <w:r>
              <w:rPr>
                <w:rFonts w:ascii="Arial" w:cs="Arial" w:eastAsia="Arial" w:hAnsi="Arial"/>
                <w:sz w:val="18"/>
                <w:szCs w:val="18"/>
                <w:color w:val="auto"/>
                <w:w w:val="96"/>
              </w:rPr>
              <w:t>Lazard Ltd 2008 Incentive Compensation Plan (incorporated by reference to Annex B to the Registrant’s Definitive Proxy Statement on</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Schedule 14A (File No. 001-32492) filed on March 24, 2008).</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10.9*</w:t>
            </w: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Lazard Ltd 2016 French Sub-plan (incorporated by reference to Annex B to the Registrant’s Definitive Proxy Statement on Schedule 14A (File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No. 001-32492) filed on March 10, 2016).</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10.10*</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the Registrant, Lazard Group LLC and Kenneth M. Jacobs (incorporated by reference to Exhibit 10.9 to the Registrant’s Quarterly Report (File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No. 001-32492) on Form 10-Q filed on April 27, 2016).</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10.11*</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the Registrant, Lazard Group LLC and Ashish Bhutani (incorporated by reference to Exhibit 10.10 to the Registrant’s Quarterly Report (File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No. 001-32492) on Form 10-Q filed on April 27, 2016).</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10.12*</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the Registrant, Lazard Group LLC and Matthieu Bucaille (incorporated by reference to Exhibit 10.11 to the Registrant’s Quarterly Report (File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No. 001-32492) on Form 10-Q filed on April 27, 2016).</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10.13*</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the Registrant, Lazard Group LLC and Scott D. Hoffman (incorporated by reference to Exhibit 10.12 to the Registrant’s Quarterly Report (File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No. 001-32492) on Form 10-Q filed on April 27, 2016).</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10.14*</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the Registrant, Lazard Group LLC and Alexander F. Stern (incorporated by reference to Exhibit 10.13 to the Registrant’s Quarterly Report (File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No. 001-32492) on Form 10-Q filed on April 27, 2016).</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10.15*</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 the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10.16*</w:t>
            </w:r>
          </w:p>
        </w:tc>
        <w:tc>
          <w:tcPr>
            <w:tcW w:w="10620" w:type="dxa"/>
            <w:vAlign w:val="bottom"/>
          </w:tcPr>
          <w:p>
            <w:pPr>
              <w:ind w:left="220"/>
              <w:spacing w:after="0"/>
              <w:rPr>
                <w:sz w:val="20"/>
                <w:szCs w:val="20"/>
                <w:color w:val="auto"/>
              </w:rPr>
            </w:pPr>
            <w:r>
              <w:rPr>
                <w:rFonts w:ascii="Arial" w:cs="Arial" w:eastAsia="Arial" w:hAnsi="Arial"/>
                <w:sz w:val="18"/>
                <w:szCs w:val="18"/>
                <w:color w:val="auto"/>
                <w:w w:val="99"/>
              </w:rPr>
              <w:t>Form of Agreement evidencing a grant of Restricted Stock Units to Executive Officers under the 2008 Incentive Compensation Plan</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(incorporated by reference to Exhibit 10.41 to the Registrant’s Annual Report (File No. 001-32492) on Form 10-K filed on March 2, 2009).</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10.17*</w:t>
            </w:r>
          </w:p>
        </w:tc>
        <w:tc>
          <w:tcPr>
            <w:tcW w:w="10620" w:type="dxa"/>
            <w:vAlign w:val="bottom"/>
          </w:tcPr>
          <w:p>
            <w:pPr>
              <w:ind w:left="220"/>
              <w:spacing w:after="0"/>
              <w:rPr>
                <w:sz w:val="20"/>
                <w:szCs w:val="20"/>
                <w:color w:val="auto"/>
              </w:rPr>
            </w:pPr>
            <w:r>
              <w:rPr>
                <w:rFonts w:ascii="Arial" w:cs="Arial" w:eastAsia="Arial" w:hAnsi="Arial"/>
                <w:sz w:val="18"/>
                <w:szCs w:val="18"/>
                <w:color w:val="auto"/>
                <w:w w:val="96"/>
              </w:rPr>
              <w:t>Form of Agreement evidencing a grant of Deferred Cash Award to Executive Officers (incorporated by reference to Exhibit 10.42 to the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Registrant’s Annual Report (File No. 001-32492) on Form 10-K filed on March 2, 2009).</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10.18*</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Directors’ Fee Deferral Unit Plan (incorporated by reference to Exhibit 10.39 to the Registrant’s Quarterly Report (File No. 001-32492) on</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Form 10-Q filed on May 11, 2006).</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10.19</w:t>
            </w: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Amended and Restated Credit Agreement, dated as of September 25, 2015, among Lazard Group LLC, the Banks from time to time parties</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thereto, and Citibank, N.A., as Administrative Agent (incorporated by reference to Exhibit 10.27 to the Registrant’s Quarterly Report (File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No. 001-32492) on Form 10-Q filed on October 28, 2015).</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10.20*</w:t>
            </w: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Form of Agreement evidencing a grant of Lazard Fund Interests to Named Executive Officers (incorporated by reference to Exhibit 10.55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the Registrant’s Quarterly Report (File No. 001-32492) on Form 10-Q filed on May 1, 2013).</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10.21*</w:t>
            </w: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Form of Agreement evidencing a February 20, 2014 grant of Performance-Based Stock Units under the 2008 Incentive Compensation Plan</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7"/>
              </w:rPr>
              <w:t>(incorporated by reference to Exhibit 10.55 to the Registrant’s Quarterly Report (File No. 001-32492) on Form 10-Q filed May 6, 2014).</w:t>
            </w:r>
          </w:p>
        </w:tc>
      </w:tr>
      <w:tr>
        <w:trPr>
          <w:trHeight w:val="323"/>
        </w:trPr>
        <w:tc>
          <w:tcPr>
            <w:tcW w:w="820" w:type="dxa"/>
            <w:vAlign w:val="bottom"/>
          </w:tcPr>
          <w:p>
            <w:pPr>
              <w:ind w:left="100"/>
              <w:spacing w:after="0"/>
              <w:rPr>
                <w:sz w:val="20"/>
                <w:szCs w:val="20"/>
                <w:color w:val="auto"/>
              </w:rPr>
            </w:pPr>
            <w:r>
              <w:rPr>
                <w:rFonts w:ascii="Arial" w:cs="Arial" w:eastAsia="Arial" w:hAnsi="Arial"/>
                <w:sz w:val="18"/>
                <w:szCs w:val="18"/>
                <w:color w:val="auto"/>
              </w:rPr>
              <w:t>10.22*</w:t>
            </w: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Agreement between the Company and Kenneth M. Jacobs, dated as of February 20, 2014, evidencing a grant of Performance-Based Stock</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9"/>
              </w:rPr>
              <w:t>Units under the 2008 Incentive Compensation Plan (incorporated by reference to Exhibit 10.56 to the Registrant’s Quarterly Report</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(File No. 001-32492) on Form 10-Q filed on May 6, 2014).</w:t>
            </w:r>
          </w:p>
        </w:tc>
      </w:tr>
      <w:tr>
        <w:trPr>
          <w:trHeight w:val="338"/>
        </w:trPr>
        <w:tc>
          <w:tcPr>
            <w:tcW w:w="820" w:type="dxa"/>
            <w:vAlign w:val="bottom"/>
          </w:tcPr>
          <w:p>
            <w:pPr>
              <w:ind w:left="100"/>
              <w:spacing w:after="0"/>
              <w:rPr>
                <w:sz w:val="20"/>
                <w:szCs w:val="20"/>
                <w:color w:val="auto"/>
              </w:rPr>
            </w:pPr>
            <w:r>
              <w:rPr>
                <w:rFonts w:ascii="Arial" w:cs="Arial" w:eastAsia="Arial" w:hAnsi="Arial"/>
                <w:sz w:val="18"/>
                <w:szCs w:val="18"/>
                <w:color w:val="auto"/>
              </w:rPr>
              <w:t>12.1</w:t>
            </w:r>
          </w:p>
        </w:tc>
        <w:tc>
          <w:tcPr>
            <w:tcW w:w="10620" w:type="dxa"/>
            <w:vAlign w:val="bottom"/>
          </w:tcPr>
          <w:p>
            <w:pPr>
              <w:ind w:left="220"/>
              <w:spacing w:after="0"/>
              <w:rPr>
                <w:sz w:val="20"/>
                <w:szCs w:val="20"/>
                <w:color w:val="auto"/>
              </w:rPr>
            </w:pPr>
            <w:r>
              <w:rPr>
                <w:rFonts w:ascii="Arial" w:cs="Arial" w:eastAsia="Arial" w:hAnsi="Arial"/>
                <w:sz w:val="18"/>
                <w:szCs w:val="18"/>
                <w:color w:val="auto"/>
              </w:rPr>
              <w:t>Computation of Ratio of Earnings to Fixed Charges.</w:t>
            </w:r>
          </w:p>
        </w:tc>
      </w:tr>
      <w:tr>
        <w:trPr>
          <w:trHeight w:val="338"/>
        </w:trPr>
        <w:tc>
          <w:tcPr>
            <w:tcW w:w="820" w:type="dxa"/>
            <w:vAlign w:val="bottom"/>
          </w:tcPr>
          <w:p>
            <w:pPr>
              <w:ind w:left="100"/>
              <w:spacing w:after="0"/>
              <w:rPr>
                <w:sz w:val="20"/>
                <w:szCs w:val="20"/>
                <w:color w:val="auto"/>
              </w:rPr>
            </w:pPr>
            <w:r>
              <w:rPr>
                <w:rFonts w:ascii="Arial" w:cs="Arial" w:eastAsia="Arial" w:hAnsi="Arial"/>
                <w:sz w:val="18"/>
                <w:szCs w:val="18"/>
                <w:color w:val="auto"/>
              </w:rPr>
              <w:t>31.1</w:t>
            </w:r>
          </w:p>
        </w:tc>
        <w:tc>
          <w:tcPr>
            <w:tcW w:w="10620" w:type="dxa"/>
            <w:vAlign w:val="bottom"/>
          </w:tcPr>
          <w:p>
            <w:pPr>
              <w:ind w:left="220"/>
              <w:spacing w:after="0"/>
              <w:rPr>
                <w:sz w:val="20"/>
                <w:szCs w:val="20"/>
                <w:color w:val="auto"/>
              </w:rPr>
            </w:pPr>
            <w:r>
              <w:rPr>
                <w:rFonts w:ascii="Arial" w:cs="Arial" w:eastAsia="Arial" w:hAnsi="Arial"/>
                <w:sz w:val="18"/>
                <w:szCs w:val="18"/>
                <w:color w:val="auto"/>
              </w:rPr>
              <w:t>Rule 13a-14(a) Certification of Kenneth M. Jacobs.</w:t>
            </w:r>
          </w:p>
        </w:tc>
      </w:tr>
      <w:tr>
        <w:trPr>
          <w:trHeight w:val="338"/>
        </w:trPr>
        <w:tc>
          <w:tcPr>
            <w:tcW w:w="820" w:type="dxa"/>
            <w:vAlign w:val="bottom"/>
          </w:tcPr>
          <w:p>
            <w:pPr>
              <w:ind w:left="100"/>
              <w:spacing w:after="0"/>
              <w:rPr>
                <w:sz w:val="20"/>
                <w:szCs w:val="20"/>
                <w:color w:val="auto"/>
              </w:rPr>
            </w:pPr>
            <w:r>
              <w:rPr>
                <w:rFonts w:ascii="Arial" w:cs="Arial" w:eastAsia="Arial" w:hAnsi="Arial"/>
                <w:sz w:val="18"/>
                <w:szCs w:val="18"/>
                <w:color w:val="auto"/>
              </w:rPr>
              <w:t>31.2</w:t>
            </w:r>
          </w:p>
        </w:tc>
        <w:tc>
          <w:tcPr>
            <w:tcW w:w="10620" w:type="dxa"/>
            <w:vAlign w:val="bottom"/>
          </w:tcPr>
          <w:p>
            <w:pPr>
              <w:ind w:left="220"/>
              <w:spacing w:after="0"/>
              <w:rPr>
                <w:sz w:val="20"/>
                <w:szCs w:val="20"/>
                <w:color w:val="auto"/>
              </w:rPr>
            </w:pPr>
            <w:r>
              <w:rPr>
                <w:rFonts w:ascii="Arial" w:cs="Arial" w:eastAsia="Arial" w:hAnsi="Arial"/>
                <w:sz w:val="18"/>
                <w:szCs w:val="18"/>
                <w:color w:val="auto"/>
              </w:rPr>
              <w:t>Rule 13a-14(a) Certification of Matthieu Bucaille.</w:t>
            </w:r>
          </w:p>
        </w:tc>
      </w:tr>
      <w:tr>
        <w:trPr>
          <w:trHeight w:val="338"/>
        </w:trPr>
        <w:tc>
          <w:tcPr>
            <w:tcW w:w="820" w:type="dxa"/>
            <w:vAlign w:val="bottom"/>
          </w:tcPr>
          <w:p>
            <w:pPr>
              <w:ind w:left="100"/>
              <w:spacing w:after="0"/>
              <w:rPr>
                <w:sz w:val="20"/>
                <w:szCs w:val="20"/>
                <w:color w:val="auto"/>
              </w:rPr>
            </w:pPr>
            <w:r>
              <w:rPr>
                <w:rFonts w:ascii="Arial" w:cs="Arial" w:eastAsia="Arial" w:hAnsi="Arial"/>
                <w:sz w:val="18"/>
                <w:szCs w:val="18"/>
                <w:color w:val="auto"/>
              </w:rPr>
              <w:t>32.1</w:t>
            </w:r>
          </w:p>
        </w:tc>
        <w:tc>
          <w:tcPr>
            <w:tcW w:w="10620" w:type="dxa"/>
            <w:vAlign w:val="bottom"/>
          </w:tcPr>
          <w:p>
            <w:pPr>
              <w:ind w:left="220"/>
              <w:spacing w:after="0"/>
              <w:rPr>
                <w:sz w:val="20"/>
                <w:szCs w:val="20"/>
                <w:color w:val="auto"/>
              </w:rPr>
            </w:pPr>
            <w:r>
              <w:rPr>
                <w:rFonts w:ascii="Arial" w:cs="Arial" w:eastAsia="Arial" w:hAnsi="Arial"/>
                <w:sz w:val="18"/>
                <w:szCs w:val="18"/>
                <w:color w:val="auto"/>
              </w:rPr>
              <w:t>Section 1350 Certification for Kenneth M. Jacobs.</w:t>
            </w:r>
          </w:p>
        </w:tc>
      </w:tr>
      <w:tr>
        <w:trPr>
          <w:trHeight w:val="338"/>
        </w:trPr>
        <w:tc>
          <w:tcPr>
            <w:tcW w:w="820" w:type="dxa"/>
            <w:vAlign w:val="bottom"/>
          </w:tcPr>
          <w:p>
            <w:pPr>
              <w:ind w:left="100"/>
              <w:spacing w:after="0"/>
              <w:rPr>
                <w:sz w:val="20"/>
                <w:szCs w:val="20"/>
                <w:color w:val="auto"/>
              </w:rPr>
            </w:pPr>
            <w:r>
              <w:rPr>
                <w:rFonts w:ascii="Arial" w:cs="Arial" w:eastAsia="Arial" w:hAnsi="Arial"/>
                <w:sz w:val="18"/>
                <w:szCs w:val="18"/>
                <w:color w:val="auto"/>
              </w:rPr>
              <w:t>32.2</w:t>
            </w:r>
          </w:p>
        </w:tc>
        <w:tc>
          <w:tcPr>
            <w:tcW w:w="10620" w:type="dxa"/>
            <w:vAlign w:val="bottom"/>
          </w:tcPr>
          <w:p>
            <w:pPr>
              <w:ind w:left="220"/>
              <w:spacing w:after="0"/>
              <w:rPr>
                <w:sz w:val="20"/>
                <w:szCs w:val="20"/>
                <w:color w:val="auto"/>
              </w:rPr>
            </w:pPr>
            <w:r>
              <w:rPr>
                <w:rFonts w:ascii="Arial" w:cs="Arial" w:eastAsia="Arial" w:hAnsi="Arial"/>
                <w:sz w:val="18"/>
                <w:szCs w:val="18"/>
                <w:color w:val="auto"/>
              </w:rPr>
              <w:t>Section 1350 Certification for Matthieu Bucaille.</w:t>
            </w:r>
          </w:p>
        </w:tc>
      </w:tr>
      <w:tr>
        <w:trPr>
          <w:trHeight w:val="554"/>
        </w:trPr>
        <w:tc>
          <w:tcPr>
            <w:tcW w:w="820" w:type="dxa"/>
            <w:vAlign w:val="bottom"/>
          </w:tcPr>
          <w:p>
            <w:pPr>
              <w:spacing w:after="0"/>
              <w:rPr>
                <w:sz w:val="24"/>
                <w:szCs w:val="24"/>
                <w:color w:val="auto"/>
              </w:rPr>
            </w:pPr>
          </w:p>
        </w:tc>
        <w:tc>
          <w:tcPr>
            <w:tcW w:w="10620" w:type="dxa"/>
            <w:vAlign w:val="bottom"/>
          </w:tcPr>
          <w:p>
            <w:pPr>
              <w:ind w:left="4800"/>
              <w:spacing w:after="0"/>
              <w:rPr>
                <w:sz w:val="20"/>
                <w:szCs w:val="20"/>
                <w:color w:val="auto"/>
              </w:rPr>
            </w:pPr>
            <w:r>
              <w:rPr>
                <w:rFonts w:ascii="Arial" w:cs="Arial" w:eastAsia="Arial" w:hAnsi="Arial"/>
                <w:sz w:val="18"/>
                <w:szCs w:val="18"/>
                <w:color w:val="auto"/>
              </w:rPr>
              <w:t>65</w:t>
            </w:r>
          </w:p>
        </w:tc>
      </w:tr>
      <w:tr>
        <w:trPr>
          <w:trHeight w:val="115"/>
        </w:trPr>
        <w:tc>
          <w:tcPr>
            <w:tcW w:w="820" w:type="dxa"/>
            <w:vAlign w:val="bottom"/>
            <w:tcBorders>
              <w:bottom w:val="single" w:sz="8" w:color="9A9A9A"/>
            </w:tcBorders>
          </w:tcPr>
          <w:p>
            <w:pPr>
              <w:spacing w:after="0"/>
              <w:rPr>
                <w:sz w:val="10"/>
                <w:szCs w:val="10"/>
                <w:color w:val="auto"/>
              </w:rPr>
            </w:pPr>
          </w:p>
        </w:tc>
        <w:tc>
          <w:tcPr>
            <w:tcW w:w="10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68" w:name="page69"/>
    <w:bookmarkEnd w:id="68"/>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52"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Financial Officer</w:t>
      </w:r>
    </w:p>
    <w:p>
      <w:pPr>
        <w:spacing w:after="0" w:line="238"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Dominick Ragone</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Dominick Ragone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800"/>
          </w:cols>
          <w:pgMar w:left="240" w:top="337" w:right="85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432"/>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March 31, 2017</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right"/>
              <w:ind w:right="313"/>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6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150,197</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517,461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(16,620)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519,465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216,807</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123,885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Add—Fixed charges</w:t>
            </w:r>
          </w:p>
        </w:tc>
        <w:tc>
          <w:tcPr>
            <w:tcW w:w="4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20,028</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73,654</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75,109</w:t>
            </w:r>
          </w:p>
        </w:tc>
        <w:tc>
          <w:tcPr>
            <w:tcW w:w="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86,066</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103,668</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106,470</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before fixed charges</w:t>
            </w:r>
          </w:p>
        </w:tc>
        <w:tc>
          <w:tcPr>
            <w:tcW w:w="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170,225</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591,115</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58,489</w:t>
            </w: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605,531</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320,475</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230,355</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(b)</w:t>
            </w:r>
          </w:p>
        </w:tc>
        <w:tc>
          <w:tcPr>
            <w:tcW w:w="6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13,956</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51,159</w:t>
            </w:r>
          </w:p>
        </w:tc>
        <w:tc>
          <w:tcPr>
            <w:tcW w:w="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79,381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81,565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w:t>
            </w:r>
          </w:p>
        </w:tc>
        <w:tc>
          <w:tcPr>
            <w:tcW w:w="4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23,362</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23,950</w:t>
            </w:r>
          </w:p>
        </w:tc>
        <w:tc>
          <w:tcPr>
            <w:tcW w:w="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23,496</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24,287</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24,905</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20,028</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73,654</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75,109</w:t>
            </w: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86,066</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103,668</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106,470</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w w:val="90"/>
              </w:rPr>
              <w:t>(d)</w:t>
            </w: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3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w w:val="90"/>
              </w:rPr>
              <w:t>(e)</w:t>
            </w: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(f)</w:t>
            </w: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3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w w:val="90"/>
              </w:rPr>
              <w:t>(g)</w:t>
            </w: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w w:val="90"/>
              </w:rPr>
              <w:t>(h)</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Deficiency in the coverage of operating income</w:t>
            </w: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(loss) before fixed charges to total fixed charges</w:t>
            </w:r>
          </w:p>
        </w:tc>
        <w:tc>
          <w:tcPr>
            <w:tcW w:w="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16,620</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54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17"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ind w:left="520" w:right="620" w:hanging="512"/>
        <w:spacing w:after="0" w:line="277"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Operating income for the three months ended March 31, 2017 is presented after giving effect to a charge of $2,745 of acquisition-related costs. Excluding the impact of such charges, the ratio of earnings to fixed charges would have been 8.64.</w:t>
      </w:r>
    </w:p>
    <w:p>
      <w:pPr>
        <w:spacing w:after="0" w:line="62" w:lineRule="exact"/>
        <w:rPr>
          <w:rFonts w:ascii="Arial" w:cs="Arial" w:eastAsia="Arial" w:hAnsi="Arial"/>
          <w:sz w:val="18"/>
          <w:szCs w:val="18"/>
          <w:color w:val="auto"/>
        </w:rPr>
      </w:pPr>
    </w:p>
    <w:p>
      <w:pPr>
        <w:ind w:left="520" w:right="20" w:hanging="512"/>
        <w:spacing w:after="0" w:line="257"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2016 is presented after giving effect to a charge of (i) $3,148 associated with the redemption of the remaining portion of the 2017 Notes, (ii) $599 excess interest expense due to the period of time between the issuance of the 2027 Notes and the settlement of the redemption of the 2017 Notes, (iii) $34,092 of acquisition-related costs and (iv) $12,668 gain on the acquisition of MBA Lazard (which resulted from the increase in the fair value of the Company’s investment in MBA Lazard prior to the acquisition). Excluding the impact of such charges, the ratio of earnings to fixed charges would have been 8.43.</w:t>
      </w:r>
    </w:p>
    <w:p>
      <w:pPr>
        <w:spacing w:after="0" w:line="80" w:lineRule="exact"/>
        <w:rPr>
          <w:rFonts w:ascii="Arial" w:cs="Arial" w:eastAsia="Arial" w:hAnsi="Arial"/>
          <w:sz w:val="18"/>
          <w:szCs w:val="18"/>
          <w:color w:val="auto"/>
        </w:rPr>
      </w:pPr>
    </w:p>
    <w:p>
      <w:pPr>
        <w:ind w:left="520" w:hanging="512"/>
        <w:spacing w:after="0"/>
        <w:tabs>
          <w:tab w:leader="none" w:pos="5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a charge of (i) $60,219 associated with the redemption of</w:t>
      </w:r>
    </w:p>
    <w:p>
      <w:pPr>
        <w:spacing w:after="0" w:line="46" w:lineRule="exact"/>
        <w:rPr>
          <w:rFonts w:ascii="Arial" w:cs="Arial" w:eastAsia="Arial" w:hAnsi="Arial"/>
          <w:sz w:val="16"/>
          <w:szCs w:val="16"/>
          <w:color w:val="auto"/>
        </w:rPr>
      </w:pPr>
    </w:p>
    <w:p>
      <w:pPr>
        <w:ind w:left="520" w:right="20"/>
        <w:spacing w:after="0" w:line="295" w:lineRule="auto"/>
        <w:rPr>
          <w:rFonts w:ascii="Arial" w:cs="Arial" w:eastAsia="Arial" w:hAnsi="Arial"/>
          <w:sz w:val="16"/>
          <w:szCs w:val="16"/>
          <w:color w:val="auto"/>
        </w:rPr>
      </w:pPr>
      <w:r>
        <w:rPr>
          <w:rFonts w:ascii="Arial" w:cs="Arial" w:eastAsia="Arial" w:hAnsi="Arial"/>
          <w:sz w:val="16"/>
          <w:szCs w:val="16"/>
          <w:color w:val="auto"/>
        </w:rPr>
        <w:t>$450 million of the 2017 Notes, (ii) $2,655 excess interest expense due to the period of time between the issuance of the 2025 Notes and the settlement of the redemption of the 2017 Notes, (iii) $12,203 relating to a private equity revenue adjustment and (iv) $542,270 relating to the provision pursuant to the tax receivable agreement. Excluding the impact of such items, the ratio of earnings to fixed charges would have been 8.95. The Company’s net income for the year ended December 31, 2015, which was affected by a significant income tax benefit during such period, was $992,932.</w:t>
      </w:r>
    </w:p>
    <w:p>
      <w:pPr>
        <w:spacing w:after="0" w:line="53" w:lineRule="exact"/>
        <w:rPr>
          <w:rFonts w:ascii="Arial" w:cs="Arial" w:eastAsia="Arial" w:hAnsi="Arial"/>
          <w:sz w:val="16"/>
          <w:szCs w:val="16"/>
          <w:color w:val="auto"/>
        </w:rPr>
      </w:pPr>
    </w:p>
    <w:p>
      <w:pPr>
        <w:ind w:left="520" w:hanging="512"/>
        <w:spacing w:after="0" w:line="259"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 (iii) $12,203 relating to private equity incentive compensation. Excluding the impact of such charge, the ratio of earnings to fixed charges would have been 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ind w:left="512" w:hanging="512"/>
        <w:spacing w:after="0" w:line="257" w:lineRule="auto"/>
        <w:tabs>
          <w:tab w:leader="none" w:pos="5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3.36.</w:t>
      </w:r>
    </w:p>
    <w:p>
      <w:pPr>
        <w:sectPr>
          <w:pgSz w:w="11900" w:h="16838" w:orient="portrait"/>
          <w:cols w:equalWidth="0" w:num="1">
            <w:col w:w="11312"/>
          </w:cols>
          <w:pgMar w:left="248" w:top="12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2017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2017</w:t>
      </w: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Matthieu Bucaille, certify that:</w:t>
      </w:r>
    </w:p>
    <w:p>
      <w:pPr>
        <w:spacing w:after="0" w:line="117" w:lineRule="exact"/>
        <w:rPr>
          <w:sz w:val="20"/>
          <w:szCs w:val="20"/>
          <w:color w:val="auto"/>
        </w:rPr>
      </w:pPr>
    </w:p>
    <w:p>
      <w:pPr>
        <w:ind w:left="700" w:hanging="174"/>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2017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March 31,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337"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March 31,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decimal"/>
      <w:start w:val="2"/>
    </w:lvl>
  </w:abstractNum>
  <w:abstractNum w:abstractNumId="6">
    <w:nsid w:val="3006C83E"/>
    <w:multiLevelType w:val="hybridMultilevel"/>
    <w:lvl w:ilvl="0">
      <w:lvlJc w:val="left"/>
      <w:lvlText w:val="%1."/>
      <w:numFmt w:val="decimal"/>
      <w:start w:val="3"/>
    </w:lvl>
  </w:abstractNum>
  <w:abstractNum w:abstractNumId="7">
    <w:nsid w:val="614FD4A1"/>
    <w:multiLevelType w:val="hybridMultilevel"/>
    <w:lvl w:ilvl="0">
      <w:lvlJc w:val="left"/>
      <w:lvlText w:val="%1."/>
      <w:numFmt w:val="decimal"/>
      <w:start w:val="4"/>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decimal"/>
      <w:start w:val="5"/>
    </w:lvl>
  </w:abstractNum>
  <w:abstractNum w:abstractNumId="10">
    <w:nsid w:val="440BADFC"/>
    <w:multiLevelType w:val="hybridMultilevel"/>
    <w:lvl w:ilvl="0">
      <w:lvlJc w:val="left"/>
      <w:lvlText w:val="(%1)"/>
      <w:numFmt w:val="lowerLetter"/>
      <w:start w:val="1"/>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1)"/>
      <w:numFmt w:val="lowerLetter"/>
      <w:start w:val="1"/>
    </w:lvl>
  </w:abstractNum>
  <w:abstractNum w:abstractNumId="13">
    <w:nsid w:val="77465F01"/>
    <w:multiLevelType w:val="hybridMultilevel"/>
    <w:lvl w:ilvl="0">
      <w:lvlJc w:val="left"/>
      <w:lvlText w:val="%1."/>
      <w:numFmt w:val="decimal"/>
      <w:start w:val="6"/>
    </w:lvl>
  </w:abstractNum>
  <w:abstractNum w:abstractNumId="14">
    <w:nsid w:val="7724C67E"/>
    <w:multiLevelType w:val="hybridMultilevel"/>
    <w:lvl w:ilvl="0">
      <w:lvlJc w:val="left"/>
      <w:lvlText w:val="(%1)"/>
      <w:numFmt w:val="lowerLetter"/>
      <w:start w:val="1"/>
    </w:lvl>
  </w:abstractNum>
  <w:abstractNum w:abstractNumId="15">
    <w:nsid w:val="5C482A97"/>
    <w:multiLevelType w:val="hybridMultilevel"/>
    <w:lvl w:ilvl="0">
      <w:lvlJc w:val="left"/>
      <w:lvlText w:val="%1."/>
      <w:numFmt w:val="decimal"/>
      <w:start w:val="7"/>
    </w:lvl>
  </w:abstractNum>
  <w:abstractNum w:abstractNumId="16">
    <w:nsid w:val="2463B9EA"/>
    <w:multiLevelType w:val="hybridMultilevel"/>
    <w:lvl w:ilvl="0">
      <w:lvlJc w:val="left"/>
      <w:lvlText w:val="%1."/>
      <w:numFmt w:val="decimal"/>
      <w:start w:val="8"/>
    </w:lvl>
  </w:abstractNum>
  <w:abstractNum w:abstractNumId="17">
    <w:nsid w:val="5E884ADC"/>
    <w:multiLevelType w:val="hybridMultilevel"/>
    <w:lvl w:ilvl="0">
      <w:lvlJc w:val="left"/>
      <w:lvlText w:val="%1"/>
      <w:numFmt w:val="decimal"/>
      <w:start w:val="1"/>
    </w:lvl>
    <w:lvl w:ilvl="1">
      <w:lvlJc w:val="left"/>
      <w:lvlText w:val="(%2)"/>
      <w:numFmt w:val="lowerLetter"/>
      <w:start w:val="1"/>
    </w:lvl>
  </w:abstractNum>
  <w:abstractNum w:abstractNumId="18">
    <w:nsid w:val="51EAD36B"/>
    <w:multiLevelType w:val="hybridMultilevel"/>
    <w:lvl w:ilvl="0">
      <w:lvlJc w:val="left"/>
      <w:lvlText w:val="%1."/>
      <w:numFmt w:val="decimal"/>
      <w:start w:val="9"/>
    </w:lvl>
    <w:lvl w:ilvl="1">
      <w:lvlJc w:val="left"/>
      <w:lvlText w:val="%2"/>
      <w:numFmt w:val="lowerLetter"/>
      <w:start w:val="1"/>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decimal"/>
      <w:start w:val="10"/>
    </w:lvl>
  </w:abstractNum>
  <w:abstractNum w:abstractNumId="21">
    <w:nsid w:val="153EA438"/>
    <w:multiLevelType w:val="hybridMultilevel"/>
    <w:lvl w:ilvl="0">
      <w:lvlJc w:val="left"/>
      <w:lvlText w:val="%1."/>
      <w:numFmt w:val="decimal"/>
      <w:start w:val="11"/>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decimal"/>
      <w:start w:val="12"/>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decimal"/>
      <w:start w:val="13"/>
    </w:lvl>
  </w:abstractNum>
  <w:abstractNum w:abstractNumId="26">
    <w:nsid w:val="1D4ED43B"/>
    <w:multiLevelType w:val="hybridMultilevel"/>
    <w:lvl w:ilvl="0">
      <w:lvlJc w:val="left"/>
      <w:lvlText w:val="%1."/>
      <w:numFmt w:val="decimal"/>
      <w:start w:val="14"/>
    </w:lvl>
  </w:abstractNum>
  <w:abstractNum w:abstractNumId="27">
    <w:nsid w:val="725A06FB"/>
    <w:multiLevelType w:val="hybridMultilevel"/>
    <w:lvl w:ilvl="0">
      <w:lvlJc w:val="left"/>
      <w:lvlText w:val="%1."/>
      <w:numFmt w:val="decimal"/>
      <w:start w:val="15"/>
    </w:lvl>
  </w:abstractNum>
  <w:abstractNum w:abstractNumId="28">
    <w:nsid w:val="2CD89A32"/>
    <w:multiLevelType w:val="hybridMultilevel"/>
    <w:lvl w:ilvl="0">
      <w:lvlJc w:val="left"/>
      <w:lvlText w:val="%1."/>
      <w:numFmt w:val="decimal"/>
      <w:start w:val="16"/>
    </w:lvl>
  </w:abstractNum>
  <w:abstractNum w:abstractNumId="29">
    <w:nsid w:val="57E4CCAF"/>
    <w:multiLevelType w:val="hybridMultilevel"/>
    <w:lvl w:ilvl="0">
      <w:lvlJc w:val="left"/>
      <w:lvlText w:val="(%1)"/>
      <w:numFmt w:val="lowerRoman"/>
      <w:start w:val="1"/>
    </w:lvl>
  </w:abstractNum>
  <w:abstractNum w:abstractNumId="30">
    <w:nsid w:val="7A6D8D3C"/>
    <w:multiLevelType w:val="hybridMultilevel"/>
    <w:lvl w:ilvl="0">
      <w:lvlJc w:val="left"/>
      <w:lvlText w:val="%1."/>
      <w:numFmt w:val="decimal"/>
      <w:start w:val="17"/>
    </w:lvl>
  </w:abstractNum>
  <w:abstractNum w:abstractNumId="31">
    <w:nsid w:val="4B588F54"/>
    <w:multiLevelType w:val="hybridMultilevel"/>
    <w:lvl w:ilvl="0">
      <w:lvlJc w:val="left"/>
      <w:lvlText w:val="%1."/>
      <w:numFmt w:val="decimal"/>
      <w:start w:val="18"/>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lvl w:ilvl="1">
      <w:lvlJc w:val="left"/>
      <w:lvlText w:val="(%2)"/>
      <w:numFmt w:val="lowerRoman"/>
      <w:start w:val="1"/>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lowerLetter"/>
      <w:start w:val="1"/>
    </w:lvl>
  </w:abstractNum>
  <w:abstractNum w:abstractNumId="42">
    <w:nsid w:val="79A1DEAA"/>
    <w:multiLevelType w:val="hybridMultilevel"/>
    <w:lvl w:ilvl="0">
      <w:lvlJc w:val="left"/>
      <w:lvlText w:val="(%1)"/>
      <w:numFmt w:val="lowerRoman"/>
      <w:start w:val="2"/>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Letter"/>
      <w:start w:val="2"/>
    </w:lvl>
  </w:abstractNum>
  <w:abstractNum w:abstractNumId="45">
    <w:nsid w:val="70C6A529"/>
    <w:multiLevelType w:val="hybridMultilevel"/>
    <w:lvl w:ilvl="0">
      <w:lvlJc w:val="left"/>
      <w:lvlText w:val="(%1)"/>
      <w:numFmt w:val="lowerRoman"/>
      <w:start w:val="2"/>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lowerLetter"/>
      <w:start w:val="2"/>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lowerRoman"/>
      <w:start w:val="3"/>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2"/>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lowerLetter"/>
      <w:start w:val="1"/>
    </w:lvl>
    <w:lvl w:ilvl="1">
      <w:lvlJc w:val="left"/>
      <w:lvlText w:val="•"/>
      <w:numFmt w:val="bullet"/>
      <w:start w:val="1"/>
    </w:lvl>
  </w:abstractNum>
  <w:abstractNum w:abstractNumId="57">
    <w:nsid w:val="354FE9F9"/>
    <w:multiLevelType w:val="hybridMultilevel"/>
    <w:lvl w:ilvl="0">
      <w:lvlJc w:val="left"/>
      <w:lvlText w:val="(%1)"/>
      <w:numFmt w:val="lowerLetter"/>
      <w:start w:val="8"/>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2019-12-29T07:17:29Z</dcterms:created>
  <dcterms:modified xsi:type="dcterms:W3CDTF">2019-12-29T07:17:29Z</dcterms:modified>
</cp:coreProperties>
</file>